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CE6" w:rsidRDefault="00585CE6" w:rsidP="00585CE6">
      <w:pPr>
        <w:spacing w:after="120"/>
        <w:rPr>
          <w:sz w:val="48"/>
          <w:szCs w:val="48"/>
        </w:rPr>
      </w:pPr>
      <w:r>
        <w:rPr>
          <w:sz w:val="48"/>
          <w:szCs w:val="48"/>
        </w:rPr>
        <w:t xml:space="preserve">The Competence </w:t>
      </w:r>
      <w:proofErr w:type="gramStart"/>
      <w:r>
        <w:rPr>
          <w:sz w:val="48"/>
          <w:szCs w:val="48"/>
        </w:rPr>
        <w:t>Of</w:t>
      </w:r>
      <w:proofErr w:type="gramEnd"/>
      <w:r>
        <w:rPr>
          <w:sz w:val="48"/>
          <w:szCs w:val="48"/>
        </w:rPr>
        <w:t xml:space="preserve"> Early Childhood Education Service Teachers In Providing Education Services To Children With Special Needs</w:t>
      </w:r>
    </w:p>
    <w:p w:rsidR="008A55B5" w:rsidRDefault="008A55B5">
      <w:pPr>
        <w:pStyle w:val="papersubtitle"/>
        <w:rPr>
          <w:rFonts w:eastAsia="MS Mincho"/>
        </w:rPr>
      </w:pPr>
    </w:p>
    <w:p w:rsidR="008A55B5" w:rsidRDefault="008A55B5">
      <w:pPr>
        <w:rPr>
          <w:rFonts w:eastAsia="MS Mincho"/>
        </w:rPr>
      </w:pPr>
    </w:p>
    <w:p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rsidR="008A55B5" w:rsidRDefault="00585CE6">
      <w:pPr>
        <w:pStyle w:val="Author"/>
        <w:rPr>
          <w:rFonts w:eastAsia="MS Mincho"/>
        </w:rPr>
      </w:pPr>
      <w:r>
        <w:rPr>
          <w:rFonts w:eastAsia="MS Mincho"/>
        </w:rPr>
        <w:lastRenderedPageBreak/>
        <w:t>Amalia Nurhayatun</w:t>
      </w:r>
      <w:r w:rsidR="008A55B5">
        <w:rPr>
          <w:rFonts w:eastAsia="MS Mincho"/>
        </w:rPr>
        <w:t xml:space="preserve"> (</w:t>
      </w:r>
      <w:r w:rsidR="008A55B5" w:rsidRPr="0097508D">
        <w:rPr>
          <w:rFonts w:eastAsia="MS Mincho"/>
          <w:i/>
        </w:rPr>
        <w:t>Author</w:t>
      </w:r>
      <w:r w:rsidR="008A55B5">
        <w:rPr>
          <w:rFonts w:eastAsia="MS Mincho"/>
        </w:rPr>
        <w:t>)</w:t>
      </w:r>
    </w:p>
    <w:p w:rsidR="008A55B5" w:rsidRDefault="002C4F4B">
      <w:pPr>
        <w:pStyle w:val="Affiliation"/>
        <w:rPr>
          <w:rFonts w:eastAsia="MS Mincho"/>
        </w:rPr>
      </w:pPr>
      <w:r>
        <w:rPr>
          <w:rFonts w:eastAsia="MS Mincho"/>
        </w:rPr>
        <w:t>Post School Graduate, Special Education Study Program</w:t>
      </w:r>
      <w:r w:rsidR="00585CE6">
        <w:rPr>
          <w:rFonts w:eastAsia="MS Mincho"/>
        </w:rPr>
        <w:t xml:space="preserve"> </w:t>
      </w:r>
    </w:p>
    <w:p w:rsidR="008A55B5" w:rsidRDefault="002C4F4B">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Pendidikan</w:t>
      </w:r>
      <w:proofErr w:type="spellEnd"/>
      <w:r>
        <w:rPr>
          <w:rFonts w:eastAsia="MS Mincho"/>
        </w:rPr>
        <w:t xml:space="preserve"> Indonesia</w:t>
      </w:r>
    </w:p>
    <w:p w:rsidR="008A55B5" w:rsidRDefault="002C4F4B">
      <w:pPr>
        <w:pStyle w:val="Affiliation"/>
        <w:rPr>
          <w:rFonts w:eastAsia="MS Mincho"/>
        </w:rPr>
      </w:pPr>
      <w:r>
        <w:rPr>
          <w:rFonts w:eastAsia="MS Mincho"/>
        </w:rPr>
        <w:t>Bandung, Indonesia</w:t>
      </w:r>
    </w:p>
    <w:p w:rsidR="008A55B5" w:rsidRPr="0090544D" w:rsidRDefault="0090544D">
      <w:pPr>
        <w:pStyle w:val="Affiliation"/>
        <w:rPr>
          <w:rFonts w:eastAsia="MS Mincho"/>
        </w:rPr>
      </w:pPr>
      <w:r w:rsidRPr="0090544D">
        <w:rPr>
          <w:rFonts w:eastAsia="MS Mincho"/>
        </w:rPr>
        <w:t>amalianurhayatun@upi.edu</w:t>
      </w:r>
    </w:p>
    <w:p w:rsidR="008A55B5" w:rsidRDefault="0090544D">
      <w:pPr>
        <w:pStyle w:val="Author"/>
        <w:rPr>
          <w:rFonts w:eastAsia="MS Mincho"/>
        </w:rPr>
      </w:pPr>
      <w:r>
        <w:rPr>
          <w:rFonts w:eastAsia="MS Mincho"/>
        </w:rPr>
        <w:lastRenderedPageBreak/>
        <w:t>Juhanaini and Budi Susetyo</w:t>
      </w:r>
    </w:p>
    <w:p w:rsidR="0090544D" w:rsidRDefault="0090544D" w:rsidP="0090544D">
      <w:pPr>
        <w:pStyle w:val="Affiliation"/>
        <w:rPr>
          <w:rFonts w:eastAsia="MS Mincho"/>
        </w:rPr>
      </w:pPr>
      <w:r>
        <w:rPr>
          <w:rFonts w:eastAsia="MS Mincho"/>
        </w:rPr>
        <w:t xml:space="preserve">Post School Graduate, Special Education Study Program </w:t>
      </w:r>
    </w:p>
    <w:p w:rsidR="0090544D" w:rsidRDefault="0090544D" w:rsidP="0090544D">
      <w:pPr>
        <w:pStyle w:val="Affiliation"/>
        <w:rPr>
          <w:rFonts w:eastAsia="MS Mincho"/>
        </w:rPr>
      </w:pPr>
      <w:proofErr w:type="spellStart"/>
      <w:r>
        <w:rPr>
          <w:rFonts w:eastAsia="MS Mincho"/>
        </w:rPr>
        <w:t>Universitas</w:t>
      </w:r>
      <w:proofErr w:type="spellEnd"/>
      <w:r>
        <w:rPr>
          <w:rFonts w:eastAsia="MS Mincho"/>
        </w:rPr>
        <w:t xml:space="preserve"> </w:t>
      </w:r>
      <w:proofErr w:type="spellStart"/>
      <w:r>
        <w:rPr>
          <w:rFonts w:eastAsia="MS Mincho"/>
        </w:rPr>
        <w:t>Pendidikan</w:t>
      </w:r>
      <w:proofErr w:type="spellEnd"/>
      <w:r>
        <w:rPr>
          <w:rFonts w:eastAsia="MS Mincho"/>
        </w:rPr>
        <w:t xml:space="preserve"> Indonesia</w:t>
      </w:r>
    </w:p>
    <w:p w:rsidR="008A55B5" w:rsidRDefault="0090544D" w:rsidP="0090544D">
      <w:pPr>
        <w:pStyle w:val="Affiliation"/>
        <w:rPr>
          <w:rFonts w:eastAsia="MS Mincho"/>
        </w:rPr>
      </w:pPr>
      <w:r>
        <w:rPr>
          <w:rFonts w:eastAsia="MS Mincho"/>
        </w:rPr>
        <w:t>Bandung, Indonesia</w:t>
      </w:r>
    </w:p>
    <w:p w:rsidR="008A55B5" w:rsidRDefault="00B83D5D">
      <w:pPr>
        <w:pStyle w:val="Affiliation"/>
        <w:rPr>
          <w:rFonts w:eastAsia="MS Mincho"/>
        </w:rPr>
        <w:sectPr w:rsidR="008A55B5" w:rsidSect="006C4648">
          <w:type w:val="continuous"/>
          <w:pgSz w:w="11909" w:h="16834" w:code="9"/>
          <w:pgMar w:top="1080" w:right="734" w:bottom="2434" w:left="734" w:header="720" w:footer="720" w:gutter="0"/>
          <w:cols w:num="2" w:space="720" w:equalWidth="0">
            <w:col w:w="4860" w:space="720"/>
            <w:col w:w="4860"/>
          </w:cols>
          <w:docGrid w:linePitch="360"/>
        </w:sectPr>
      </w:pPr>
      <w:hyperlink r:id="rId6" w:history="1">
        <w:r w:rsidR="0090544D" w:rsidRPr="0090544D">
          <w:rPr>
            <w:rStyle w:val="Hyperlink"/>
            <w:rFonts w:eastAsia="MS Mincho"/>
            <w:color w:val="auto"/>
            <w:u w:val="none"/>
          </w:rPr>
          <w:t>juhanaini@upi.edu and</w:t>
        </w:r>
      </w:hyperlink>
      <w:r w:rsidR="0090544D" w:rsidRPr="0090544D">
        <w:rPr>
          <w:rFonts w:eastAsia="MS Mincho"/>
        </w:rPr>
        <w:t xml:space="preserve">  budisus</w:t>
      </w:r>
      <w:r w:rsidR="0058176F">
        <w:rPr>
          <w:rFonts w:eastAsia="MS Mincho"/>
        </w:rPr>
        <w:t>e</w:t>
      </w:r>
      <w:r w:rsidR="0090544D" w:rsidRPr="0090544D">
        <w:rPr>
          <w:rFonts w:eastAsia="MS Mincho"/>
        </w:rPr>
        <w:t>tyo@upi.edu</w:t>
      </w:r>
    </w:p>
    <w:p w:rsidR="008A55B5" w:rsidRDefault="008A55B5">
      <w:pPr>
        <w:pStyle w:val="Affiliation"/>
        <w:rPr>
          <w:rFonts w:eastAsia="MS Mincho"/>
        </w:rPr>
      </w:pPr>
    </w:p>
    <w:p w:rsidR="008A55B5" w:rsidRDefault="008A55B5">
      <w:pPr>
        <w:rPr>
          <w:rFonts w:eastAsia="MS Mincho"/>
        </w:rPr>
      </w:pPr>
    </w:p>
    <w:p w:rsidR="008A55B5" w:rsidRDefault="008A55B5">
      <w:pPr>
        <w:rPr>
          <w:rFonts w:eastAsia="MS Mincho"/>
        </w:rPr>
        <w:sectPr w:rsidR="008A55B5" w:rsidSect="006C4648">
          <w:type w:val="continuous"/>
          <w:pgSz w:w="11909" w:h="16834" w:code="9"/>
          <w:pgMar w:top="1080" w:right="734" w:bottom="2434" w:left="734" w:header="720" w:footer="720" w:gutter="0"/>
          <w:cols w:space="720"/>
          <w:docGrid w:linePitch="360"/>
        </w:sectPr>
      </w:pPr>
    </w:p>
    <w:p w:rsidR="00585CE6" w:rsidRPr="00D54129" w:rsidRDefault="008A55B5" w:rsidP="00585CE6">
      <w:pPr>
        <w:pBdr>
          <w:top w:val="nil"/>
          <w:left w:val="nil"/>
          <w:bottom w:val="nil"/>
          <w:right w:val="nil"/>
          <w:between w:val="nil"/>
        </w:pBdr>
        <w:spacing w:after="120"/>
        <w:jc w:val="both"/>
        <w:rPr>
          <w:b/>
          <w:color w:val="000000"/>
          <w:sz w:val="18"/>
        </w:rPr>
      </w:pPr>
      <w:r>
        <w:rPr>
          <w:rFonts w:eastAsia="MS Mincho"/>
          <w:i/>
          <w:iCs/>
        </w:rPr>
        <w:lastRenderedPageBreak/>
        <w:t>Abstract</w:t>
      </w:r>
      <w:r>
        <w:rPr>
          <w:rFonts w:eastAsia="MS Mincho"/>
        </w:rPr>
        <w:t>—</w:t>
      </w:r>
      <w:r w:rsidR="00585CE6" w:rsidRPr="00585CE6">
        <w:rPr>
          <w:b/>
          <w:color w:val="000000"/>
          <w:sz w:val="18"/>
        </w:rPr>
        <w:t xml:space="preserve"> </w:t>
      </w:r>
      <w:proofErr w:type="gramStart"/>
      <w:r w:rsidR="00585CE6" w:rsidRPr="00D54129">
        <w:rPr>
          <w:b/>
          <w:color w:val="000000"/>
          <w:sz w:val="18"/>
        </w:rPr>
        <w:t>The</w:t>
      </w:r>
      <w:proofErr w:type="gramEnd"/>
      <w:r w:rsidR="00585CE6" w:rsidRPr="00D54129">
        <w:rPr>
          <w:b/>
          <w:color w:val="000000"/>
          <w:sz w:val="18"/>
        </w:rPr>
        <w:t xml:space="preserve"> competence of teachers in </w:t>
      </w:r>
      <w:r w:rsidR="00585CE6" w:rsidRPr="00D54129">
        <w:rPr>
          <w:b/>
          <w:sz w:val="18"/>
        </w:rPr>
        <w:t>handling children</w:t>
      </w:r>
      <w:r w:rsidR="00585CE6" w:rsidRPr="00D54129">
        <w:rPr>
          <w:b/>
          <w:color w:val="000000"/>
          <w:sz w:val="18"/>
        </w:rPr>
        <w:t xml:space="preserve"> with special needs, for instance, identifying, assessing and compiling programs will also determine the accuracy in providing services for children with special needs, especially in early children education units. However, the limited knowledge and understanding of </w:t>
      </w:r>
      <w:r w:rsidR="00585CE6" w:rsidRPr="00D54129">
        <w:rPr>
          <w:b/>
          <w:sz w:val="18"/>
        </w:rPr>
        <w:t>early teachers</w:t>
      </w:r>
      <w:r w:rsidR="00585CE6" w:rsidRPr="00D54129">
        <w:rPr>
          <w:b/>
          <w:color w:val="000000"/>
          <w:sz w:val="18"/>
        </w:rPr>
        <w:t xml:space="preserve"> on children with special needs has an impact on some teachers still equating teaching methods to all students because teachers do not understand the right methods in dealing with children with special needs. The purpose of this study is to describe the objective conditions of the competence of Early Children Education teachers in providing educational services</w:t>
      </w:r>
      <w:r w:rsidR="00E057DC">
        <w:rPr>
          <w:b/>
          <w:color w:val="000000"/>
          <w:sz w:val="18"/>
        </w:rPr>
        <w:t xml:space="preserve"> to children with special needs</w:t>
      </w:r>
      <w:r w:rsidR="00585CE6" w:rsidRPr="00D54129">
        <w:rPr>
          <w:b/>
          <w:color w:val="000000"/>
          <w:sz w:val="18"/>
        </w:rPr>
        <w:t>.</w:t>
      </w:r>
      <w:r w:rsidR="00E057DC">
        <w:rPr>
          <w:b/>
          <w:color w:val="000000"/>
          <w:sz w:val="18"/>
        </w:rPr>
        <w:t xml:space="preserve"> </w:t>
      </w:r>
      <w:r w:rsidR="00E057DC" w:rsidRPr="00E057DC">
        <w:rPr>
          <w:b/>
          <w:color w:val="000000"/>
          <w:sz w:val="18"/>
        </w:rPr>
        <w:t>The research method applied in this research is descriptive with a qualitative data approach. The study population was 15 early childhood education (PAUD) teachers and the research sample was five PAUD teachers who had the criteria for teaching children wit</w:t>
      </w:r>
      <w:r w:rsidR="00E057DC">
        <w:rPr>
          <w:b/>
          <w:color w:val="000000"/>
          <w:sz w:val="18"/>
        </w:rPr>
        <w:t xml:space="preserve">h special needs in </w:t>
      </w:r>
      <w:proofErr w:type="spellStart"/>
      <w:r w:rsidR="00E057DC">
        <w:rPr>
          <w:b/>
          <w:color w:val="000000"/>
          <w:sz w:val="18"/>
        </w:rPr>
        <w:t>Cikalong</w:t>
      </w:r>
      <w:proofErr w:type="spellEnd"/>
      <w:r w:rsidR="00E057DC">
        <w:rPr>
          <w:b/>
          <w:color w:val="000000"/>
          <w:sz w:val="18"/>
        </w:rPr>
        <w:t xml:space="preserve"> district, </w:t>
      </w:r>
      <w:proofErr w:type="spellStart"/>
      <w:r w:rsidR="00E057DC">
        <w:rPr>
          <w:b/>
          <w:color w:val="000000"/>
          <w:sz w:val="18"/>
        </w:rPr>
        <w:t>Tasikmalaya</w:t>
      </w:r>
      <w:proofErr w:type="spellEnd"/>
      <w:r w:rsidR="00E057DC">
        <w:rPr>
          <w:b/>
          <w:color w:val="000000"/>
          <w:sz w:val="18"/>
        </w:rPr>
        <w:t xml:space="preserve"> regency</w:t>
      </w:r>
      <w:r w:rsidR="00E057DC" w:rsidRPr="00E057DC">
        <w:rPr>
          <w:b/>
          <w:color w:val="000000"/>
          <w:sz w:val="18"/>
        </w:rPr>
        <w:t>.</w:t>
      </w:r>
      <w:r w:rsidR="00585CE6" w:rsidRPr="00D54129">
        <w:rPr>
          <w:b/>
          <w:color w:val="000000"/>
          <w:sz w:val="18"/>
        </w:rPr>
        <w:t xml:space="preserve"> The results show that the competence of Early Children Education teachers in providing educational services to Children with Special Needs in Kindergarten, </w:t>
      </w:r>
      <w:proofErr w:type="spellStart"/>
      <w:r w:rsidR="00585CE6" w:rsidRPr="00D54129">
        <w:rPr>
          <w:b/>
          <w:color w:val="000000"/>
          <w:sz w:val="18"/>
        </w:rPr>
        <w:t>Cikalong</w:t>
      </w:r>
      <w:proofErr w:type="spellEnd"/>
      <w:r w:rsidR="00585CE6" w:rsidRPr="00D54129">
        <w:rPr>
          <w:b/>
          <w:color w:val="000000"/>
          <w:sz w:val="18"/>
        </w:rPr>
        <w:t xml:space="preserve"> sub-district is still low and there is a need for continuous improvement in competence according to the characteristics of children.</w:t>
      </w:r>
      <w:r w:rsidR="00CC0A3E">
        <w:rPr>
          <w:b/>
          <w:color w:val="000000"/>
          <w:sz w:val="18"/>
        </w:rPr>
        <w:t xml:space="preserve"> </w:t>
      </w:r>
      <w:r w:rsidR="00CC0A3E" w:rsidRPr="00CC0A3E">
        <w:rPr>
          <w:b/>
          <w:color w:val="000000"/>
          <w:sz w:val="18"/>
        </w:rPr>
        <w:t>The competency measured in the teacher, namely understand the characteristics and learning needs of children with special needs, developing a curriculum, participating in activities to improve competence</w:t>
      </w:r>
    </w:p>
    <w:p w:rsidR="008A55B5" w:rsidRDefault="00CC0A3E" w:rsidP="00CC0A3E">
      <w:pPr>
        <w:pStyle w:val="keywords"/>
        <w:spacing w:after="0"/>
        <w:ind w:firstLine="272"/>
        <w:rPr>
          <w:color w:val="000000"/>
        </w:rPr>
      </w:pPr>
      <w:r>
        <w:rPr>
          <w:rFonts w:eastAsia="MS Mincho"/>
        </w:rPr>
        <w:t xml:space="preserve">Keywords; Competency, </w:t>
      </w:r>
      <w:r w:rsidRPr="00CC0A3E">
        <w:rPr>
          <w:color w:val="000000"/>
        </w:rPr>
        <w:t>Early Children Education teachers</w:t>
      </w:r>
      <w:r>
        <w:rPr>
          <w:color w:val="000000"/>
        </w:rPr>
        <w:t xml:space="preserve">, </w:t>
      </w:r>
    </w:p>
    <w:p w:rsidR="00CC0A3E" w:rsidRDefault="00CC0A3E" w:rsidP="00CC0A3E">
      <w:pPr>
        <w:pStyle w:val="keywords"/>
        <w:spacing w:after="0"/>
        <w:ind w:firstLine="272"/>
        <w:rPr>
          <w:rFonts w:eastAsia="MS Mincho"/>
        </w:rPr>
      </w:pPr>
      <w:r>
        <w:rPr>
          <w:color w:val="000000"/>
        </w:rPr>
        <w:tab/>
        <w:t xml:space="preserve">       Qualitative Research, Children Special Needs.</w:t>
      </w:r>
    </w:p>
    <w:p w:rsidR="00FA0B60" w:rsidRDefault="00FA0B60" w:rsidP="000F5558">
      <w:pPr>
        <w:tabs>
          <w:tab w:val="left" w:pos="288"/>
        </w:tabs>
        <w:spacing w:after="120" w:line="228" w:lineRule="auto"/>
        <w:ind w:firstLine="289"/>
        <w:jc w:val="both"/>
      </w:pPr>
    </w:p>
    <w:p w:rsidR="00FA0B60" w:rsidRDefault="00FA0B60" w:rsidP="00FA0B60">
      <w:pPr>
        <w:pStyle w:val="Heading1"/>
      </w:pPr>
      <w:r>
        <w:t>INTRODUCTION</w:t>
      </w:r>
    </w:p>
    <w:p w:rsidR="000F5558" w:rsidRDefault="00585CE6" w:rsidP="000F5558">
      <w:pPr>
        <w:tabs>
          <w:tab w:val="left" w:pos="288"/>
        </w:tabs>
        <w:spacing w:after="120" w:line="228" w:lineRule="auto"/>
        <w:ind w:firstLine="289"/>
        <w:jc w:val="both"/>
      </w:pPr>
      <w:r>
        <w:t>Early Childhood Education Services (PAUD) is an effort to fulfill the right to education for children with special needs (ABK) at an early age which aims to optimize children's abilities according to their developmental tasks. Early childhood education plays an impor</w:t>
      </w:r>
      <w:r w:rsidR="001838B6">
        <w:t xml:space="preserve">tant role in children's life </w:t>
      </w:r>
      <w:r w:rsidR="001838B6">
        <w:fldChar w:fldCharType="begin" w:fldLock="1"/>
      </w:r>
      <w:r w:rsidR="001838B6">
        <w:instrText>ADDIN CSL_CITATION {"citationItems":[{"id":"ITEM-1","itemData":{"DOI":"10.1007/s13158-011-0034-x","ISSN":"00207187","abstract":"Only recently has Education for Sustainable Development (ESD) become a question for Early Childhood Education (ECE, including care). Since it is a new area of content in ECE, there are also many questions to sort out. Some people claim that young children should be sheltered from all the problems in the world, which is an understandable standpoint, but in this article I present arguments for ESD both as content (the object of learning) and a way of working with children (the act of learning) in the early years. Support for these arguments is found both in recent research and in international political/policy agreements. © 2011 Springer Science+Business Media B.V.","author":[{"dropping-particle":"","family":"Pramling Samuelsson","given":"Ingrid","non-dropping-particle":"","parse-names":false,"suffix":""}],"container-title":"International Journal of Early Childhood","id":"ITEM-1","issue":"2","issued":{"date-parts":[["2011"]]},"page":"103-118","title":"Why We Should Begin Early with ESD: The Role of Early Childhood Education","type":"article-journal","volume":"43"},"uris":["http://www.mendeley.com/documents/?uuid=27abb8af-1fc1-4790-ad4c-4e544d1c44bb"]}],"mendeley":{"formattedCitation":"[1]","plainTextFormattedCitation":"[1]","previouslyFormattedCitation":"[1]"},"properties":{"noteIndex":0},"schema":"https://github.com/citation-style-language/schema/raw/master/csl-citation.json"}</w:instrText>
      </w:r>
      <w:r w:rsidR="001838B6">
        <w:fldChar w:fldCharType="separate"/>
      </w:r>
      <w:r w:rsidR="001838B6" w:rsidRPr="001838B6">
        <w:rPr>
          <w:noProof/>
        </w:rPr>
        <w:t>[1]</w:t>
      </w:r>
      <w:r w:rsidR="001838B6">
        <w:fldChar w:fldCharType="end"/>
      </w:r>
      <w:r>
        <w:t xml:space="preserve">. Providing appropriate educational services for early childhood will help children achieve optimal development so that they can produce superior generations. This also applies to children with special needs, apart from developing their abilities as well as intervening and compensatory measures to </w:t>
      </w:r>
      <w:r>
        <w:lastRenderedPageBreak/>
        <w:t>minimize problems that arise in the future as a result of their specialization.</w:t>
      </w:r>
    </w:p>
    <w:p w:rsidR="000F5558" w:rsidRDefault="00585CE6" w:rsidP="000F5558">
      <w:pPr>
        <w:tabs>
          <w:tab w:val="left" w:pos="288"/>
        </w:tabs>
        <w:spacing w:after="120" w:line="228" w:lineRule="auto"/>
        <w:ind w:firstLine="289"/>
        <w:jc w:val="both"/>
      </w:pPr>
      <w:r>
        <w:t xml:space="preserve">One of the important components needed to support the above statement is adequate teacher competence in understanding the diverse needs of children. Quality early childhood education is not about program settings or models, but teachers as the key to quality education for children. Teachers must be ready to meet the needs of children in the aspects of development and broad personal characteristics so that the growth of typical children and children with special needs shows positive and optimal results </w:t>
      </w:r>
      <w:r w:rsidR="001838B6">
        <w:fldChar w:fldCharType="begin" w:fldLock="1"/>
      </w:r>
      <w:r w:rsidR="001838B6">
        <w:instrText>ADDIN CSL_CITATION {"citationItems":[{"id":"ITEM-1","itemData":{"DOI":"10.1080/1030011900130204","ISSN":"1030-0112","author":[{"dropping-particle":"","family":"Stedman","given":"Donald","non-dropping-particle":"","parse-names":false,"suffix":""}],"container-title":"Australasian Journal of Special Education","id":"ITEM-1","issue":"2","issued":{"date-parts":[["1990"]]},"page":"14-19","title":"The professional preparation of teachers and early childhood educators: Changes in the wind","type":"article-journal","volume":"13"},"uris":["http://www.mendeley.com/documents/?uuid=e5289f3a-abc2-433b-a6f4-75e26042a392"]}],"mendeley":{"formattedCitation":"[2]","plainTextFormattedCitation":"[2]","previouslyFormattedCitation":"[2]"},"properties":{"noteIndex":0},"schema":"https://github.com/citation-style-language/schema/raw/master/csl-citation.json"}</w:instrText>
      </w:r>
      <w:r w:rsidR="001838B6">
        <w:fldChar w:fldCharType="separate"/>
      </w:r>
      <w:r w:rsidR="001838B6" w:rsidRPr="001838B6">
        <w:rPr>
          <w:noProof/>
        </w:rPr>
        <w:t>[2]</w:t>
      </w:r>
      <w:r w:rsidR="001838B6">
        <w:fldChar w:fldCharType="end"/>
      </w:r>
      <w:r>
        <w:t xml:space="preserve">. All teachers working with heterogeneous groups of children with special needs will need special skills </w:t>
      </w:r>
      <w:r w:rsidR="001838B6">
        <w:fldChar w:fldCharType="begin" w:fldLock="1"/>
      </w:r>
      <w:r w:rsidR="001838B6">
        <w:instrText>ADDIN CSL_CITATION {"citationItems":[{"id":"ITEM-1","itemData":{"DOI":"10.1177/027112149201100406","ISSN":"02711214","abstract":"This paper presents philosophical, legal, moral, economic, and empirical bases to support educating teachers who are qualified to teach both typically and atypically developing infants, toddlers, and preschoolers and to work with their families. Content for appropriately integrated teacher education curricula is proposed and certification standards are recommended. Efforts by three states to develop early childhood teacher education guidelines and certification plans that integrate the fields of general early childhood and early childhood special education are discussed. © 1992, SAGE Publications. All rights reserved.","author":[{"dropping-particle":"","family":"Miller","given":"Patricia S.","non-dropping-particle":"","parse-names":false,"suffix":""}],"container-title":"Topics in Early Childhood Special Education","id":"ITEM-1","issue":"4","issued":{"date-parts":[["1992"]]},"page":"39-52","title":"Segregated Programs of Teacher Education in Early Childhood:Immoral and Inefficient Practice","type":"article-journal","volume":"11"},"uris":["http://www.mendeley.com/documents/?uuid=95723cbc-ca48-4539-8761-0f30c66e57b9"]}],"mendeley":{"formattedCitation":"[3]","plainTextFormattedCitation":"[3]","previouslyFormattedCitation":"[3]"},"properties":{"noteIndex":0},"schema":"https://github.com/citation-style-language/schema/raw/master/csl-citation.json"}</w:instrText>
      </w:r>
      <w:r w:rsidR="001838B6">
        <w:fldChar w:fldCharType="separate"/>
      </w:r>
      <w:r w:rsidR="001838B6" w:rsidRPr="001838B6">
        <w:rPr>
          <w:noProof/>
        </w:rPr>
        <w:t>[3]</w:t>
      </w:r>
      <w:r w:rsidR="001838B6">
        <w:fldChar w:fldCharType="end"/>
      </w:r>
      <w:r>
        <w:t xml:space="preserve">. The importance of teacher competence in the form of knowledge, understanding, </w:t>
      </w:r>
      <w:proofErr w:type="gramStart"/>
      <w:r>
        <w:t>skills</w:t>
      </w:r>
      <w:proofErr w:type="gramEnd"/>
      <w:r>
        <w:t xml:space="preserve"> in handling ABK determines the quality of the special education services provided. There is a unique set of skills and knowledge required by teachers from ABK </w:t>
      </w:r>
      <w:r w:rsidR="001838B6">
        <w:fldChar w:fldCharType="begin" w:fldLock="1"/>
      </w:r>
      <w:r w:rsidR="001838B6">
        <w:instrText>ADDIN CSL_CITATION {"citationItems":[{"id":"ITEM-1","itemData":{"DOI":"10.1177/027112149001000205","ISSN":"02711214","abstract":"Mainstreaming is one of several options for providing early intervention services in the least restrictive environment. However, professional and bureaucratic barriers exist to the widespread implementation of mainstreaming at the preschool level. These barriers include the philosophical and theoretical differences between early childhood education and early childhood special education, differences in personnel preparation between the two fields, staff attitudes, issues related to current state regulations and monitoring, and provision of related services. In this paper, we discuss the nature of these barriers, their implications for mainstreamed programs, and tasks faced by the field if the barriers are to be overcome. © 1990, SAGE Publications. All rights reserved.","author":[{"dropping-particle":"","family":"Odom","given":"Samuel L.","non-dropping-particle":"","parse-names":false,"suffix":""},{"dropping-particle":"","family":"Mcevoy","given":"Mary A.","non-dropping-particle":"","parse-names":false,"suffix":""}],"container-title":"Topics in Early Childhood Special Education","id":"ITEM-1","issue":"2","issued":{"date-parts":[["1990"]]},"page":"48-61","title":"Mainstreaming at the Preschool Level: Potential Barriers and Tasks for the Field","type":"article-journal","volume":"10"},"uris":["http://www.mendeley.com/documents/?uuid=98535e16-6d17-400e-8fd4-41467dc5300f"]}],"mendeley":{"formattedCitation":"[4]","plainTextFormattedCitation":"[4]","previouslyFormattedCitation":"[4]"},"properties":{"noteIndex":0},"schema":"https://github.com/citation-style-language/schema/raw/master/csl-citation.json"}</w:instrText>
      </w:r>
      <w:r w:rsidR="001838B6">
        <w:fldChar w:fldCharType="separate"/>
      </w:r>
      <w:r w:rsidR="001838B6" w:rsidRPr="001838B6">
        <w:rPr>
          <w:noProof/>
        </w:rPr>
        <w:t>[4]</w:t>
      </w:r>
      <w:r w:rsidR="001838B6">
        <w:fldChar w:fldCharType="end"/>
      </w:r>
      <w:r>
        <w:t>. The abilities that teachers must have such as knowledge of the characteristics of children with special needs, the ability to identify and assess and formulate individual learning programs.</w:t>
      </w:r>
    </w:p>
    <w:p w:rsidR="000F5558" w:rsidRDefault="00585CE6" w:rsidP="000F5558">
      <w:pPr>
        <w:tabs>
          <w:tab w:val="left" w:pos="288"/>
        </w:tabs>
        <w:spacing w:after="120" w:line="228" w:lineRule="auto"/>
        <w:ind w:firstLine="289"/>
        <w:jc w:val="both"/>
      </w:pPr>
      <w:r>
        <w:t>The competence of Early Childhood Education Service teachers in handling children with special needs means that children can be handled from an early age so that children's development can be optimal and can minimize the difficulties the child might face if not handled as early as possible. Conversely, if the Early Childhood Education Service teacher does not have the competence in handling ABK, it will have an impact on the accumulation of problems faced by early childhood specialists. Therefore, Early Childhood Education service teachers should have the competence in providing appropriate services for early childhood specialists.</w:t>
      </w:r>
    </w:p>
    <w:p w:rsidR="00CB4BF0" w:rsidRDefault="00CB4BF0" w:rsidP="00CB4BF0">
      <w:pPr>
        <w:spacing w:after="120"/>
        <w:ind w:firstLine="289"/>
        <w:jc w:val="both"/>
      </w:pPr>
      <w:r w:rsidRPr="004463C1">
        <w:t>The absence of individual programs for children with special needs makes children learn only because the demands in the classroom are not as their needs so that their potential does not develop optimally</w:t>
      </w:r>
      <w:r>
        <w:t xml:space="preserve">. </w:t>
      </w:r>
      <w:r w:rsidRPr="004463C1">
        <w:t>Often children are considered incapable or even considered stupid in an aspect of learning because the teacher uses general assessment standards</w:t>
      </w:r>
      <w:r>
        <w:t xml:space="preserve">. </w:t>
      </w:r>
      <w:r w:rsidRPr="004463C1">
        <w:lastRenderedPageBreak/>
        <w:t>Children tend to be overlooked so that they are often assisted in their learning which results in low dependency and fighting power in children.</w:t>
      </w:r>
      <w:r>
        <w:t xml:space="preserve"> </w:t>
      </w:r>
      <w:r w:rsidRPr="004463C1">
        <w:t>Even though children with special needs do not mean that they have to be assisted often but are given a longer duration or simplification of tasks according to their abilities.</w:t>
      </w:r>
    </w:p>
    <w:p w:rsidR="00CB4BF0" w:rsidRDefault="00CB4BF0" w:rsidP="00CB4BF0">
      <w:pPr>
        <w:spacing w:after="120"/>
        <w:ind w:firstLine="289"/>
        <w:jc w:val="both"/>
      </w:pPr>
      <w:r w:rsidRPr="004463C1">
        <w:t>When conducting interviews, researchers also found the phenomenon of teachers who still called children with special needs with negative labeling such as disabled children, naughty / naughty children because these children experienced sensory barriers or had obstacles in learning</w:t>
      </w:r>
      <w:r>
        <w:t xml:space="preserve">. </w:t>
      </w:r>
      <w:r w:rsidRPr="004463C1">
        <w:t>This labeling creates obstacles in optimizing the learning process for children with special needs in regular education. The difference in handling shows a picture of differences in teacher competence in the learning process between children with special needs and children in general.</w:t>
      </w:r>
      <w:r>
        <w:t xml:space="preserve"> </w:t>
      </w:r>
      <w:r w:rsidRPr="004463C1">
        <w:t>This condition demands special teacher competence in dealing with children with special needs so that they can provide the right service.</w:t>
      </w:r>
    </w:p>
    <w:p w:rsidR="00585CE6" w:rsidRDefault="00585CE6" w:rsidP="000F5558">
      <w:pPr>
        <w:tabs>
          <w:tab w:val="left" w:pos="288"/>
        </w:tabs>
        <w:spacing w:after="120" w:line="228" w:lineRule="auto"/>
        <w:ind w:firstLine="289"/>
        <w:jc w:val="both"/>
      </w:pPr>
      <w:r>
        <w:t xml:space="preserve">The focus of this research is to find out the objective conditions of Early Childhood Education Service teacher competence in providing educational services to children with special needs in Kindergarten in </w:t>
      </w:r>
      <w:proofErr w:type="spellStart"/>
      <w:r>
        <w:t>Cikalong</w:t>
      </w:r>
      <w:proofErr w:type="spellEnd"/>
      <w:r>
        <w:t xml:space="preserve"> District, </w:t>
      </w:r>
      <w:proofErr w:type="spellStart"/>
      <w:r>
        <w:t>Tasikmalaya</w:t>
      </w:r>
      <w:proofErr w:type="spellEnd"/>
      <w:r>
        <w:t xml:space="preserve"> Regency. So it is hoped that the existence of adequate competence in Early Childhood Education teachers in dealing with children with special needs will greatly help in maximizing the role of teachers in supporting inclusive education</w:t>
      </w:r>
    </w:p>
    <w:p w:rsidR="008A55B5" w:rsidRDefault="00D8044C" w:rsidP="00FA0B60">
      <w:pPr>
        <w:pStyle w:val="Heading1"/>
      </w:pPr>
      <w:r>
        <w:t>METHOD</w:t>
      </w:r>
    </w:p>
    <w:p w:rsidR="00D8044C" w:rsidRDefault="00D8044C" w:rsidP="00F121ED">
      <w:pPr>
        <w:pBdr>
          <w:top w:val="nil"/>
          <w:left w:val="nil"/>
          <w:bottom w:val="nil"/>
          <w:right w:val="nil"/>
          <w:between w:val="nil"/>
        </w:pBdr>
        <w:tabs>
          <w:tab w:val="left" w:pos="288"/>
        </w:tabs>
        <w:spacing w:after="120"/>
        <w:ind w:firstLine="289"/>
        <w:jc w:val="both"/>
      </w:pPr>
      <w:r>
        <w:t>This study uses a qualitative approach, in other words, a study that is shown to describe and analyze phenomena, events, social activities, attitudes, thoughts of people individually or in groups. The data were collected by careful observation, including descriptions in a detailed context accompanied by notes from in-depth interviews, as well as the results of document analysis</w:t>
      </w:r>
      <w:r w:rsidR="001838B6">
        <w:t xml:space="preserve"> </w:t>
      </w:r>
      <w:r w:rsidR="001838B6">
        <w:fldChar w:fldCharType="begin" w:fldLock="1"/>
      </w:r>
      <w:r w:rsidR="001838B6">
        <w:instrText>ADDIN CSL_CITATION {"citationItems":[{"id":"ITEM-1","itemData":{"abstract":"angket yang sering disamakan dengan kuesioner merupakan alat pengumpulan data , yang merupakan suatu daftar yang berisikan rangkaian pertanyaan mengenai sesuatu masalah atau bidang yang akan diteliti","author":[{"dropping-particle":"","family":"Machmud","given":"Muslimin","non-dropping-particle":"","parse-names":false,"suffix":""}],"id":"ITEM-1","issued":{"date-parts":[["2006"]]},"publisher":"Penerbit Selaras","publisher-place":"Malang","title":"Tuntunan Penulisan Tugas Akhir Berdasarkan Prinsip Dasar Penelitian Ilmiah","type":"book"},"uris":["http://www.mendeley.com/documents/?uuid=2770424d-1fd6-4ee9-aada-1c5603b0c312"]}],"mendeley":{"formattedCitation":"[5]","plainTextFormattedCitation":"[5]","previouslyFormattedCitation":"[5]"},"properties":{"noteIndex":0},"schema":"https://github.com/citation-style-language/schema/raw/master/csl-citation.json"}</w:instrText>
      </w:r>
      <w:r w:rsidR="001838B6">
        <w:fldChar w:fldCharType="separate"/>
      </w:r>
      <w:r w:rsidR="001838B6" w:rsidRPr="001838B6">
        <w:rPr>
          <w:noProof/>
        </w:rPr>
        <w:t>[5]</w:t>
      </w:r>
      <w:r w:rsidR="001838B6">
        <w:fldChar w:fldCharType="end"/>
      </w:r>
      <w:r>
        <w:t xml:space="preserve">. This research is descriptive in nature, the research data is described in the form of a narrative regarding the subjects studied, namely the competence of Early Childhood Education Service teachers in providing educational services to children with special needs. </w:t>
      </w:r>
      <w:r w:rsidR="00F121ED" w:rsidRPr="00F121ED">
        <w:t xml:space="preserve">The population in this study were 15 PAUD teachers who were willing to take part in the research based on the results of the questionnaire given. The population is then mapped by looking at the results of interviews and research observations, so that the sample taken is five Kindergarten teachers in </w:t>
      </w:r>
      <w:proofErr w:type="spellStart"/>
      <w:r w:rsidR="00F121ED" w:rsidRPr="00F121ED">
        <w:t>Cikalong</w:t>
      </w:r>
      <w:proofErr w:type="spellEnd"/>
      <w:r w:rsidR="00F121ED" w:rsidRPr="00F121ED">
        <w:t xml:space="preserve"> sub-district, </w:t>
      </w:r>
      <w:proofErr w:type="spellStart"/>
      <w:r w:rsidR="00F121ED" w:rsidRPr="00F121ED">
        <w:t>Tasikmalaya</w:t>
      </w:r>
      <w:proofErr w:type="spellEnd"/>
      <w:r w:rsidR="00F121ED" w:rsidRPr="00F121ED">
        <w:t xml:space="preserve"> Regency with additional consideration that the teacher has experience with children with special needs in their class so the sampling technique used is using purposive sampling technique. The research results obtained are in the form of descriptions according to research indicators of the five types of ABK faced by research subjects. The data collection technique was done by interviewing, observing and studying the documentation whose validity was tested using the source triangulation method. The data obtained were processed and analyzed further using interactive model analysis.</w:t>
      </w:r>
    </w:p>
    <w:p w:rsidR="008A55B5" w:rsidRPr="00CB1404" w:rsidRDefault="00D8044C" w:rsidP="00CB1404">
      <w:pPr>
        <w:pStyle w:val="Heading1"/>
      </w:pPr>
      <w:r>
        <w:lastRenderedPageBreak/>
        <w:t>RESULT AND DISCUSSION</w:t>
      </w:r>
    </w:p>
    <w:p w:rsidR="008A55B5" w:rsidRDefault="00D8044C" w:rsidP="00EF3A1A">
      <w:pPr>
        <w:pStyle w:val="Heading2"/>
      </w:pPr>
      <w:r>
        <w:t>Result</w:t>
      </w:r>
    </w:p>
    <w:p w:rsidR="008A55B5" w:rsidRDefault="00D8044C" w:rsidP="00D8044C">
      <w:pPr>
        <w:pStyle w:val="BodyText"/>
        <w:ind w:firstLine="289"/>
      </w:pPr>
      <w:r>
        <w:t>Based on interviews and observations and supported by documentation studies on several aspects of teacher competence, several things were obtained which can be seen in the following table:</w:t>
      </w:r>
    </w:p>
    <w:p w:rsidR="00BB1A9D" w:rsidRPr="00BB1A9D" w:rsidRDefault="00BB1A9D" w:rsidP="000F5558">
      <w:pPr>
        <w:pStyle w:val="BodyText"/>
        <w:spacing w:before="240" w:line="216" w:lineRule="auto"/>
        <w:ind w:firstLine="0"/>
        <w:jc w:val="center"/>
        <w:rPr>
          <w:sz w:val="16"/>
        </w:rPr>
      </w:pPr>
      <w:r w:rsidRPr="00BB1A9D">
        <w:rPr>
          <w:sz w:val="16"/>
        </w:rPr>
        <w:t>TABLE 1.</w:t>
      </w:r>
      <w:r w:rsidR="000F5558">
        <w:rPr>
          <w:sz w:val="16"/>
        </w:rPr>
        <w:t xml:space="preserve"> THE RESULT OF RESEARCH SYNTHESIS</w:t>
      </w:r>
    </w:p>
    <w:tbl>
      <w:tblPr>
        <w:tblW w:w="5215"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4"/>
        <w:gridCol w:w="882"/>
        <w:gridCol w:w="770"/>
        <w:gridCol w:w="658"/>
        <w:gridCol w:w="742"/>
        <w:gridCol w:w="741"/>
        <w:gridCol w:w="708"/>
      </w:tblGrid>
      <w:tr w:rsidR="00D8044C" w:rsidTr="00CC0A3E">
        <w:trPr>
          <w:tblHeader/>
        </w:trPr>
        <w:tc>
          <w:tcPr>
            <w:tcW w:w="714" w:type="dxa"/>
            <w:vMerge w:val="restart"/>
          </w:tcPr>
          <w:p w:rsidR="00D8044C" w:rsidRPr="002D6CF0" w:rsidRDefault="00D8044C" w:rsidP="00454803">
            <w:pPr>
              <w:rPr>
                <w:b/>
                <w:sz w:val="16"/>
                <w:szCs w:val="18"/>
              </w:rPr>
            </w:pPr>
            <w:r w:rsidRPr="002D6CF0">
              <w:rPr>
                <w:b/>
                <w:sz w:val="16"/>
                <w:szCs w:val="18"/>
              </w:rPr>
              <w:t>Aspect</w:t>
            </w:r>
          </w:p>
        </w:tc>
        <w:tc>
          <w:tcPr>
            <w:tcW w:w="882" w:type="dxa"/>
            <w:vMerge w:val="restart"/>
          </w:tcPr>
          <w:p w:rsidR="00D8044C" w:rsidRPr="002D6CF0" w:rsidRDefault="00D8044C" w:rsidP="00454803">
            <w:pPr>
              <w:jc w:val="left"/>
              <w:rPr>
                <w:b/>
                <w:sz w:val="16"/>
                <w:szCs w:val="18"/>
              </w:rPr>
            </w:pPr>
            <w:r w:rsidRPr="002D6CF0">
              <w:rPr>
                <w:b/>
                <w:sz w:val="16"/>
                <w:szCs w:val="18"/>
              </w:rPr>
              <w:t>Indicator</w:t>
            </w:r>
          </w:p>
        </w:tc>
        <w:tc>
          <w:tcPr>
            <w:tcW w:w="3619" w:type="dxa"/>
            <w:gridSpan w:val="5"/>
          </w:tcPr>
          <w:p w:rsidR="00D8044C" w:rsidRPr="002D6CF0" w:rsidRDefault="00D8044C" w:rsidP="00454803">
            <w:pPr>
              <w:rPr>
                <w:b/>
                <w:sz w:val="16"/>
                <w:szCs w:val="18"/>
              </w:rPr>
            </w:pPr>
            <w:r w:rsidRPr="002D6CF0">
              <w:rPr>
                <w:b/>
                <w:sz w:val="16"/>
                <w:szCs w:val="18"/>
              </w:rPr>
              <w:t xml:space="preserve">Conclusion </w:t>
            </w:r>
          </w:p>
        </w:tc>
      </w:tr>
      <w:tr w:rsidR="00FA0B60" w:rsidTr="00CC0A3E">
        <w:trPr>
          <w:tblHeader/>
        </w:trPr>
        <w:tc>
          <w:tcPr>
            <w:tcW w:w="714" w:type="dxa"/>
            <w:vMerge/>
          </w:tcPr>
          <w:p w:rsidR="00D8044C" w:rsidRPr="002D6CF0" w:rsidRDefault="00D8044C" w:rsidP="00454803">
            <w:pPr>
              <w:widowControl w:val="0"/>
              <w:spacing w:line="276" w:lineRule="auto"/>
              <w:jc w:val="left"/>
              <w:rPr>
                <w:b/>
                <w:sz w:val="16"/>
              </w:rPr>
            </w:pPr>
          </w:p>
        </w:tc>
        <w:tc>
          <w:tcPr>
            <w:tcW w:w="882" w:type="dxa"/>
            <w:vMerge/>
          </w:tcPr>
          <w:p w:rsidR="00D8044C" w:rsidRPr="002D6CF0" w:rsidRDefault="00D8044C" w:rsidP="00454803">
            <w:pPr>
              <w:widowControl w:val="0"/>
              <w:spacing w:line="276" w:lineRule="auto"/>
              <w:jc w:val="left"/>
              <w:rPr>
                <w:b/>
                <w:sz w:val="16"/>
              </w:rPr>
            </w:pPr>
          </w:p>
        </w:tc>
        <w:tc>
          <w:tcPr>
            <w:tcW w:w="770" w:type="dxa"/>
          </w:tcPr>
          <w:p w:rsidR="00D8044C" w:rsidRPr="002D6CF0" w:rsidRDefault="00D8044C" w:rsidP="00454803">
            <w:pPr>
              <w:rPr>
                <w:b/>
                <w:sz w:val="16"/>
                <w:szCs w:val="18"/>
              </w:rPr>
            </w:pPr>
            <w:r w:rsidRPr="002D6CF0">
              <w:rPr>
                <w:b/>
                <w:sz w:val="16"/>
                <w:szCs w:val="18"/>
              </w:rPr>
              <w:t>R1</w:t>
            </w:r>
          </w:p>
        </w:tc>
        <w:tc>
          <w:tcPr>
            <w:tcW w:w="658" w:type="dxa"/>
          </w:tcPr>
          <w:p w:rsidR="00D8044C" w:rsidRPr="002D6CF0" w:rsidRDefault="00D8044C" w:rsidP="00454803">
            <w:pPr>
              <w:rPr>
                <w:b/>
                <w:sz w:val="16"/>
                <w:szCs w:val="18"/>
              </w:rPr>
            </w:pPr>
            <w:r w:rsidRPr="002D6CF0">
              <w:rPr>
                <w:b/>
                <w:sz w:val="16"/>
                <w:szCs w:val="18"/>
              </w:rPr>
              <w:t>R2</w:t>
            </w:r>
          </w:p>
        </w:tc>
        <w:tc>
          <w:tcPr>
            <w:tcW w:w="742" w:type="dxa"/>
          </w:tcPr>
          <w:p w:rsidR="00D8044C" w:rsidRPr="002D6CF0" w:rsidRDefault="00D8044C" w:rsidP="00454803">
            <w:pPr>
              <w:rPr>
                <w:b/>
                <w:sz w:val="16"/>
                <w:szCs w:val="18"/>
              </w:rPr>
            </w:pPr>
            <w:r w:rsidRPr="002D6CF0">
              <w:rPr>
                <w:b/>
                <w:sz w:val="16"/>
                <w:szCs w:val="18"/>
              </w:rPr>
              <w:t>R3</w:t>
            </w:r>
          </w:p>
        </w:tc>
        <w:tc>
          <w:tcPr>
            <w:tcW w:w="741" w:type="dxa"/>
          </w:tcPr>
          <w:p w:rsidR="00D8044C" w:rsidRPr="002D6CF0" w:rsidRDefault="00D8044C" w:rsidP="00454803">
            <w:pPr>
              <w:rPr>
                <w:b/>
                <w:sz w:val="16"/>
                <w:szCs w:val="18"/>
              </w:rPr>
            </w:pPr>
            <w:r w:rsidRPr="002D6CF0">
              <w:rPr>
                <w:b/>
                <w:sz w:val="16"/>
                <w:szCs w:val="18"/>
              </w:rPr>
              <w:t>R4</w:t>
            </w:r>
          </w:p>
        </w:tc>
        <w:tc>
          <w:tcPr>
            <w:tcW w:w="708" w:type="dxa"/>
          </w:tcPr>
          <w:p w:rsidR="00D8044C" w:rsidRPr="002D6CF0" w:rsidRDefault="00D8044C" w:rsidP="00454803">
            <w:pPr>
              <w:rPr>
                <w:b/>
                <w:sz w:val="16"/>
                <w:szCs w:val="18"/>
              </w:rPr>
            </w:pPr>
            <w:r w:rsidRPr="002D6CF0">
              <w:rPr>
                <w:b/>
                <w:sz w:val="16"/>
                <w:szCs w:val="18"/>
              </w:rPr>
              <w:t>R</w:t>
            </w:r>
            <w:r w:rsidRPr="002D6CF0">
              <w:rPr>
                <w:b/>
                <w:color w:val="080808"/>
                <w:sz w:val="16"/>
                <w:szCs w:val="18"/>
              </w:rPr>
              <w:t>5</w:t>
            </w:r>
          </w:p>
        </w:tc>
      </w:tr>
      <w:tr w:rsidR="00FA0B60" w:rsidTr="00CC0A3E">
        <w:trPr>
          <w:trHeight w:val="2927"/>
        </w:trPr>
        <w:tc>
          <w:tcPr>
            <w:tcW w:w="714" w:type="dxa"/>
            <w:vMerge w:val="restart"/>
          </w:tcPr>
          <w:p w:rsidR="00D8044C" w:rsidRDefault="00D8044C" w:rsidP="00CC0A3E">
            <w:pPr>
              <w:rPr>
                <w:sz w:val="14"/>
                <w:szCs w:val="14"/>
              </w:rPr>
            </w:pPr>
            <w:r>
              <w:rPr>
                <w:sz w:val="14"/>
                <w:szCs w:val="14"/>
              </w:rPr>
              <w:t>A</w:t>
            </w:r>
          </w:p>
        </w:tc>
        <w:tc>
          <w:tcPr>
            <w:tcW w:w="882" w:type="dxa"/>
          </w:tcPr>
          <w:p w:rsidR="00D8044C" w:rsidRDefault="00D8044C" w:rsidP="00CC0A3E">
            <w:pPr>
              <w:rPr>
                <w:sz w:val="14"/>
                <w:szCs w:val="14"/>
              </w:rPr>
            </w:pPr>
            <w:r>
              <w:rPr>
                <w:sz w:val="14"/>
                <w:szCs w:val="14"/>
              </w:rPr>
              <w:t>A1</w:t>
            </w:r>
          </w:p>
        </w:tc>
        <w:tc>
          <w:tcPr>
            <w:tcW w:w="770" w:type="dxa"/>
          </w:tcPr>
          <w:p w:rsidR="00D8044C" w:rsidRDefault="00CC0A3E" w:rsidP="00CC0A3E">
            <w:pPr>
              <w:jc w:val="left"/>
              <w:rPr>
                <w:sz w:val="14"/>
                <w:szCs w:val="14"/>
              </w:rPr>
            </w:pPr>
            <w:r>
              <w:rPr>
                <w:sz w:val="14"/>
                <w:szCs w:val="14"/>
              </w:rPr>
              <w:t>Able to mention the charac</w:t>
            </w:r>
            <w:r w:rsidR="00D8044C">
              <w:rPr>
                <w:sz w:val="14"/>
                <w:szCs w:val="14"/>
              </w:rPr>
              <w:t>teristics of children with special needs in their class, namely children with visual impair-</w:t>
            </w:r>
            <w:proofErr w:type="spellStart"/>
            <w:r w:rsidR="00D8044C">
              <w:rPr>
                <w:sz w:val="14"/>
                <w:szCs w:val="14"/>
              </w:rPr>
              <w:t>ment</w:t>
            </w:r>
            <w:proofErr w:type="spellEnd"/>
          </w:p>
        </w:tc>
        <w:tc>
          <w:tcPr>
            <w:tcW w:w="658"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hearing impair-</w:t>
            </w:r>
            <w:proofErr w:type="spellStart"/>
            <w:r w:rsidR="00D8044C">
              <w:rPr>
                <w:sz w:val="14"/>
                <w:szCs w:val="14"/>
              </w:rPr>
              <w:t>ment</w:t>
            </w:r>
            <w:proofErr w:type="spellEnd"/>
          </w:p>
        </w:tc>
        <w:tc>
          <w:tcPr>
            <w:tcW w:w="742"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speaking impair-</w:t>
            </w:r>
            <w:proofErr w:type="spellStart"/>
            <w:r w:rsidR="00D8044C">
              <w:rPr>
                <w:sz w:val="14"/>
                <w:szCs w:val="14"/>
              </w:rPr>
              <w:t>ment</w:t>
            </w:r>
            <w:proofErr w:type="spellEnd"/>
          </w:p>
        </w:tc>
        <w:tc>
          <w:tcPr>
            <w:tcW w:w="741"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autism</w:t>
            </w:r>
          </w:p>
        </w:tc>
        <w:tc>
          <w:tcPr>
            <w:tcW w:w="708" w:type="dxa"/>
          </w:tcPr>
          <w:p w:rsidR="00D8044C" w:rsidRDefault="00CC0A3E" w:rsidP="00454803">
            <w:pPr>
              <w:jc w:val="left"/>
              <w:rPr>
                <w:sz w:val="14"/>
                <w:szCs w:val="14"/>
              </w:rPr>
            </w:pPr>
            <w:r>
              <w:rPr>
                <w:sz w:val="14"/>
                <w:szCs w:val="14"/>
              </w:rPr>
              <w:t>Able to mention the charac</w:t>
            </w:r>
            <w:r w:rsidR="00D8044C">
              <w:rPr>
                <w:sz w:val="14"/>
                <w:szCs w:val="14"/>
              </w:rPr>
              <w:t>teristics of children with special needs in their class, namely children with visual impair-</w:t>
            </w:r>
            <w:proofErr w:type="spellStart"/>
            <w:r w:rsidR="00D8044C">
              <w:rPr>
                <w:sz w:val="14"/>
                <w:szCs w:val="14"/>
              </w:rPr>
              <w:t>ment</w:t>
            </w:r>
            <w:proofErr w:type="spellEnd"/>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CC0A3E">
            <w:pPr>
              <w:rPr>
                <w:sz w:val="14"/>
                <w:szCs w:val="14"/>
              </w:rPr>
            </w:pPr>
            <w:r>
              <w:rPr>
                <w:sz w:val="14"/>
                <w:szCs w:val="14"/>
              </w:rPr>
              <w:t>A2</w:t>
            </w:r>
          </w:p>
        </w:tc>
        <w:tc>
          <w:tcPr>
            <w:tcW w:w="770" w:type="dxa"/>
          </w:tcPr>
          <w:p w:rsidR="00D8044C" w:rsidRDefault="00D8044C" w:rsidP="00454803">
            <w:pPr>
              <w:jc w:val="left"/>
              <w:rPr>
                <w:sz w:val="14"/>
                <w:szCs w:val="14"/>
              </w:rPr>
            </w:pPr>
            <w:r>
              <w:rPr>
                <w:sz w:val="14"/>
                <w:szCs w:val="14"/>
              </w:rPr>
              <w:t>Already able to identify difficulties faced by children during the learning process</w:t>
            </w:r>
          </w:p>
        </w:tc>
        <w:tc>
          <w:tcPr>
            <w:tcW w:w="658" w:type="dxa"/>
          </w:tcPr>
          <w:p w:rsidR="00D8044C" w:rsidRDefault="00D8044C" w:rsidP="00454803">
            <w:pPr>
              <w:jc w:val="left"/>
              <w:rPr>
                <w:sz w:val="14"/>
                <w:szCs w:val="14"/>
              </w:rPr>
            </w:pPr>
            <w:r>
              <w:rPr>
                <w:sz w:val="14"/>
                <w:szCs w:val="14"/>
              </w:rPr>
              <w:t>Identify difficulties faced by children even though subjectively</w:t>
            </w:r>
          </w:p>
        </w:tc>
        <w:tc>
          <w:tcPr>
            <w:tcW w:w="742" w:type="dxa"/>
          </w:tcPr>
          <w:p w:rsidR="00D8044C" w:rsidRDefault="00D8044C" w:rsidP="00454803">
            <w:pPr>
              <w:jc w:val="left"/>
              <w:rPr>
                <w:sz w:val="14"/>
                <w:szCs w:val="14"/>
              </w:rPr>
            </w:pPr>
            <w:r>
              <w:rPr>
                <w:sz w:val="14"/>
                <w:szCs w:val="14"/>
              </w:rPr>
              <w:t>Identify difficulties faced by children even though subjectively</w:t>
            </w:r>
          </w:p>
        </w:tc>
        <w:tc>
          <w:tcPr>
            <w:tcW w:w="741" w:type="dxa"/>
          </w:tcPr>
          <w:p w:rsidR="00D8044C" w:rsidRDefault="00D8044C" w:rsidP="00454803">
            <w:pPr>
              <w:jc w:val="left"/>
              <w:rPr>
                <w:sz w:val="14"/>
                <w:szCs w:val="14"/>
              </w:rPr>
            </w:pPr>
            <w:r>
              <w:rPr>
                <w:sz w:val="14"/>
                <w:szCs w:val="14"/>
              </w:rPr>
              <w:t>Identify difficulties faced by children even though subjectively</w:t>
            </w:r>
          </w:p>
        </w:tc>
        <w:tc>
          <w:tcPr>
            <w:tcW w:w="708" w:type="dxa"/>
          </w:tcPr>
          <w:p w:rsidR="00D8044C" w:rsidRDefault="00D8044C" w:rsidP="00454803">
            <w:pPr>
              <w:jc w:val="left"/>
              <w:rPr>
                <w:sz w:val="14"/>
                <w:szCs w:val="14"/>
              </w:rPr>
            </w:pPr>
            <w:r>
              <w:rPr>
                <w:sz w:val="14"/>
                <w:szCs w:val="14"/>
              </w:rPr>
              <w:t>Already able to identify difficulties faced by children during the learning process</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CC0A3E">
            <w:pPr>
              <w:rPr>
                <w:sz w:val="14"/>
                <w:szCs w:val="14"/>
              </w:rPr>
            </w:pPr>
            <w:r>
              <w:rPr>
                <w:sz w:val="14"/>
                <w:szCs w:val="14"/>
              </w:rPr>
              <w:t>A3</w:t>
            </w:r>
          </w:p>
        </w:tc>
        <w:tc>
          <w:tcPr>
            <w:tcW w:w="770" w:type="dxa"/>
          </w:tcPr>
          <w:p w:rsidR="00D8044C" w:rsidRDefault="00D8044C" w:rsidP="00454803">
            <w:pPr>
              <w:jc w:val="left"/>
              <w:rPr>
                <w:sz w:val="14"/>
                <w:szCs w:val="14"/>
              </w:rPr>
            </w:pPr>
            <w:r>
              <w:rPr>
                <w:sz w:val="14"/>
                <w:szCs w:val="14"/>
              </w:rPr>
              <w:t>Do not know the assessment so that they cannot carry out the assessment to find out the needs of ABK supported, in the absence of physical evidence</w:t>
            </w:r>
          </w:p>
        </w:tc>
        <w:tc>
          <w:tcPr>
            <w:tcW w:w="658"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42"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41"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c>
          <w:tcPr>
            <w:tcW w:w="708" w:type="dxa"/>
          </w:tcPr>
          <w:p w:rsidR="00D8044C" w:rsidRDefault="00D8044C" w:rsidP="00454803">
            <w:pPr>
              <w:jc w:val="left"/>
              <w:rPr>
                <w:sz w:val="14"/>
                <w:szCs w:val="14"/>
              </w:rPr>
            </w:pPr>
            <w:r>
              <w:rPr>
                <w:sz w:val="14"/>
                <w:szCs w:val="14"/>
              </w:rPr>
              <w:t>Don't know the assessment yet, so you can't carry out the assessment to find out the learning needs of children with special needs, supported by the absence of physical evidence</w:t>
            </w:r>
          </w:p>
        </w:tc>
      </w:tr>
      <w:tr w:rsidR="00FA0B60" w:rsidTr="00CC0A3E">
        <w:tc>
          <w:tcPr>
            <w:tcW w:w="714" w:type="dxa"/>
            <w:vMerge w:val="restart"/>
          </w:tcPr>
          <w:p w:rsidR="00D8044C" w:rsidRDefault="00D8044C" w:rsidP="00CC0A3E">
            <w:pPr>
              <w:rPr>
                <w:sz w:val="14"/>
                <w:szCs w:val="14"/>
              </w:rPr>
            </w:pPr>
            <w:r>
              <w:rPr>
                <w:sz w:val="14"/>
                <w:szCs w:val="14"/>
              </w:rPr>
              <w:t>B</w:t>
            </w:r>
          </w:p>
        </w:tc>
        <w:tc>
          <w:tcPr>
            <w:tcW w:w="882" w:type="dxa"/>
          </w:tcPr>
          <w:p w:rsidR="00D8044C" w:rsidRDefault="00D8044C" w:rsidP="00CC0A3E">
            <w:pPr>
              <w:rPr>
                <w:sz w:val="14"/>
                <w:szCs w:val="14"/>
              </w:rPr>
            </w:pPr>
            <w:r>
              <w:rPr>
                <w:sz w:val="14"/>
                <w:szCs w:val="14"/>
              </w:rPr>
              <w:t>B1</w:t>
            </w:r>
          </w:p>
        </w:tc>
        <w:tc>
          <w:tcPr>
            <w:tcW w:w="770" w:type="dxa"/>
          </w:tcPr>
          <w:p w:rsidR="00D8044C" w:rsidRDefault="00CC0A3E" w:rsidP="00454803">
            <w:pPr>
              <w:jc w:val="left"/>
              <w:rPr>
                <w:sz w:val="14"/>
                <w:szCs w:val="14"/>
              </w:rPr>
            </w:pPr>
            <w:r>
              <w:rPr>
                <w:sz w:val="14"/>
                <w:szCs w:val="14"/>
              </w:rPr>
              <w:t>Already mastered</w:t>
            </w:r>
            <w:r w:rsidR="00D8044C">
              <w:rPr>
                <w:sz w:val="14"/>
                <w:szCs w:val="14"/>
              </w:rPr>
              <w:t>, there is physical evidence of learning administr</w:t>
            </w:r>
            <w:r w:rsidR="00D8044C">
              <w:rPr>
                <w:sz w:val="14"/>
                <w:szCs w:val="14"/>
              </w:rPr>
              <w:lastRenderedPageBreak/>
              <w:t>ation</w:t>
            </w:r>
          </w:p>
        </w:tc>
        <w:tc>
          <w:tcPr>
            <w:tcW w:w="658" w:type="dxa"/>
          </w:tcPr>
          <w:p w:rsidR="00D8044C" w:rsidRDefault="00CC0A3E" w:rsidP="00454803">
            <w:pPr>
              <w:jc w:val="left"/>
              <w:rPr>
                <w:sz w:val="14"/>
                <w:szCs w:val="14"/>
              </w:rPr>
            </w:pPr>
            <w:r>
              <w:rPr>
                <w:sz w:val="14"/>
                <w:szCs w:val="14"/>
              </w:rPr>
              <w:lastRenderedPageBreak/>
              <w:t xml:space="preserve">Already </w:t>
            </w:r>
            <w:proofErr w:type="spellStart"/>
            <w:r>
              <w:rPr>
                <w:sz w:val="14"/>
                <w:szCs w:val="14"/>
              </w:rPr>
              <w:t>masterd</w:t>
            </w:r>
            <w:proofErr w:type="spellEnd"/>
            <w:r w:rsidR="00D8044C">
              <w:rPr>
                <w:sz w:val="14"/>
                <w:szCs w:val="14"/>
              </w:rPr>
              <w:t>, there is physical evidenc</w:t>
            </w:r>
            <w:r w:rsidR="00D8044C">
              <w:rPr>
                <w:sz w:val="14"/>
                <w:szCs w:val="14"/>
              </w:rPr>
              <w:lastRenderedPageBreak/>
              <w:t>e of learning administration</w:t>
            </w:r>
          </w:p>
        </w:tc>
        <w:tc>
          <w:tcPr>
            <w:tcW w:w="742" w:type="dxa"/>
          </w:tcPr>
          <w:p w:rsidR="00D8044C" w:rsidRDefault="00CC0A3E" w:rsidP="00454803">
            <w:pPr>
              <w:jc w:val="left"/>
              <w:rPr>
                <w:sz w:val="14"/>
                <w:szCs w:val="14"/>
              </w:rPr>
            </w:pPr>
            <w:r>
              <w:rPr>
                <w:sz w:val="14"/>
                <w:szCs w:val="14"/>
              </w:rPr>
              <w:lastRenderedPageBreak/>
              <w:t xml:space="preserve">Already </w:t>
            </w:r>
            <w:proofErr w:type="spellStart"/>
            <w:r>
              <w:rPr>
                <w:sz w:val="14"/>
                <w:szCs w:val="14"/>
              </w:rPr>
              <w:t>masterd</w:t>
            </w:r>
            <w:proofErr w:type="spellEnd"/>
            <w:r w:rsidR="00D8044C">
              <w:rPr>
                <w:sz w:val="14"/>
                <w:szCs w:val="14"/>
              </w:rPr>
              <w:t>, there is physical evidence of learning administ</w:t>
            </w:r>
            <w:r w:rsidR="00D8044C">
              <w:rPr>
                <w:sz w:val="14"/>
                <w:szCs w:val="14"/>
              </w:rPr>
              <w:lastRenderedPageBreak/>
              <w:t>ration</w:t>
            </w:r>
          </w:p>
        </w:tc>
        <w:tc>
          <w:tcPr>
            <w:tcW w:w="741" w:type="dxa"/>
          </w:tcPr>
          <w:p w:rsidR="00D8044C" w:rsidRDefault="00D8044C" w:rsidP="00454803">
            <w:pPr>
              <w:jc w:val="left"/>
              <w:rPr>
                <w:sz w:val="14"/>
                <w:szCs w:val="14"/>
              </w:rPr>
            </w:pPr>
            <w:r>
              <w:rPr>
                <w:sz w:val="14"/>
                <w:szCs w:val="14"/>
              </w:rPr>
              <w:lastRenderedPageBreak/>
              <w:t>Already mastered, there is physical evidence of learning administ</w:t>
            </w:r>
            <w:r>
              <w:rPr>
                <w:sz w:val="14"/>
                <w:szCs w:val="14"/>
              </w:rPr>
              <w:lastRenderedPageBreak/>
              <w:t>ration</w:t>
            </w:r>
          </w:p>
        </w:tc>
        <w:tc>
          <w:tcPr>
            <w:tcW w:w="708" w:type="dxa"/>
          </w:tcPr>
          <w:p w:rsidR="00D8044C" w:rsidRDefault="00D8044C" w:rsidP="00454803">
            <w:pPr>
              <w:jc w:val="left"/>
              <w:rPr>
                <w:sz w:val="14"/>
                <w:szCs w:val="14"/>
              </w:rPr>
            </w:pPr>
            <w:r>
              <w:rPr>
                <w:sz w:val="14"/>
                <w:szCs w:val="14"/>
              </w:rPr>
              <w:lastRenderedPageBreak/>
              <w:t xml:space="preserve">Already mastered, there is physical evidence of learning </w:t>
            </w:r>
            <w:r>
              <w:rPr>
                <w:sz w:val="14"/>
                <w:szCs w:val="14"/>
              </w:rPr>
              <w:lastRenderedPageBreak/>
              <w:t>administration</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454803">
            <w:pPr>
              <w:jc w:val="left"/>
              <w:rPr>
                <w:sz w:val="14"/>
                <w:szCs w:val="14"/>
              </w:rPr>
            </w:pPr>
            <w:r>
              <w:rPr>
                <w:sz w:val="14"/>
                <w:szCs w:val="14"/>
              </w:rPr>
              <w:t>B2</w:t>
            </w:r>
          </w:p>
        </w:tc>
        <w:tc>
          <w:tcPr>
            <w:tcW w:w="770"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658"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742"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bookmarkStart w:id="0" w:name="_GoBack"/>
            <w:bookmarkEnd w:id="0"/>
          </w:p>
        </w:tc>
        <w:tc>
          <w:tcPr>
            <w:tcW w:w="741"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c>
          <w:tcPr>
            <w:tcW w:w="708" w:type="dxa"/>
          </w:tcPr>
          <w:p w:rsidR="00D8044C" w:rsidRDefault="00D8044C" w:rsidP="00454803">
            <w:pPr>
              <w:jc w:val="left"/>
              <w:rPr>
                <w:sz w:val="14"/>
                <w:szCs w:val="14"/>
              </w:rPr>
            </w:pPr>
            <w:r>
              <w:rPr>
                <w:sz w:val="14"/>
                <w:szCs w:val="14"/>
              </w:rPr>
              <w:t>Already compiled lesson study but have not made IEP, supported by the absence of physical evidence related to IEP.</w:t>
            </w:r>
          </w:p>
        </w:tc>
      </w:tr>
      <w:tr w:rsidR="00FA0B60" w:rsidTr="00CC0A3E">
        <w:tc>
          <w:tcPr>
            <w:tcW w:w="714" w:type="dxa"/>
            <w:vMerge/>
          </w:tcPr>
          <w:p w:rsidR="00D8044C" w:rsidRDefault="00D8044C" w:rsidP="00454803">
            <w:pPr>
              <w:widowControl w:val="0"/>
              <w:ind w:hanging="2"/>
              <w:jc w:val="left"/>
              <w:rPr>
                <w:b/>
              </w:rPr>
            </w:pPr>
          </w:p>
        </w:tc>
        <w:tc>
          <w:tcPr>
            <w:tcW w:w="882" w:type="dxa"/>
          </w:tcPr>
          <w:p w:rsidR="00D8044C" w:rsidRDefault="00D8044C" w:rsidP="00454803">
            <w:pPr>
              <w:jc w:val="left"/>
              <w:rPr>
                <w:sz w:val="14"/>
                <w:szCs w:val="14"/>
              </w:rPr>
            </w:pPr>
            <w:r>
              <w:rPr>
                <w:sz w:val="14"/>
                <w:szCs w:val="14"/>
              </w:rPr>
              <w:t>B3</w:t>
            </w:r>
          </w:p>
        </w:tc>
        <w:tc>
          <w:tcPr>
            <w:tcW w:w="770" w:type="dxa"/>
          </w:tcPr>
          <w:p w:rsidR="00D8044C" w:rsidRDefault="00D8044C" w:rsidP="00454803">
            <w:pPr>
              <w:jc w:val="left"/>
              <w:rPr>
                <w:sz w:val="14"/>
                <w:szCs w:val="14"/>
              </w:rPr>
            </w:pPr>
            <w:r>
              <w:rPr>
                <w:sz w:val="14"/>
                <w:szCs w:val="14"/>
              </w:rPr>
              <w:t>ABK material is equated with children in general</w:t>
            </w:r>
          </w:p>
        </w:tc>
        <w:tc>
          <w:tcPr>
            <w:tcW w:w="658" w:type="dxa"/>
          </w:tcPr>
          <w:p w:rsidR="00D8044C" w:rsidRDefault="00D8044C" w:rsidP="00454803">
            <w:pPr>
              <w:jc w:val="left"/>
              <w:rPr>
                <w:sz w:val="14"/>
                <w:szCs w:val="14"/>
              </w:rPr>
            </w:pPr>
            <w:r>
              <w:rPr>
                <w:sz w:val="14"/>
                <w:szCs w:val="14"/>
              </w:rPr>
              <w:t>ABK material is equated with children in general</w:t>
            </w:r>
          </w:p>
        </w:tc>
        <w:tc>
          <w:tcPr>
            <w:tcW w:w="742" w:type="dxa"/>
          </w:tcPr>
          <w:p w:rsidR="00D8044C" w:rsidRDefault="00D8044C" w:rsidP="00454803">
            <w:pPr>
              <w:jc w:val="left"/>
              <w:rPr>
                <w:sz w:val="14"/>
                <w:szCs w:val="14"/>
              </w:rPr>
            </w:pPr>
            <w:r>
              <w:rPr>
                <w:sz w:val="14"/>
                <w:szCs w:val="14"/>
              </w:rPr>
              <w:t>ABK material is equated with children in general</w:t>
            </w:r>
          </w:p>
        </w:tc>
        <w:tc>
          <w:tcPr>
            <w:tcW w:w="741" w:type="dxa"/>
          </w:tcPr>
          <w:p w:rsidR="00D8044C" w:rsidRDefault="00D8044C" w:rsidP="00454803">
            <w:pPr>
              <w:jc w:val="left"/>
              <w:rPr>
                <w:sz w:val="14"/>
                <w:szCs w:val="14"/>
              </w:rPr>
            </w:pPr>
            <w:r>
              <w:rPr>
                <w:sz w:val="14"/>
                <w:szCs w:val="14"/>
              </w:rPr>
              <w:t>ABK material is distinguished from children in general</w:t>
            </w:r>
          </w:p>
        </w:tc>
        <w:tc>
          <w:tcPr>
            <w:tcW w:w="708" w:type="dxa"/>
          </w:tcPr>
          <w:p w:rsidR="00D8044C" w:rsidRDefault="00D8044C" w:rsidP="00454803">
            <w:pPr>
              <w:jc w:val="left"/>
              <w:rPr>
                <w:sz w:val="14"/>
                <w:szCs w:val="14"/>
              </w:rPr>
            </w:pPr>
            <w:r>
              <w:rPr>
                <w:sz w:val="14"/>
                <w:szCs w:val="14"/>
              </w:rPr>
              <w:t>ABK material is equated with children in general</w:t>
            </w:r>
          </w:p>
        </w:tc>
      </w:tr>
      <w:tr w:rsidR="00FA0B60" w:rsidTr="00CC0A3E">
        <w:tc>
          <w:tcPr>
            <w:tcW w:w="714" w:type="dxa"/>
          </w:tcPr>
          <w:p w:rsidR="00D8044C" w:rsidRDefault="00D8044C" w:rsidP="00454803">
            <w:pPr>
              <w:jc w:val="left"/>
              <w:rPr>
                <w:sz w:val="14"/>
                <w:szCs w:val="14"/>
              </w:rPr>
            </w:pPr>
            <w:r>
              <w:rPr>
                <w:sz w:val="14"/>
                <w:szCs w:val="14"/>
              </w:rPr>
              <w:t>C</w:t>
            </w:r>
          </w:p>
        </w:tc>
        <w:tc>
          <w:tcPr>
            <w:tcW w:w="882" w:type="dxa"/>
          </w:tcPr>
          <w:p w:rsidR="00D8044C" w:rsidRDefault="00D8044C" w:rsidP="00454803">
            <w:pPr>
              <w:jc w:val="left"/>
              <w:rPr>
                <w:sz w:val="14"/>
                <w:szCs w:val="14"/>
              </w:rPr>
            </w:pPr>
            <w:r>
              <w:rPr>
                <w:sz w:val="14"/>
                <w:szCs w:val="14"/>
              </w:rPr>
              <w:t>C1</w:t>
            </w:r>
          </w:p>
        </w:tc>
        <w:tc>
          <w:tcPr>
            <w:tcW w:w="770"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658"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42"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41"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c>
          <w:tcPr>
            <w:tcW w:w="708" w:type="dxa"/>
          </w:tcPr>
          <w:p w:rsidR="00D8044C" w:rsidRDefault="00D8044C" w:rsidP="00454803">
            <w:pPr>
              <w:jc w:val="left"/>
              <w:rPr>
                <w:sz w:val="14"/>
                <w:szCs w:val="14"/>
              </w:rPr>
            </w:pPr>
            <w:r>
              <w:rPr>
                <w:sz w:val="14"/>
                <w:szCs w:val="14"/>
              </w:rPr>
              <w:t>Have attended training on learning but never attended training on ABK, supported by physical evidence of training certificates</w:t>
            </w:r>
          </w:p>
        </w:tc>
      </w:tr>
    </w:tbl>
    <w:p w:rsidR="00D8044C" w:rsidRPr="001F1AEE" w:rsidRDefault="00F121ED" w:rsidP="001F1AEE">
      <w:pPr>
        <w:pStyle w:val="tablefootnote"/>
        <w:numPr>
          <w:ilvl w:val="0"/>
          <w:numId w:val="0"/>
        </w:numPr>
        <w:ind w:left="360" w:hanging="360"/>
        <w:jc w:val="left"/>
        <w:rPr>
          <w:i/>
          <w:iCs/>
        </w:rPr>
      </w:pPr>
      <w:r>
        <w:t>Note</w:t>
      </w:r>
      <w:r w:rsidR="001F1AEE">
        <w:t>:</w:t>
      </w:r>
    </w:p>
    <w:p w:rsidR="001F1AEE" w:rsidRPr="001F1AEE" w:rsidRDefault="001F1AEE" w:rsidP="001F1AEE">
      <w:pPr>
        <w:jc w:val="left"/>
        <w:rPr>
          <w:sz w:val="12"/>
          <w:szCs w:val="12"/>
        </w:rPr>
      </w:pPr>
      <w:r>
        <w:rPr>
          <w:sz w:val="12"/>
          <w:szCs w:val="12"/>
        </w:rPr>
        <w:t xml:space="preserve">A   </w:t>
      </w:r>
      <w:r w:rsidRPr="001F1AEE">
        <w:rPr>
          <w:sz w:val="12"/>
          <w:szCs w:val="12"/>
        </w:rPr>
        <w:t>: Under-stand the characteristics and learning needs of children with special needs</w:t>
      </w:r>
    </w:p>
    <w:p w:rsidR="001F1AEE" w:rsidRPr="001F1AEE" w:rsidRDefault="001F1AEE" w:rsidP="001F1AEE">
      <w:pPr>
        <w:jc w:val="left"/>
        <w:rPr>
          <w:sz w:val="12"/>
          <w:szCs w:val="12"/>
        </w:rPr>
      </w:pPr>
      <w:proofErr w:type="gramStart"/>
      <w:r>
        <w:rPr>
          <w:sz w:val="12"/>
          <w:szCs w:val="12"/>
        </w:rPr>
        <w:t xml:space="preserve">A1 </w:t>
      </w:r>
      <w:r w:rsidRPr="001F1AEE">
        <w:rPr>
          <w:sz w:val="12"/>
          <w:szCs w:val="12"/>
        </w:rPr>
        <w:t>:</w:t>
      </w:r>
      <w:proofErr w:type="gramEnd"/>
      <w:r w:rsidRPr="001F1AEE">
        <w:rPr>
          <w:sz w:val="12"/>
          <w:szCs w:val="12"/>
        </w:rPr>
        <w:t xml:space="preserve"> Describe the </w:t>
      </w:r>
      <w:proofErr w:type="spellStart"/>
      <w:r w:rsidRPr="001F1AEE">
        <w:rPr>
          <w:sz w:val="12"/>
          <w:szCs w:val="12"/>
        </w:rPr>
        <w:t>charac-teristics</w:t>
      </w:r>
      <w:proofErr w:type="spellEnd"/>
      <w:r w:rsidRPr="001F1AEE">
        <w:rPr>
          <w:sz w:val="12"/>
          <w:szCs w:val="12"/>
        </w:rPr>
        <w:t xml:space="preserve"> of ABK</w:t>
      </w:r>
    </w:p>
    <w:p w:rsidR="001F1AEE" w:rsidRPr="001F1AEE" w:rsidRDefault="001F1AEE" w:rsidP="001F1AEE">
      <w:pPr>
        <w:jc w:val="left"/>
        <w:rPr>
          <w:sz w:val="12"/>
          <w:szCs w:val="12"/>
        </w:rPr>
      </w:pPr>
      <w:proofErr w:type="gramStart"/>
      <w:r w:rsidRPr="001F1AEE">
        <w:rPr>
          <w:sz w:val="12"/>
          <w:szCs w:val="12"/>
        </w:rPr>
        <w:t>A2</w:t>
      </w:r>
      <w:r>
        <w:rPr>
          <w:sz w:val="12"/>
          <w:szCs w:val="12"/>
        </w:rPr>
        <w:t xml:space="preserve"> </w:t>
      </w:r>
      <w:r w:rsidRPr="001F1AEE">
        <w:rPr>
          <w:sz w:val="12"/>
          <w:szCs w:val="12"/>
        </w:rPr>
        <w:t>:</w:t>
      </w:r>
      <w:proofErr w:type="gramEnd"/>
      <w:r w:rsidRPr="001F1AEE">
        <w:rPr>
          <w:sz w:val="12"/>
          <w:szCs w:val="12"/>
        </w:rPr>
        <w:t xml:space="preserve"> Identify the difficulties faced by ABK</w:t>
      </w:r>
    </w:p>
    <w:p w:rsidR="001F1AEE" w:rsidRPr="001F1AEE" w:rsidRDefault="001F1AEE" w:rsidP="001F1AEE">
      <w:pPr>
        <w:ind w:right="-205"/>
        <w:jc w:val="both"/>
        <w:rPr>
          <w:sz w:val="12"/>
          <w:szCs w:val="12"/>
        </w:rPr>
      </w:pPr>
      <w:proofErr w:type="gramStart"/>
      <w:r w:rsidRPr="001F1AEE">
        <w:rPr>
          <w:sz w:val="12"/>
          <w:szCs w:val="12"/>
        </w:rPr>
        <w:t>A3</w:t>
      </w:r>
      <w:r>
        <w:rPr>
          <w:sz w:val="12"/>
          <w:szCs w:val="12"/>
        </w:rPr>
        <w:t xml:space="preserve"> </w:t>
      </w:r>
      <w:r w:rsidRPr="001F1AEE">
        <w:rPr>
          <w:sz w:val="12"/>
          <w:szCs w:val="12"/>
        </w:rPr>
        <w:t>:</w:t>
      </w:r>
      <w:proofErr w:type="gramEnd"/>
      <w:r w:rsidRPr="001F1AEE">
        <w:rPr>
          <w:sz w:val="12"/>
          <w:szCs w:val="12"/>
        </w:rPr>
        <w:t xml:space="preserve"> Carry out an assessment to determine the learning needs of children with special needs</w:t>
      </w:r>
    </w:p>
    <w:p w:rsidR="001F1AEE" w:rsidRPr="001F1AEE" w:rsidRDefault="001F1AEE" w:rsidP="001F1AEE">
      <w:pPr>
        <w:jc w:val="both"/>
        <w:rPr>
          <w:sz w:val="12"/>
          <w:szCs w:val="12"/>
        </w:rPr>
      </w:pPr>
      <w:r w:rsidRPr="001F1AEE">
        <w:rPr>
          <w:sz w:val="12"/>
          <w:szCs w:val="12"/>
        </w:rPr>
        <w:t xml:space="preserve">B  </w:t>
      </w:r>
      <w:r>
        <w:rPr>
          <w:sz w:val="12"/>
          <w:szCs w:val="12"/>
        </w:rPr>
        <w:t xml:space="preserve"> </w:t>
      </w:r>
      <w:r w:rsidRPr="001F1AEE">
        <w:rPr>
          <w:sz w:val="12"/>
          <w:szCs w:val="12"/>
        </w:rPr>
        <w:t xml:space="preserve">: Developing a curriculum </w:t>
      </w:r>
    </w:p>
    <w:p w:rsidR="001F1AEE" w:rsidRPr="001F1AEE" w:rsidRDefault="001F1AEE" w:rsidP="001F1AEE">
      <w:pPr>
        <w:jc w:val="both"/>
        <w:rPr>
          <w:sz w:val="12"/>
          <w:szCs w:val="12"/>
        </w:rPr>
      </w:pPr>
      <w:proofErr w:type="gramStart"/>
      <w:r w:rsidRPr="001F1AEE">
        <w:rPr>
          <w:sz w:val="12"/>
          <w:szCs w:val="12"/>
        </w:rPr>
        <w:t>B1 :</w:t>
      </w:r>
      <w:proofErr w:type="gramEnd"/>
      <w:r w:rsidRPr="001F1AEE">
        <w:rPr>
          <w:sz w:val="12"/>
          <w:szCs w:val="12"/>
        </w:rPr>
        <w:t xml:space="preserve"> Understand the principles of curriculum development</w:t>
      </w:r>
    </w:p>
    <w:p w:rsidR="001F1AEE" w:rsidRPr="001F1AEE" w:rsidRDefault="001F1AEE" w:rsidP="001F1AEE">
      <w:pPr>
        <w:jc w:val="both"/>
        <w:rPr>
          <w:sz w:val="12"/>
          <w:szCs w:val="12"/>
        </w:rPr>
      </w:pPr>
      <w:proofErr w:type="gramStart"/>
      <w:r w:rsidRPr="001F1AEE">
        <w:rPr>
          <w:sz w:val="12"/>
          <w:szCs w:val="12"/>
        </w:rPr>
        <w:t>B2 :</w:t>
      </w:r>
      <w:proofErr w:type="gramEnd"/>
      <w:r w:rsidRPr="001F1AEE">
        <w:rPr>
          <w:sz w:val="12"/>
          <w:szCs w:val="12"/>
        </w:rPr>
        <w:t xml:space="preserve"> Develop lesson plans that suit the various conditions of children</w:t>
      </w:r>
    </w:p>
    <w:p w:rsidR="001F1AEE" w:rsidRPr="001F1AEE" w:rsidRDefault="00BB1A9D" w:rsidP="00BB1A9D">
      <w:pPr>
        <w:ind w:left="238" w:hanging="238"/>
        <w:jc w:val="both"/>
        <w:rPr>
          <w:sz w:val="12"/>
          <w:szCs w:val="12"/>
        </w:rPr>
      </w:pPr>
      <w:proofErr w:type="gramStart"/>
      <w:r>
        <w:rPr>
          <w:sz w:val="12"/>
          <w:szCs w:val="12"/>
        </w:rPr>
        <w:t xml:space="preserve">B3 </w:t>
      </w:r>
      <w:r w:rsidR="001F1AEE" w:rsidRPr="001F1AEE">
        <w:rPr>
          <w:sz w:val="12"/>
          <w:szCs w:val="12"/>
        </w:rPr>
        <w:t>:</w:t>
      </w:r>
      <w:proofErr w:type="gramEnd"/>
      <w:r w:rsidR="001F1AEE" w:rsidRPr="001F1AEE">
        <w:rPr>
          <w:sz w:val="12"/>
          <w:szCs w:val="12"/>
        </w:rPr>
        <w:t xml:space="preserve"> Choose material that is in accordance with the learning objectives set while still paying attention to the characteristics of the child</w:t>
      </w:r>
    </w:p>
    <w:p w:rsidR="001F1AEE" w:rsidRPr="001F1AEE" w:rsidRDefault="001F1AEE" w:rsidP="001F1AEE">
      <w:pPr>
        <w:jc w:val="both"/>
        <w:rPr>
          <w:sz w:val="12"/>
          <w:szCs w:val="12"/>
        </w:rPr>
      </w:pPr>
      <w:r w:rsidRPr="001F1AEE">
        <w:rPr>
          <w:sz w:val="12"/>
          <w:szCs w:val="12"/>
        </w:rPr>
        <w:t xml:space="preserve">C </w:t>
      </w:r>
      <w:r w:rsidR="00BB1A9D">
        <w:rPr>
          <w:sz w:val="12"/>
          <w:szCs w:val="12"/>
        </w:rPr>
        <w:t xml:space="preserve">  </w:t>
      </w:r>
      <w:r w:rsidRPr="001F1AEE">
        <w:rPr>
          <w:sz w:val="12"/>
          <w:szCs w:val="12"/>
        </w:rPr>
        <w:t>: Participate in activities to improve competence</w:t>
      </w:r>
    </w:p>
    <w:p w:rsidR="001F1AEE" w:rsidRPr="001F1AEE" w:rsidRDefault="001F1AEE" w:rsidP="001F1AEE">
      <w:pPr>
        <w:jc w:val="both"/>
        <w:rPr>
          <w:sz w:val="12"/>
          <w:szCs w:val="12"/>
        </w:rPr>
      </w:pPr>
      <w:proofErr w:type="gramStart"/>
      <w:r w:rsidRPr="001F1AEE">
        <w:rPr>
          <w:sz w:val="12"/>
          <w:szCs w:val="12"/>
        </w:rPr>
        <w:t>C1 :</w:t>
      </w:r>
      <w:proofErr w:type="gramEnd"/>
      <w:r w:rsidRPr="001F1AEE">
        <w:rPr>
          <w:sz w:val="12"/>
          <w:szCs w:val="12"/>
        </w:rPr>
        <w:t xml:space="preserve"> Take self-development training related to learning</w:t>
      </w:r>
    </w:p>
    <w:p w:rsidR="008A55B5" w:rsidRDefault="00BB1A9D" w:rsidP="00EF3A1A">
      <w:pPr>
        <w:pStyle w:val="Heading2"/>
      </w:pPr>
      <w:r>
        <w:t>Discussion</w:t>
      </w:r>
    </w:p>
    <w:p w:rsidR="00BB1A9D" w:rsidRDefault="00BB1A9D" w:rsidP="00BB1A9D">
      <w:pPr>
        <w:spacing w:line="228" w:lineRule="auto"/>
        <w:jc w:val="both"/>
      </w:pPr>
      <w:r w:rsidRPr="00BB1A9D">
        <w:t>The research results will be discussed and elaborated based on the findings of the instrument indicators, as follows:</w:t>
      </w:r>
    </w:p>
    <w:p w:rsidR="00014136" w:rsidRPr="00BB1A9D" w:rsidRDefault="00014136" w:rsidP="00BB1A9D">
      <w:pPr>
        <w:spacing w:line="228" w:lineRule="auto"/>
        <w:jc w:val="both"/>
      </w:pPr>
    </w:p>
    <w:p w:rsidR="00BB1A9D" w:rsidRPr="00BB1A9D" w:rsidRDefault="00BB1A9D" w:rsidP="00BB1A9D">
      <w:pPr>
        <w:numPr>
          <w:ilvl w:val="0"/>
          <w:numId w:val="14"/>
        </w:numPr>
        <w:suppressAutoHyphens/>
        <w:spacing w:line="228" w:lineRule="auto"/>
        <w:ind w:left="284"/>
        <w:jc w:val="both"/>
        <w:textDirection w:val="btLr"/>
        <w:textAlignment w:val="top"/>
        <w:outlineLvl w:val="0"/>
        <w:rPr>
          <w:i/>
        </w:rPr>
      </w:pPr>
      <w:r w:rsidRPr="00BB1A9D">
        <w:rPr>
          <w:i/>
        </w:rPr>
        <w:t>Understand the characteristics and learning needs of children with special needs</w:t>
      </w:r>
    </w:p>
    <w:p w:rsidR="00BB1A9D" w:rsidRPr="00BB1A9D" w:rsidRDefault="00BB1A9D" w:rsidP="00BB1A9D">
      <w:pPr>
        <w:pBdr>
          <w:top w:val="nil"/>
          <w:left w:val="nil"/>
          <w:bottom w:val="nil"/>
          <w:right w:val="nil"/>
          <w:between w:val="nil"/>
        </w:pBdr>
        <w:tabs>
          <w:tab w:val="left" w:pos="288"/>
        </w:tabs>
        <w:spacing w:line="228" w:lineRule="auto"/>
        <w:jc w:val="both"/>
      </w:pPr>
      <w:r w:rsidRPr="00BB1A9D">
        <w:lastRenderedPageBreak/>
        <w:tab/>
        <w:t>Children with Special Needs are unique individuals who differ from one another. Therefore, the teacher must be able to understand the characteristics of each child. Teachers' understanding of the characteristics possessed by children with special needs has an impact on accuracy in meeting their learning needs so that children can develop optimally.</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For information, the children with special needs faced by each respondent is different, namely R1 a blind child, R2 a deaf child, R3 a deaf child, R4 a child with autism, R5 a blind child. Based on the research results, all respondents can find out the characteristics of the ABK they serve even though they are not too deep. Almost all respondents identify the characteristics of children with special needs based on their observations of emerging behaviors that are different from other children. Respondents also got information about the specificities of the child from the stories told by the parents. 2 out of 5 respondents have been able to identify the difficulties faced by children with special needs by looking at the physical condition of children, namely blind children so that they have placed them close to the teacher so that they hear the teacher's voice more clearly.</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Children with special needs are identical to assessment. Assessment is an important activity in planning programs for children with special needs. The 5 main objectives of assessment in educational settings are screening and identification to screen and identify those who may experience learning barriers or problems; eligibility and diagnosis to determine whether a child has a disability and is eligible for special education services; IEP's development and placement to provide detailed information so that individual learning programs can be created and developed and to decide on the appropriate placement of children in education; Instructional planning to plan and develop learning in accordance with the special needs of children; evaluation to evaluate chi</w:t>
      </w:r>
      <w:r w:rsidR="001838B6">
        <w:t xml:space="preserve">ldren's progress </w:t>
      </w:r>
      <w:r w:rsidR="001838B6">
        <w:fldChar w:fldCharType="begin" w:fldLock="1"/>
      </w:r>
      <w:r w:rsidR="001838B6">
        <w:instrText>ADDIN CSL_CITATION {"citationItems":[{"id":"ITEM-1","itemData":{"author":[{"dropping-particle":"","family":"Berdine","given":"W H","non-dropping-particle":"","parse-names":false,"suffix":""},{"dropping-particle":"","family":"Meyer","given":"S A","non-dropping-particle":"","parse-names":false,"suffix":""}],"id":"ITEM-1","issued":{"date-parts":[["1987"]]},"publisher":"Little, Brown and Company (Available from Harper-Collins.)","publisher-place":"Boston","title":"Assessment in special education","type":"book"},"uris":["http://www.mendeley.com/documents/?uuid=9d4093e7-e292-4ab2-8211-af8ffab50417"]}],"mendeley":{"formattedCitation":"[6]","plainTextFormattedCitation":"[6]","previouslyFormattedCitation":"[6]"},"properties":{"noteIndex":0},"schema":"https://github.com/citation-style-language/schema/raw/master/csl-citation.json"}</w:instrText>
      </w:r>
      <w:r w:rsidR="001838B6">
        <w:fldChar w:fldCharType="separate"/>
      </w:r>
      <w:r w:rsidR="001838B6" w:rsidRPr="001838B6">
        <w:rPr>
          <w:noProof/>
        </w:rPr>
        <w:t>[6]</w:t>
      </w:r>
      <w:r w:rsidR="001838B6">
        <w:fldChar w:fldCharType="end"/>
      </w:r>
      <w:r w:rsidRPr="00BB1A9D">
        <w:t>.</w:t>
      </w:r>
    </w:p>
    <w:p w:rsidR="00BB1A9D" w:rsidRPr="00BB1A9D" w:rsidRDefault="00BB1A9D" w:rsidP="00BB1A9D">
      <w:pPr>
        <w:pBdr>
          <w:top w:val="nil"/>
          <w:left w:val="nil"/>
          <w:bottom w:val="nil"/>
          <w:right w:val="nil"/>
          <w:between w:val="nil"/>
        </w:pBdr>
        <w:tabs>
          <w:tab w:val="left" w:pos="288"/>
        </w:tabs>
        <w:spacing w:line="228" w:lineRule="auto"/>
        <w:jc w:val="both"/>
      </w:pPr>
      <w:r w:rsidRPr="00BB1A9D">
        <w:tab/>
        <w:t>These assessment skills need to be possessed by teachers as basic materials in preparing educational programs for children with special needs. But in fact, the results showed that almost all respondents studied did not know the assessment and what the assessment was related to with children with special needs. Technical competence in conducting assessments is a necessity in identifying students correctly. Lack of competence in selecting appropriate tests and managing instrument assessments can lead to misidentificati</w:t>
      </w:r>
      <w:r w:rsidR="001838B6">
        <w:t xml:space="preserve">on or lack of identification </w:t>
      </w:r>
      <w:r w:rsidR="001838B6">
        <w:fldChar w:fldCharType="begin" w:fldLock="1"/>
      </w:r>
      <w:r w:rsidR="001838B6">
        <w:instrText>ADDIN CSL_CITATION {"citationItems":[{"id":"ITEM-1","itemData":{"DOI":"10.1108/S0270-4013(2010)0000019005","ISBN":"978-1-84855-669-0, 978-1-84855-668-3/0270-4013","abstract":"Misidentification of students with disabilities is a widely publicized aspect of the shortcomings of our special education programs. Many factors can contribute to misidentification. In the Congressional Research Service (CRS) Report for Congress (Apling, 2001), three issues were specifically identified as reasons for possible misidentification. “Misidentification can result from failing to identify those with disabilities, from identifying children with disabilities they do not have, and from delaying identifying children with disabilities” (p. 2). In addition to the aforementioned concerns, an overrepresentation of minorities in special education programs has been a focal point for critics of special education programs and eligibility criteria for decades (see Harry &amp; Klinger, 2006). Biases in assessment often lay the foundation for overrepresentation of minorities. Others express serious concerns regarding misidentification due to a direct result of the referral (or lack of effective prereferral) and evaluation practices used in many states (Ysseldyke, Algozzine, Richey, &amp; Graden, 1982). Last, misidentification due to the changing eligibility criteria and differences in eligibility criteria across states has been added to the concerns in the field of special education.","author":[{"dropping-particle":"","family":"Barbara","given":"Metzger","non-dropping-particle":"","parse-names":false,"suffix":""},{"dropping-particle":"","family":"G.","given":"Simpson Cynthia","non-dropping-particle":"","parse-names":false,"suffix":""},{"dropping-particle":"","family":"P.","given":"Bakken Jeffrey","non-dropping-particle":"","parse-names":false,"suffix":""}],"collection-title":"Advances in Special Education","container-title":"Current Issues and Trends in Special Education: Identification, Assessment and Instruction","editor":[{"dropping-particle":"","family":"Obiakor","given":"Festus E","non-dropping-particle":"","parse-names":false,"suffix":""},{"dropping-particle":"","family":"Bakken","given":"Jeffrey P","non-dropping-particle":"","parse-names":false,"suffix":""},{"dropping-particle":"","family":"Rotatori","given":"Anthony F","non-dropping-particle":"","parse-names":false,"suffix":""}],"id":"ITEM-1","issued":{"date-parts":[["2010","1","1"]]},"page":"17-34","publisher":"Emerald Group Publishing Limited","title":"Early identification/intervention: Can misidentification/misintervention impact students, teachers, and families?","type":"chapter","volume":"19"},"uris":["http://www.mendeley.com/documents/?uuid=a798b9bc-0557-4b2a-bec7-0ff6dcd85630"]}],"mendeley":{"formattedCitation":"[7]","plainTextFormattedCitation":"[7]","previouslyFormattedCitation":"[7]"},"properties":{"noteIndex":0},"schema":"https://github.com/citation-style-language/schema/raw/master/csl-citation.json"}</w:instrText>
      </w:r>
      <w:r w:rsidR="001838B6">
        <w:fldChar w:fldCharType="separate"/>
      </w:r>
      <w:r w:rsidR="001838B6" w:rsidRPr="001838B6">
        <w:rPr>
          <w:noProof/>
        </w:rPr>
        <w:t>[7]</w:t>
      </w:r>
      <w:r w:rsidR="001838B6">
        <w:fldChar w:fldCharType="end"/>
      </w:r>
      <w:r w:rsidRPr="00BB1A9D">
        <w:t xml:space="preserve"> which results in inappropriate educational services provided to children with special needs.</w:t>
      </w:r>
    </w:p>
    <w:p w:rsidR="00BB1A9D" w:rsidRPr="00BB1A9D" w:rsidRDefault="00BB1A9D" w:rsidP="00BB1A9D">
      <w:pPr>
        <w:tabs>
          <w:tab w:val="left" w:pos="288"/>
        </w:tabs>
        <w:spacing w:line="228" w:lineRule="auto"/>
        <w:jc w:val="both"/>
      </w:pPr>
      <w:r w:rsidRPr="00BB1A9D">
        <w:tab/>
        <w:t>Three of the five teachers studied stated that assessment was the same as evaluation, which was an activity to assess children's learning abilities. The remaining two answered that they never heard the assessment. Therefore, none of the studied subjects had ever assessed ABK. Ignorance of the assessment has an impact on the ability of the children with special needs faced by each teacher to not develop optimally. According to</w:t>
      </w:r>
      <w:r w:rsidR="001838B6">
        <w:t xml:space="preserve"> </w:t>
      </w:r>
      <w:r w:rsidR="001838B6">
        <w:fldChar w:fldCharType="begin" w:fldLock="1"/>
      </w:r>
      <w:r w:rsidR="001838B6">
        <w:instrText>ADDIN CSL_CITATION {"citationItems":[{"id":"ITEM-1","itemData":{"author":[{"dropping-particle":"","family":"Wortham","given":"Sue C","non-dropping-particle":"","parse-names":false,"suffix":""}],"id":"ITEM-1","issued":{"date-parts":[["2005"]]},"publisher":"Pearson Education, Inc","publisher-place":"New Jersey","title":"Assessment in Early Childhood Education","type":"book"},"uris":["http://www.mendeley.com/documents/?uuid=7099231e-3c7e-496a-af07-5860261eae97"]}],"mendeley":{"formattedCitation":"[8]","plainTextFormattedCitation":"[8]","previouslyFormattedCitation":"[8]"},"properties":{"noteIndex":0},"schema":"https://github.com/citation-style-language/schema/raw/master/csl-citation.json"}</w:instrText>
      </w:r>
      <w:r w:rsidR="001838B6">
        <w:fldChar w:fldCharType="separate"/>
      </w:r>
      <w:r w:rsidR="001838B6" w:rsidRPr="001838B6">
        <w:rPr>
          <w:noProof/>
        </w:rPr>
        <w:t>[8]</w:t>
      </w:r>
      <w:r w:rsidR="001838B6">
        <w:fldChar w:fldCharType="end"/>
      </w:r>
      <w:r w:rsidRPr="00BB1A9D">
        <w:t xml:space="preserve">, if PAUD teachers do not have the competence in carrying out the assessment, it is difficult to know the level of development or otherwise experience developmental delays, as a result the teacher cannot provide educational services according to the needs of each child, </w:t>
      </w:r>
      <w:r w:rsidRPr="00BB1A9D">
        <w:lastRenderedPageBreak/>
        <w:t>besides that the teacher will also find it difficult to design lessons that can be optimize child development.</w:t>
      </w:r>
    </w:p>
    <w:p w:rsidR="00BB1A9D" w:rsidRPr="00BB1A9D" w:rsidRDefault="00BB1A9D" w:rsidP="00BB1A9D">
      <w:pPr>
        <w:numPr>
          <w:ilvl w:val="0"/>
          <w:numId w:val="14"/>
        </w:numPr>
        <w:pBdr>
          <w:top w:val="nil"/>
          <w:left w:val="nil"/>
          <w:bottom w:val="nil"/>
          <w:right w:val="nil"/>
          <w:between w:val="nil"/>
        </w:pBdr>
        <w:suppressAutoHyphens/>
        <w:spacing w:line="228" w:lineRule="auto"/>
        <w:ind w:left="284" w:hanging="284"/>
        <w:jc w:val="both"/>
        <w:textDirection w:val="btLr"/>
        <w:textAlignment w:val="top"/>
        <w:outlineLvl w:val="0"/>
        <w:rPr>
          <w:i/>
          <w:color w:val="000000"/>
        </w:rPr>
      </w:pPr>
      <w:r w:rsidRPr="00BB1A9D">
        <w:rPr>
          <w:i/>
        </w:rPr>
        <w:t>Developing a curriculum</w:t>
      </w:r>
    </w:p>
    <w:p w:rsidR="00BB1A9D" w:rsidRPr="00BB1A9D" w:rsidRDefault="00BB1A9D" w:rsidP="00BB1A9D">
      <w:pPr>
        <w:tabs>
          <w:tab w:val="left" w:pos="288"/>
        </w:tabs>
        <w:spacing w:line="228" w:lineRule="auto"/>
        <w:jc w:val="both"/>
      </w:pPr>
      <w:r w:rsidRPr="00BB1A9D">
        <w:tab/>
        <w:t>In this aspect, all respondents already understand the principles of curriculum development for early childhood. All teachers have made Semester Programs, Weekly Programs and RPPH according to the standards applicable to early childhood. However, all respondents did not make individual learning programs to accommodate the learning needs of children with special needs. Meanwhile IEP is a program where data is not separated from ABK related to special services that cannot be obtained only from regular classes. IEP aims to provide the best educational services for students with special needs through the provision of learning that suits their needs</w:t>
      </w:r>
      <w:r w:rsidR="001838B6">
        <w:t xml:space="preserve"> </w:t>
      </w:r>
      <w:r w:rsidR="001838B6">
        <w:fldChar w:fldCharType="begin" w:fldLock="1"/>
      </w:r>
      <w:r w:rsidR="001838B6">
        <w:instrText>ADDIN CSL_CITATION {"citationItems":[{"id":"ITEM-1","itemData":{"DOI":"10.14419/ijet.v7i2.29.13997","abstract":"Previous studies have shown that teachers understand the importance of Individual Education Program (IEP), but they consider the administrative tasks of IEP as a burden. This review aims to illustrate how long the teacher completed the IEP administrative tasks, to explain why teachers view IEP as a burden, and to describe the strategies to minimize obstacles related to the administrative burden of IEP. The procedure of narrative review is selecting journals based on the inclusion and exclusion criteria related to administrative burden of IEP paperwork. The result shows that teachers spend more time doing IEP paperwork than assessing students’ assignments, communicating with parents, and sharing with colleagues. IEP paperwork takes up more than 10% of working time. The reasons IEP paperwork perceived as burdens are because of a large number of IEP forms and details, the multiple IEP service flow, the lack of knowledge of the personnel relating to the preparation or implementation of IEPs, the lack of assistance of administrative staff to complete the IEP paperwork, and the short/limited deadlines for administrative duties of IEP. The proposed strategies are improving appropriate technology, streamlining the contents of IEP forms, group IEP and increase the IEP administrative skills of the teachers.","author":[{"dropping-particle":"","family":"Kartika","given":"Aniva","non-dropping-particle":"","parse-names":false,"suffix":""},{"dropping-particle":"","family":"Retno Suminar","given":"Dewi","non-dropping-particle":"","parse-names":false,"suffix":""},{"dropping-particle":"","family":"M.W. Tairas","given":"Mareyke","non-dropping-particle":"","parse-names":false,"suffix":""},{"dropping-particle":"","family":"Hendriani","given":"Wiwin","non-dropping-particle":"","parse-names":false,"suffix":""}],"container-title":"International Journal of Engineering &amp; Technology","id":"ITEM-1","issue":"2.29","issued":{"date-parts":[["2018"]]},"page":"682-687","title":"Individual Education Program (IEP) Paperwork : A Narrative Review","type":"article-journal","volume":"7"},"uris":["http://www.mendeley.com/documents/?uuid=b40b4cb9-ba26-4f3c-8234-e70112c22de5"]}],"mendeley":{"formattedCitation":"[9]","plainTextFormattedCitation":"[9]","previouslyFormattedCitation":"[9]"},"properties":{"noteIndex":0},"schema":"https://github.com/citation-style-language/schema/raw/master/csl-citation.json"}</w:instrText>
      </w:r>
      <w:r w:rsidR="001838B6">
        <w:fldChar w:fldCharType="separate"/>
      </w:r>
      <w:r w:rsidR="001838B6" w:rsidRPr="001838B6">
        <w:rPr>
          <w:noProof/>
        </w:rPr>
        <w:t>[9]</w:t>
      </w:r>
      <w:r w:rsidR="001838B6">
        <w:fldChar w:fldCharType="end"/>
      </w:r>
      <w:r w:rsidRPr="00BB1A9D">
        <w:t xml:space="preserve">. Of the five teachers studied, 1 respondent knew the meaning of individual learning programs even though they did not know what </w:t>
      </w:r>
      <w:proofErr w:type="gramStart"/>
      <w:r w:rsidRPr="00BB1A9D">
        <w:t>was the basis for its preparation</w:t>
      </w:r>
      <w:proofErr w:type="gramEnd"/>
      <w:r w:rsidRPr="00BB1A9D">
        <w:t>. There is no special program for children with special needs, all respondents use the same program for both typical children and ABK. Ignorance of the procedure and format for making individual learning programs is also the main reason almost all re</w:t>
      </w:r>
      <w:r w:rsidR="001838B6">
        <w:t xml:space="preserve">spondents did not make it. </w:t>
      </w:r>
      <w:r w:rsidR="001838B6">
        <w:fldChar w:fldCharType="begin" w:fldLock="1"/>
      </w:r>
      <w:r w:rsidR="001838B6">
        <w:instrText>ADDIN CSL_CITATION {"citationItems":[{"id":"ITEM-1","itemData":{"author":[{"dropping-particle":"","family":"Drasgow","given":"Erik","non-dropping-particle":"","parse-names":false,"suffix":""},{"dropping-particle":"","family":"Yell","given":"Mitchell","non-dropping-particle":"","parse-names":false,"suffix":""},{"dropping-particle":"","family":"Robinson","given":"R","non-dropping-particle":"","parse-names":false,"suffix":""}],"container-title":"REMEDIAL AND SPECIAL EDUCATION","id":"ITEM-1","issue":"6","issued":{"date-parts":[["2001"]]},"page":"359-373","title":"Developing Legally","type":"article-journal","volume":"22"},"uris":["http://www.mendeley.com/documents/?uuid=d87cdb22-e060-4c6f-a80c-6a746a7bcbc1"]}],"mendeley":{"formattedCitation":"[10]","plainTextFormattedCitation":"[10]","previouslyFormattedCitation":"[10]"},"properties":{"noteIndex":0},"schema":"https://github.com/citation-style-language/schema/raw/master/csl-citation.json"}</w:instrText>
      </w:r>
      <w:r w:rsidR="001838B6">
        <w:fldChar w:fldCharType="separate"/>
      </w:r>
      <w:r w:rsidR="001838B6" w:rsidRPr="001838B6">
        <w:rPr>
          <w:noProof/>
        </w:rPr>
        <w:t>[10]</w:t>
      </w:r>
      <w:r w:rsidR="001838B6">
        <w:fldChar w:fldCharType="end"/>
      </w:r>
      <w:r w:rsidRPr="00BB1A9D">
        <w:t>revealed that for all students who receive special education services in either regular education or special education settings, special education teams are required to develop IEPs for all students receiving special education services. The IEP should contain several key components including (a) a description of the types of special education programs students will receive, (b) what services the school will provide to students with disabilities, and (c) measurable an</w:t>
      </w:r>
      <w:r w:rsidR="001838B6">
        <w:t xml:space="preserve">nual goals and objectives. </w:t>
      </w:r>
      <w:r w:rsidR="001838B6">
        <w:fldChar w:fldCharType="begin" w:fldLock="1"/>
      </w:r>
      <w:r w:rsidR="001838B6">
        <w:instrText>ADDIN CSL_CITATION {"citationItems":[{"id":"ITEM-1","itemData":{"DOI":"10.1177/001440299005700102","ISSN":"00144029","abstract":"Evaluations of individualized education programs (IEPs) over the past decade have pointed to an inoperative IEP process and a questionable document. A three-phased review of data-based research and position papers from 1975 to 1989 reveals a history of IEP inadequacies and passive compliance. These findings are in contrast to the original intent and spirit of Public Law 94–142, the Education for All Handicapped Children Act (EAHCA). Implications for special education policy and practice have not been considered. Recommendations include a reexamination of the IEP in the context of the current special education reform debate. © 1990, Council for Exceptional Children. All rights reserved.","author":[{"dropping-particle":"","family":"Smith","given":"Stephen W.","non-dropping-particle":"","parse-names":false,"suffix":""}],"container-title":"Exceptional Children","id":"ITEM-1","issue":"1","issued":{"date-parts":[["1990"]]},"page":"6-14","title":"Individualized Education Programs (IEPs) in Special Education—From Intent to Acquiescence","type":"article-journal","volume":"57"},"uris":["http://www.mendeley.com/documents/?uuid=9a2e27f8-080a-4ac5-9761-3dfe56e42235"]}],"mendeley":{"formattedCitation":"[11]","plainTextFormattedCitation":"[11]","previouslyFormattedCitation":"[11]"},"properties":{"noteIndex":0},"schema":"https://github.com/citation-style-language/schema/raw/master/csl-citation.json"}</w:instrText>
      </w:r>
      <w:r w:rsidR="001838B6">
        <w:fldChar w:fldCharType="separate"/>
      </w:r>
      <w:r w:rsidR="001838B6" w:rsidRPr="001838B6">
        <w:rPr>
          <w:noProof/>
        </w:rPr>
        <w:t>[11]</w:t>
      </w:r>
      <w:r w:rsidR="001838B6">
        <w:fldChar w:fldCharType="end"/>
      </w:r>
      <w:r w:rsidR="001838B6">
        <w:t xml:space="preserve"> </w:t>
      </w:r>
      <w:proofErr w:type="gramStart"/>
      <w:r w:rsidRPr="00BB1A9D">
        <w:t>stated</w:t>
      </w:r>
      <w:proofErr w:type="gramEnd"/>
      <w:r w:rsidRPr="00BB1A9D">
        <w:t xml:space="preserve"> that the IEP supports individual learning against a backdrop of egalitarian views of mankind with the aim of providing adequate educational opportunities for children and adolescents with disabilities. Thus, the importance of IEP cannot be minimized and overlooked. This means that PPI must be an important component of the design and implementation of learning in improving student learning and teacher teaching.</w:t>
      </w:r>
    </w:p>
    <w:p w:rsidR="00BB1A9D" w:rsidRPr="00BB1A9D" w:rsidRDefault="00BB1A9D" w:rsidP="00BB1A9D">
      <w:pPr>
        <w:tabs>
          <w:tab w:val="left" w:pos="288"/>
        </w:tabs>
        <w:spacing w:line="228" w:lineRule="auto"/>
        <w:jc w:val="both"/>
      </w:pPr>
      <w:r w:rsidRPr="00BB1A9D">
        <w:tab/>
        <w:t xml:space="preserve">The accuracy of individual learning programs depends on the accuracy when analyzing the assessment results. The benefits of PPI for children with special needs are programs that are tailored to the abilities and needs of children without ignoring the limitations of the children so that their abilities can develop optimally. The main benefit of the IEP is the fulfillment of individual learning needs for </w:t>
      </w:r>
      <w:r w:rsidR="001838B6">
        <w:t xml:space="preserve">students with special needs </w:t>
      </w:r>
      <w:r w:rsidR="001838B6">
        <w:fldChar w:fldCharType="begin" w:fldLock="1"/>
      </w:r>
      <w:r w:rsidR="001838B6">
        <w:instrText>ADDIN CSL_CITATION {"citationItems":[{"id":"ITEM-1","itemData":{"DOI":"10.1177/016264340502000204","ISSN":"23813121","abstract":"This article discusses the use of IEP software applications from the perspectives of form (i.e., legally correct documents) and function (i.e., educationally appropriate individualized programs). The article provides an overview of the basic components of two fairly comprehensive IEP software programs and discusses the general strengths and weaknesses of IEP software. Suggestions and strategies are offered to help educators become involved in software evaluation and purchasing decisions. Lastly, we offer some optimistic yet cautionary notes about the form versus function aspects of using software to develop IEPs.","author":[{"dropping-particle":"","family":"Wilson","given":"Gloria Lodato","non-dropping-particle":"","parse-names":false,"suffix":""},{"dropping-particle":"","family":"Michaels","given":"Craig A.","non-dropping-particle":"","parse-names":false,"suffix":""},{"dropping-particle":"","family":"Margolis","given":"Howard","non-dropping-particle":"","parse-names":false,"suffix":""}],"container-title":"Journal of Special Education Technology","id":"ITEM-1","issue":"2","issued":{"date-parts":[["2005"]]},"page":"37-46","title":"Form versus Function: Using Technology to Develop Individualized Education Programs for Students with Disabilities","type":"article-journal","volume":"20"},"uris":["http://www.mendeley.com/documents/?uuid=39aa4376-fa83-4283-9e8f-809cb41b38c4"]}],"mendeley":{"formattedCitation":"[12]","plainTextFormattedCitation":"[12]","previouslyFormattedCitation":"[12]"},"properties":{"noteIndex":0},"schema":"https://github.com/citation-style-language/schema/raw/master/csl-citation.json"}</w:instrText>
      </w:r>
      <w:r w:rsidR="001838B6">
        <w:fldChar w:fldCharType="separate"/>
      </w:r>
      <w:r w:rsidR="001838B6" w:rsidRPr="001838B6">
        <w:rPr>
          <w:noProof/>
        </w:rPr>
        <w:t>[12]</w:t>
      </w:r>
      <w:r w:rsidR="001838B6">
        <w:fldChar w:fldCharType="end"/>
      </w:r>
      <w:r w:rsidRPr="00BB1A9D">
        <w:t>.</w:t>
      </w:r>
    </w:p>
    <w:p w:rsidR="00BB1A9D" w:rsidRPr="00BB1A9D" w:rsidRDefault="00BB1A9D" w:rsidP="00BB1A9D">
      <w:pPr>
        <w:numPr>
          <w:ilvl w:val="0"/>
          <w:numId w:val="14"/>
        </w:numPr>
        <w:suppressAutoHyphens/>
        <w:spacing w:line="228" w:lineRule="auto"/>
        <w:ind w:left="284" w:hanging="284"/>
        <w:jc w:val="both"/>
        <w:textDirection w:val="btLr"/>
        <w:textAlignment w:val="top"/>
        <w:outlineLvl w:val="0"/>
        <w:rPr>
          <w:i/>
        </w:rPr>
      </w:pPr>
      <w:r w:rsidRPr="00BB1A9D">
        <w:rPr>
          <w:i/>
        </w:rPr>
        <w:t>Participate in activities to improve competence</w:t>
      </w:r>
    </w:p>
    <w:p w:rsidR="00BB1A9D" w:rsidRPr="00BB1A9D" w:rsidRDefault="00BB1A9D" w:rsidP="00BB1A9D">
      <w:pPr>
        <w:tabs>
          <w:tab w:val="left" w:pos="288"/>
        </w:tabs>
        <w:spacing w:line="228" w:lineRule="auto"/>
        <w:jc w:val="both"/>
      </w:pPr>
      <w:r w:rsidRPr="00BB1A9D">
        <w:tab/>
        <w:t>The aspect of participating in activities to improve competence is one of the efforts made by teachers to gain knowledge and insights to be able to develop themselves. In this aspect of self-development, all teacher respondents stated that they often attended training organized by related agencies or independently organized from their respective schools. This training is one of the supporting tools in increasing teacher competence on topics related to the learning pro</w:t>
      </w:r>
      <w:r w:rsidR="001838B6">
        <w:t xml:space="preserve">cess and self-development. </w:t>
      </w:r>
      <w:r w:rsidR="001838B6">
        <w:fldChar w:fldCharType="begin" w:fldLock="1"/>
      </w:r>
      <w:r w:rsidR="001838B6">
        <w:instrText>ADDIN CSL_CITATION {"citationItems":[{"id":"ITEM-1","itemData":{"author":[{"dropping-particle":"","family":"Al-Zoubi","given":"Suhail","non-dropping-particle":"","parse-names":false,"suffix":""},{"dropping-particle":"","family":"Abdel Rahman","given":"Majdoleen","non-dropping-particle":"","parse-names":false,"suffix":""}],"container-title":"International Research Journals","id":"ITEM-1","issue":"3","issued":{"date-parts":[["2011"]]},"page":"1021-1030","title":"The Effects of a Training Program in Improving Instructional Competencies for Special Education Teachers in Jordan","type":"article-journal","volume":"2"},"uris":["http://www.mendeley.com/documents/?uuid=0d968df7-1ae7-4585-9441-38c1aad91f32"]}],"mendeley":{"formattedCitation":"[13]","plainTextFormattedCitation":"[13]","previouslyFormattedCitation":"[13]"},"properties":{"noteIndex":0},"schema":"https://github.com/citation-style-language/schema/raw/master/csl-citation.json"}</w:instrText>
      </w:r>
      <w:r w:rsidR="001838B6">
        <w:fldChar w:fldCharType="separate"/>
      </w:r>
      <w:r w:rsidR="001838B6" w:rsidRPr="001838B6">
        <w:rPr>
          <w:noProof/>
        </w:rPr>
        <w:t>[13]</w:t>
      </w:r>
      <w:r w:rsidR="001838B6">
        <w:fldChar w:fldCharType="end"/>
      </w:r>
      <w:r w:rsidRPr="00BB1A9D">
        <w:t xml:space="preserve">expressed the importance of official training programs, especially those that adopt the workshop method aimed at improving teacher performance and increasing educational capacity to help them acquire skills, knowledge </w:t>
      </w:r>
      <w:r w:rsidRPr="00BB1A9D">
        <w:lastRenderedPageBreak/>
        <w:t>and to update information on the latest developments in education.</w:t>
      </w:r>
    </w:p>
    <w:p w:rsidR="00BB1A9D" w:rsidRDefault="00BB1A9D" w:rsidP="00BB1A9D">
      <w:pPr>
        <w:tabs>
          <w:tab w:val="left" w:pos="288"/>
        </w:tabs>
        <w:spacing w:line="228" w:lineRule="auto"/>
        <w:jc w:val="both"/>
      </w:pPr>
      <w:r w:rsidRPr="00BB1A9D">
        <w:t xml:space="preserve">Some of the training topics were dominated by learning for early childhood, however the teachers stated that they had never attended any training related to ABK. This was conveyed by teachers who felt a lack of emphasis on experience in the training that had been given. The teachers realize the importance of competence regarding ABK because the conditions in the field are indeed quite a lot of children with special needs at early age </w:t>
      </w:r>
      <w:r w:rsidR="001838B6">
        <w:t xml:space="preserve">who enter school. As stated </w:t>
      </w:r>
      <w:r w:rsidR="001838B6">
        <w:fldChar w:fldCharType="begin" w:fldLock="1"/>
      </w:r>
      <w:r w:rsidR="001838B6">
        <w:instrText>ADDIN CSL_CITATION {"citationItems":[{"id":"ITEM-1","itemData":{"DOI":"10.1177/004005990103400109","ISSN":"0040-0599","abstract":"citation: Killoran, J., Templeman, T. P., Peters, J., &amp; Udell, T. (2001). Identifying Paraprofessional Competencies for Early Intervention and Early Childhood Special Education. TEACHING Exceptional Children, 34(1), 68–73.","author":[{"dropping-particle":"","family":"Killoran","given":"John","non-dropping-particle":"","parse-names":false,"suffix":""},{"dropping-particle":"","family":"Templeman","given":"Torry Piazza","non-dropping-particle":"","parse-names":false,"suffix":""},{"dropping-particle":"","family":"Peters","given":"Joyce","non-dropping-particle":"","parse-names":false,"suffix":""},{"dropping-particle":"","family":"Udell","given":"Tom","non-dropping-particle":"","parse-names":false,"suffix":""}],"container-title":"TEACHING Exceptional Children","id":"ITEM-1","issue":"1","issued":{"date-parts":[["2001"]]},"page":"68-73","title":"Identifying Paraprofessional Competencies for Early Intervention and Early Childhood Special Education","type":"article-journal","volume":"34"},"uris":["http://www.mendeley.com/documents/?uuid=e26f0248-036e-4bd6-9bc3-64e8d0ab8037"]}],"mendeley":{"formattedCitation":"[14]","plainTextFormattedCitation":"[14]","previouslyFormattedCitation":"[14]"},"properties":{"noteIndex":0},"schema":"https://github.com/citation-style-language/schema/raw/master/csl-citation.json"}</w:instrText>
      </w:r>
      <w:r w:rsidR="001838B6">
        <w:fldChar w:fldCharType="separate"/>
      </w:r>
      <w:r w:rsidR="001838B6" w:rsidRPr="001838B6">
        <w:rPr>
          <w:noProof/>
        </w:rPr>
        <w:t>[14]</w:t>
      </w:r>
      <w:r w:rsidR="001838B6">
        <w:fldChar w:fldCharType="end"/>
      </w:r>
      <w:r w:rsidRPr="00BB1A9D">
        <w:t>, this training usually takes different forms such as training workshops, courses or training offered by educational institutions or institutions where teachers work or even courses offered by institutions from universities. It is also intended that teachers can provide meaningful and quality learning not only to regular children but also to special needs children. The quality of learning services provided by educators to ABK is directly related t</w:t>
      </w:r>
      <w:r w:rsidR="001838B6">
        <w:t xml:space="preserve">o the training they receive </w:t>
      </w:r>
      <w:r w:rsidR="001838B6">
        <w:fldChar w:fldCharType="begin" w:fldLock="1"/>
      </w:r>
      <w:r w:rsidR="00E057DC">
        <w:instrText>ADDIN CSL_CITATION {"citationItems":[{"id":"ITEM-1","itemData":{"author":[{"dropping-particle":"","family":"Carroll","given":"Diane","non-dropping-particle":"","parse-names":false,"suffix":""}],"container-title":"TEACHING Exceptional Children","id":"ITEM-1","issue":"2","issued":{"date-parts":[["2001"]]},"page":"60-64","title":"Considering Training, Roles, and Paraeducator Responsibilities","type":"article-journal","volume":"34"},"uris":["http://www.mendeley.com/documents/?uuid=6dc98518-2ac1-421a-8554-3c88b2a24089"]}],"mendeley":{"formattedCitation":"[15]","plainTextFormattedCitation":"[15]","previouslyFormattedCitation":"[15]"},"properties":{"noteIndex":0},"schema":"https://github.com/citation-style-language/schema/raw/master/csl-citation.json"}</w:instrText>
      </w:r>
      <w:r w:rsidR="001838B6">
        <w:fldChar w:fldCharType="separate"/>
      </w:r>
      <w:r w:rsidR="001838B6" w:rsidRPr="001838B6">
        <w:rPr>
          <w:noProof/>
        </w:rPr>
        <w:t>[15]</w:t>
      </w:r>
      <w:r w:rsidR="001838B6">
        <w:fldChar w:fldCharType="end"/>
      </w:r>
      <w:r w:rsidRPr="00BB1A9D">
        <w:t>. Thus this situation shows the need for educators for appropriate training in accompanying or teaching in regular classes but having ABK.</w:t>
      </w:r>
    </w:p>
    <w:p w:rsidR="00BB1A9D" w:rsidRPr="00CB1404" w:rsidRDefault="00BB1A9D" w:rsidP="00BB1A9D">
      <w:pPr>
        <w:pStyle w:val="Heading1"/>
      </w:pPr>
      <w:r>
        <w:t>CONCLUSION</w:t>
      </w:r>
    </w:p>
    <w:p w:rsidR="00AD4B67" w:rsidRDefault="00BB1A9D" w:rsidP="00AD4B67">
      <w:pPr>
        <w:pStyle w:val="BodyText"/>
        <w:ind w:firstLine="289"/>
      </w:pPr>
      <w:r>
        <w:t xml:space="preserve">Based on the findings and discussion of aspects of teacher competence, which consists of understanding the characteristics and learning needs of children with special needs, developing curricula and participating in activities to improve competence, it shows that the competence of PAUD teachers in providing educational services to special needs children in Kindergarten, </w:t>
      </w:r>
      <w:proofErr w:type="spellStart"/>
      <w:r>
        <w:t>Cikalong</w:t>
      </w:r>
      <w:proofErr w:type="spellEnd"/>
      <w:r>
        <w:t xml:space="preserve"> District, is still low. </w:t>
      </w:r>
      <w:proofErr w:type="gramStart"/>
      <w:r>
        <w:t>and</w:t>
      </w:r>
      <w:proofErr w:type="gramEnd"/>
      <w:r>
        <w:t xml:space="preserve"> there needs to be a continuous improvement in competence in accordance with the characteristics of the child. </w:t>
      </w:r>
      <w:r w:rsidR="00AD4B67">
        <w:t>Some of the competencies measured include:</w:t>
      </w:r>
    </w:p>
    <w:p w:rsidR="00AD4B67" w:rsidRDefault="00AD4B67" w:rsidP="00AD4B67">
      <w:pPr>
        <w:numPr>
          <w:ilvl w:val="0"/>
          <w:numId w:val="17"/>
        </w:numPr>
        <w:spacing w:after="120"/>
        <w:ind w:left="567" w:hanging="357"/>
        <w:jc w:val="both"/>
      </w:pPr>
      <w:r>
        <w:t>Understand the characteristics and learning needs of children with special needs</w:t>
      </w:r>
    </w:p>
    <w:p w:rsidR="00AD4B67" w:rsidRDefault="00AD4B67" w:rsidP="00AD4B67">
      <w:pPr>
        <w:numPr>
          <w:ilvl w:val="0"/>
          <w:numId w:val="17"/>
        </w:numPr>
        <w:spacing w:after="120"/>
        <w:ind w:left="567" w:hanging="357"/>
        <w:jc w:val="both"/>
      </w:pPr>
      <w:r>
        <w:t>Developing a curriculum</w:t>
      </w:r>
    </w:p>
    <w:p w:rsidR="00AD4B67" w:rsidRDefault="00AD4B67" w:rsidP="00AD4B67">
      <w:pPr>
        <w:numPr>
          <w:ilvl w:val="0"/>
          <w:numId w:val="17"/>
        </w:numPr>
        <w:spacing w:after="120"/>
        <w:ind w:left="567" w:hanging="357"/>
        <w:jc w:val="both"/>
      </w:pPr>
      <w:r>
        <w:t>Participating in activities to improve competence</w:t>
      </w:r>
    </w:p>
    <w:p w:rsidR="00AD4B67" w:rsidRDefault="00AD4B67" w:rsidP="00AD4B67">
      <w:pPr>
        <w:spacing w:after="120"/>
        <w:ind w:firstLine="289"/>
        <w:jc w:val="both"/>
      </w:pPr>
      <w:r>
        <w:t>This is indicated by the number of respondents who do not have an understanding of the provision of services for children with special needs at the school. Things that can be done by related agencies both schools and regional orders are increasing the professional development of early childhood education teachers by providing training and special seminars related to children with special needs so that the education services for children with special needs in PAUD schools can be served more optimally.</w:t>
      </w:r>
    </w:p>
    <w:p w:rsidR="008A55B5" w:rsidRDefault="008A55B5">
      <w:pPr>
        <w:pStyle w:val="Heading5"/>
        <w:rPr>
          <w:rFonts w:eastAsia="MS Mincho"/>
        </w:rPr>
      </w:pPr>
      <w:r>
        <w:rPr>
          <w:rFonts w:eastAsia="MS Mincho"/>
        </w:rPr>
        <w:t>References</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Pr>
          <w:rFonts w:eastAsia="MS Mincho"/>
        </w:rPr>
        <w:fldChar w:fldCharType="begin" w:fldLock="1"/>
      </w:r>
      <w:r>
        <w:rPr>
          <w:rFonts w:eastAsia="MS Mincho"/>
        </w:rPr>
        <w:instrText xml:space="preserve">ADDIN Mendeley Bibliography CSL_BIBLIOGRAPHY </w:instrText>
      </w:r>
      <w:r>
        <w:rPr>
          <w:rFonts w:eastAsia="MS Mincho"/>
        </w:rPr>
        <w:fldChar w:fldCharType="separate"/>
      </w:r>
      <w:r w:rsidRPr="00E057DC">
        <w:rPr>
          <w:noProof/>
          <w:szCs w:val="24"/>
        </w:rPr>
        <w:t>[1]</w:t>
      </w:r>
      <w:r w:rsidRPr="00E057DC">
        <w:rPr>
          <w:noProof/>
          <w:szCs w:val="24"/>
        </w:rPr>
        <w:tab/>
        <w:t xml:space="preserve">I. Pramling Samuelsson, “Why We Should Begin Early with ESD: The Role of Early Childhood Education,” </w:t>
      </w:r>
      <w:r w:rsidRPr="00E057DC">
        <w:rPr>
          <w:i/>
          <w:iCs/>
          <w:noProof/>
          <w:szCs w:val="24"/>
        </w:rPr>
        <w:t>Int. J. Early Child.</w:t>
      </w:r>
      <w:r w:rsidRPr="00E057DC">
        <w:rPr>
          <w:noProof/>
          <w:szCs w:val="24"/>
        </w:rPr>
        <w:t>, vol. 43, no. 2, pp. 103–118, 2011, doi: 10.1007/s13158-011-0034-x.</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[2]</w:t>
      </w:r>
      <w:r w:rsidRPr="00E057DC">
        <w:rPr>
          <w:noProof/>
          <w:szCs w:val="24"/>
        </w:rPr>
        <w:tab/>
        <w:t xml:space="preserve">D. Stedman, “The professional preparation of teachers and early childhood educators: Changes in the wind,” </w:t>
      </w:r>
      <w:r w:rsidRPr="00E057DC">
        <w:rPr>
          <w:i/>
          <w:iCs/>
          <w:noProof/>
          <w:szCs w:val="24"/>
        </w:rPr>
        <w:t>Australas. J. Spec. Educ.</w:t>
      </w:r>
      <w:r w:rsidRPr="00E057DC">
        <w:rPr>
          <w:noProof/>
          <w:szCs w:val="24"/>
        </w:rPr>
        <w:t>, vol. 13, no. 2, pp. 14–19, 1990, doi: 10.1080/1030011900130204.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[3]</w:t>
      </w:r>
      <w:r w:rsidRPr="00E057DC">
        <w:rPr>
          <w:noProof/>
          <w:szCs w:val="24"/>
        </w:rPr>
        <w:tab/>
        <w:t xml:space="preserve">P. S. Miller, “Segregated Programs of Teacher Education in Early Childhood:Immoral and Inefficient Practice,” </w:t>
      </w:r>
      <w:r w:rsidRPr="00E057DC">
        <w:rPr>
          <w:i/>
          <w:iCs/>
          <w:noProof/>
          <w:szCs w:val="24"/>
        </w:rPr>
        <w:t>Topics Early Child. Spec. Educ.</w:t>
      </w:r>
      <w:r w:rsidRPr="00E057DC">
        <w:rPr>
          <w:noProof/>
          <w:szCs w:val="24"/>
        </w:rPr>
        <w:t xml:space="preserve">, vol. 11, no. 4, pp. 39–52, </w:t>
      </w:r>
      <w:r w:rsidRPr="00E057DC">
        <w:rPr>
          <w:noProof/>
          <w:szCs w:val="24"/>
        </w:rPr>
        <w:lastRenderedPageBreak/>
        <w:t>1992, doi: 10.1177/027112149201100406.</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[4]</w:t>
      </w:r>
      <w:r w:rsidRPr="00E057DC">
        <w:rPr>
          <w:noProof/>
          <w:szCs w:val="24"/>
        </w:rPr>
        <w:tab/>
        <w:t xml:space="preserve">S. L. Odom and M. A. Mcevoy, “Mainstreaming at the Preschool Level: Potential Barriers and Tasks for the Field,” </w:t>
      </w:r>
      <w:r w:rsidRPr="00E057DC">
        <w:rPr>
          <w:i/>
          <w:iCs/>
          <w:noProof/>
          <w:szCs w:val="24"/>
        </w:rPr>
        <w:t>Topics Early Child. Spec. Educ.</w:t>
      </w:r>
      <w:r w:rsidRPr="00E057DC">
        <w:rPr>
          <w:noProof/>
          <w:szCs w:val="24"/>
        </w:rPr>
        <w:t>, vol. 10, no. 2, pp. 48–61, 1990, doi: 10.1177/027112149001000205.</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[5]</w:t>
      </w:r>
      <w:r w:rsidRPr="00E057DC">
        <w:rPr>
          <w:noProof/>
          <w:szCs w:val="24"/>
        </w:rPr>
        <w:tab/>
        <w:t xml:space="preserve">M. Machmud, </w:t>
      </w:r>
      <w:r w:rsidRPr="00E057DC">
        <w:rPr>
          <w:i/>
          <w:iCs/>
          <w:noProof/>
          <w:szCs w:val="24"/>
        </w:rPr>
        <w:t>Tuntunan Penulisan Tugas Akhir Berdasarkan Prinsip Dasar Penelitian Ilmiah</w:t>
      </w:r>
      <w:r w:rsidRPr="00E057DC">
        <w:rPr>
          <w:noProof/>
          <w:szCs w:val="24"/>
        </w:rPr>
        <w:t>. Malang: Penerbit Selaras, 2006.</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[6]</w:t>
      </w:r>
      <w:r w:rsidRPr="00E057DC">
        <w:rPr>
          <w:noProof/>
          <w:szCs w:val="24"/>
        </w:rPr>
        <w:tab/>
        <w:t xml:space="preserve">W. H. Berdine and S. A. Meyer, </w:t>
      </w:r>
      <w:r w:rsidRPr="00E057DC">
        <w:rPr>
          <w:i/>
          <w:iCs/>
          <w:noProof/>
          <w:szCs w:val="24"/>
        </w:rPr>
        <w:t>Assessment in special education</w:t>
      </w:r>
      <w:r w:rsidRPr="00E057DC">
        <w:rPr>
          <w:noProof/>
          <w:szCs w:val="24"/>
        </w:rPr>
        <w:t>. Boston: Little, Brown and Company (Available from Harper-Collins.), 1987.</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[7]</w:t>
      </w:r>
      <w:r w:rsidRPr="00E057DC">
        <w:rPr>
          <w:noProof/>
          <w:szCs w:val="24"/>
        </w:rPr>
        <w:tab/>
        <w:t xml:space="preserve">M. Barbara, S. C. G., and B. J. P., “Early identification/intervention: Can misidentification/misintervention impact students, teachers, and families?,” in </w:t>
      </w:r>
      <w:r w:rsidRPr="00E057DC">
        <w:rPr>
          <w:i/>
          <w:iCs/>
          <w:noProof/>
          <w:szCs w:val="24"/>
        </w:rPr>
        <w:t>Current Issues and Trends in Special Education: Identification, Assessment and Instruction</w:t>
      </w:r>
      <w:r w:rsidRPr="00E057DC">
        <w:rPr>
          <w:noProof/>
          <w:szCs w:val="24"/>
        </w:rPr>
        <w:t>, vol. 19, F. E. Obiakor, J. P. Bakken, and A. F. Rotatori, Eds. Emerald Group Publishing Limited, 2010, pp. 17–34.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[8]</w:t>
      </w:r>
      <w:r w:rsidRPr="00E057DC">
        <w:rPr>
          <w:noProof/>
          <w:szCs w:val="24"/>
        </w:rPr>
        <w:tab/>
        <w:t xml:space="preserve">S. C. Wortham, </w:t>
      </w:r>
      <w:r w:rsidRPr="00E057DC">
        <w:rPr>
          <w:i/>
          <w:iCs/>
          <w:noProof/>
          <w:szCs w:val="24"/>
        </w:rPr>
        <w:t>Assessment in Early Childhood Education</w:t>
      </w:r>
      <w:r w:rsidRPr="00E057DC">
        <w:rPr>
          <w:noProof/>
          <w:szCs w:val="24"/>
        </w:rPr>
        <w:t>. New Jersey: Pearson Education, Inc, 2005.</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[9]</w:t>
      </w:r>
      <w:r w:rsidRPr="00E057DC">
        <w:rPr>
          <w:noProof/>
          <w:szCs w:val="24"/>
        </w:rPr>
        <w:tab/>
        <w:t xml:space="preserve">A. Kartika, D. Retno Suminar, M. M.W. Tairas, and W. Hendriani, “Individual Education Program (IEP) Paperwork : A Narrative Review,” </w:t>
      </w:r>
      <w:r w:rsidRPr="00E057DC">
        <w:rPr>
          <w:i/>
          <w:iCs/>
          <w:noProof/>
          <w:szCs w:val="24"/>
        </w:rPr>
        <w:t>Int. J. Eng. Technol.</w:t>
      </w:r>
      <w:r w:rsidRPr="00E057DC">
        <w:rPr>
          <w:noProof/>
          <w:szCs w:val="24"/>
        </w:rPr>
        <w:t>, vol. 7, no. 2.29, pp. 682–687, 2018, doi: 10.14419/ijet.v7i2.29.13997.</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lastRenderedPageBreak/>
        <w:t>[10]</w:t>
      </w:r>
      <w:r w:rsidRPr="00E057DC">
        <w:rPr>
          <w:noProof/>
          <w:szCs w:val="24"/>
        </w:rPr>
        <w:tab/>
        <w:t xml:space="preserve">E. Drasgow, M. Yell, and R. Robinson, “Developing Legally,” </w:t>
      </w:r>
      <w:r w:rsidRPr="00E057DC">
        <w:rPr>
          <w:i/>
          <w:iCs/>
          <w:noProof/>
          <w:szCs w:val="24"/>
        </w:rPr>
        <w:t>REMEDIAL Spec. Educ.</w:t>
      </w:r>
      <w:r w:rsidRPr="00E057DC">
        <w:rPr>
          <w:noProof/>
          <w:szCs w:val="24"/>
        </w:rPr>
        <w:t>, vol. 22, no. 6, pp. 359–373, 2001.</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[11]</w:t>
      </w:r>
      <w:r w:rsidRPr="00E057DC">
        <w:rPr>
          <w:noProof/>
          <w:szCs w:val="24"/>
        </w:rPr>
        <w:tab/>
        <w:t xml:space="preserve">S. W. Smith, “Individualized Education Programs (IEPs) in Special Education—From Intent to Acquiescence,” </w:t>
      </w:r>
      <w:r w:rsidRPr="00E057DC">
        <w:rPr>
          <w:i/>
          <w:iCs/>
          <w:noProof/>
          <w:szCs w:val="24"/>
        </w:rPr>
        <w:t>Except. Child.</w:t>
      </w:r>
      <w:r w:rsidRPr="00E057DC">
        <w:rPr>
          <w:noProof/>
          <w:szCs w:val="24"/>
        </w:rPr>
        <w:t>, vol. 57, no. 1, pp. 6–14, 1990, doi: 10.1177/001440299005700102.</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[12]</w:t>
      </w:r>
      <w:r w:rsidRPr="00E057DC">
        <w:rPr>
          <w:noProof/>
          <w:szCs w:val="24"/>
        </w:rPr>
        <w:tab/>
        <w:t xml:space="preserve">G. L. Wilson, C. A. Michaels, and H. Margolis, “Form versus Function: Using Technology to Develop Individualized Education Programs for Students with Disabilities,” </w:t>
      </w:r>
      <w:r w:rsidRPr="00E057DC">
        <w:rPr>
          <w:i/>
          <w:iCs/>
          <w:noProof/>
          <w:szCs w:val="24"/>
        </w:rPr>
        <w:t>J. Spec. Educ. Technol.</w:t>
      </w:r>
      <w:r w:rsidRPr="00E057DC">
        <w:rPr>
          <w:noProof/>
          <w:szCs w:val="24"/>
        </w:rPr>
        <w:t>, vol. 20, no. 2, pp. 37–46, 2005, doi: 10.1177/016264340502000204.</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[13]</w:t>
      </w:r>
      <w:r w:rsidRPr="00E057DC">
        <w:rPr>
          <w:noProof/>
          <w:szCs w:val="24"/>
        </w:rPr>
        <w:tab/>
        <w:t xml:space="preserve">S. Al-Zoubi and M. Abdel Rahman, “The Effects of a Training Program in Improving Instructional Competencies for Special Education Teachers in Jordan,” </w:t>
      </w:r>
      <w:r w:rsidRPr="00E057DC">
        <w:rPr>
          <w:i/>
          <w:iCs/>
          <w:noProof/>
          <w:szCs w:val="24"/>
        </w:rPr>
        <w:t>Int. Res. Journals</w:t>
      </w:r>
      <w:r w:rsidRPr="00E057DC">
        <w:rPr>
          <w:noProof/>
          <w:szCs w:val="24"/>
        </w:rPr>
        <w:t>, vol. 2, no. 3, pp. 1021–1030, 2011.</w:t>
      </w:r>
    </w:p>
    <w:p w:rsidR="00E057DC" w:rsidRPr="00E057DC" w:rsidRDefault="00E057DC" w:rsidP="00E057DC">
      <w:pPr>
        <w:widowControl w:val="0"/>
        <w:autoSpaceDE w:val="0"/>
        <w:autoSpaceDN w:val="0"/>
        <w:adjustRightInd w:val="0"/>
        <w:spacing w:after="50" w:line="180" w:lineRule="exact"/>
        <w:ind w:left="356" w:hangingChars="178" w:hanging="356"/>
        <w:jc w:val="both"/>
        <w:rPr>
          <w:noProof/>
          <w:szCs w:val="24"/>
        </w:rPr>
      </w:pPr>
      <w:r w:rsidRPr="00E057DC">
        <w:rPr>
          <w:noProof/>
          <w:szCs w:val="24"/>
        </w:rPr>
        <w:t>[14]</w:t>
      </w:r>
      <w:r w:rsidRPr="00E057DC">
        <w:rPr>
          <w:noProof/>
          <w:szCs w:val="24"/>
        </w:rPr>
        <w:tab/>
        <w:t xml:space="preserve">J. Killoran, T. P. Templeman, J. Peters, and T. Udell, “Identifying Paraprofessional Competencies for Early Intervention and Early Childhood Special Education,” </w:t>
      </w:r>
      <w:r w:rsidRPr="00E057DC">
        <w:rPr>
          <w:i/>
          <w:iCs/>
          <w:noProof/>
          <w:szCs w:val="24"/>
        </w:rPr>
        <w:t>Teach. Except. Child.</w:t>
      </w:r>
      <w:r w:rsidRPr="00E057DC">
        <w:rPr>
          <w:noProof/>
          <w:szCs w:val="24"/>
        </w:rPr>
        <w:t>, vol. 34, no. 1, pp. 68–73, 2001, doi: 10.1177/004005990103400109.</w:t>
      </w:r>
    </w:p>
    <w:p w:rsidR="00E057DC" w:rsidRPr="00E057DC" w:rsidRDefault="00E057DC" w:rsidP="00E057DC">
      <w:pPr>
        <w:widowControl w:val="0"/>
        <w:autoSpaceDE w:val="0"/>
        <w:autoSpaceDN w:val="0"/>
        <w:adjustRightInd w:val="0"/>
        <w:spacing w:after="50" w:line="180" w:lineRule="exact"/>
        <w:ind w:left="356" w:hangingChars="178" w:hanging="356"/>
        <w:jc w:val="both"/>
        <w:rPr>
          <w:noProof/>
        </w:rPr>
      </w:pPr>
      <w:r w:rsidRPr="00E057DC">
        <w:rPr>
          <w:noProof/>
          <w:szCs w:val="24"/>
        </w:rPr>
        <w:t>[15]</w:t>
      </w:r>
      <w:r w:rsidRPr="00E057DC">
        <w:rPr>
          <w:noProof/>
          <w:szCs w:val="24"/>
        </w:rPr>
        <w:tab/>
        <w:t xml:space="preserve">D. Carroll, “Considering Training, Roles, and Paraeducator Responsibilities,” </w:t>
      </w:r>
      <w:r w:rsidRPr="00E057DC">
        <w:rPr>
          <w:i/>
          <w:iCs/>
          <w:noProof/>
          <w:szCs w:val="24"/>
        </w:rPr>
        <w:t>Teach. Except. Child.</w:t>
      </w:r>
      <w:r w:rsidRPr="00E057DC">
        <w:rPr>
          <w:noProof/>
          <w:szCs w:val="24"/>
        </w:rPr>
        <w:t>, vol. 34, no. 2, pp. 60–64, 2001.</w:t>
      </w:r>
    </w:p>
    <w:p w:rsidR="008A55B5" w:rsidRDefault="00E057DC" w:rsidP="00E057DC">
      <w:pPr>
        <w:spacing w:after="50" w:line="180" w:lineRule="exact"/>
        <w:ind w:left="356" w:hangingChars="178" w:hanging="356"/>
        <w:jc w:val="both"/>
        <w:rPr>
          <w:rFonts w:eastAsia="MS Mincho"/>
        </w:rPr>
      </w:pPr>
      <w:r>
        <w:rPr>
          <w:rFonts w:eastAsia="MS Mincho"/>
        </w:rPr>
        <w:fldChar w:fldCharType="end"/>
      </w:r>
    </w:p>
    <w:p w:rsidR="000F5558" w:rsidRDefault="000F5558" w:rsidP="000F5558">
      <w:pPr>
        <w:pBdr>
          <w:top w:val="nil"/>
          <w:left w:val="nil"/>
          <w:bottom w:val="nil"/>
          <w:right w:val="nil"/>
          <w:between w:val="nil"/>
        </w:pBdr>
        <w:spacing w:after="50"/>
        <w:ind w:hanging="2"/>
        <w:jc w:val="both"/>
        <w:rPr>
          <w:color w:val="000000"/>
          <w:sz w:val="16"/>
          <w:szCs w:val="16"/>
        </w:rPr>
        <w:sectPr w:rsidR="000F5558" w:rsidSect="000F5558">
          <w:type w:val="continuous"/>
          <w:pgSz w:w="11909" w:h="16834"/>
          <w:pgMar w:top="1080" w:right="734" w:bottom="2434" w:left="734" w:header="720" w:footer="720" w:gutter="0"/>
          <w:cols w:num="2" w:space="720" w:equalWidth="0">
            <w:col w:w="5040" w:space="360"/>
            <w:col w:w="5040" w:space="0"/>
          </w:cols>
        </w:sectPr>
      </w:pPr>
    </w:p>
    <w:p w:rsidR="000F5558" w:rsidRDefault="000F5558" w:rsidP="000F5558">
      <w:pPr>
        <w:ind w:hanging="2"/>
        <w:jc w:val="both"/>
      </w:pPr>
    </w:p>
    <w:p w:rsidR="008A55B5" w:rsidRDefault="008A55B5" w:rsidP="000F5558">
      <w:pPr>
        <w:pStyle w:val="references"/>
        <w:jc w:val="center"/>
        <w:rPr>
          <w:rFonts w:eastAsia="MS Mincho"/>
        </w:rPr>
        <w:sectPr w:rsidR="008A55B5" w:rsidSect="004445B3">
          <w:type w:val="continuous"/>
          <w:pgSz w:w="11909" w:h="16834" w:code="9"/>
          <w:pgMar w:top="1080" w:right="734" w:bottom="2434" w:left="734" w:header="720" w:footer="720" w:gutter="0"/>
          <w:cols w:num="2" w:space="360"/>
          <w:docGrid w:linePitch="360"/>
        </w:sectPr>
      </w:pPr>
    </w:p>
    <w:p w:rsidR="008A55B5" w:rsidRDefault="008A55B5" w:rsidP="00276735">
      <w:pPr>
        <w:jc w:val="both"/>
      </w:pPr>
    </w:p>
    <w:sectPr w:rsidR="008A55B5" w:rsidSect="006C4648">
      <w:type w:val="continuous"/>
      <w:pgSz w:w="11909" w:h="16834" w:code="9"/>
      <w:pgMar w:top="1080" w:right="734" w:bottom="2434" w:left="7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0BF"/>
    <w:multiLevelType w:val="multilevel"/>
    <w:tmpl w:val="97263B90"/>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6756F04"/>
    <w:multiLevelType w:val="hybridMultilevel"/>
    <w:tmpl w:val="A7DE9904"/>
    <w:lvl w:ilvl="0" w:tplc="D9669A44">
      <w:start w:val="1"/>
      <w:numFmt w:val="upperRoman"/>
      <w:lvlText w:val="%1."/>
      <w:lvlJc w:val="left"/>
      <w:pPr>
        <w:ind w:left="1009" w:hanging="72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
    <w:nsid w:val="13351088"/>
    <w:multiLevelType w:val="hybridMultilevel"/>
    <w:tmpl w:val="CB28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6DD248C"/>
    <w:multiLevelType w:val="multilevel"/>
    <w:tmpl w:val="B2469C4C"/>
    <w:lvl w:ilvl="0">
      <w:start w:val="1"/>
      <w:numFmt w:val="decimal"/>
      <w:lvlText w:val="%1."/>
      <w:lvlJc w:val="left"/>
      <w:pPr>
        <w:ind w:left="270" w:hanging="27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6F8B65DC"/>
    <w:multiLevelType w:val="hybridMultilevel"/>
    <w:tmpl w:val="B234E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0"/>
  </w:num>
  <w:num w:numId="3">
    <w:abstractNumId w:val="4"/>
  </w:num>
  <w:num w:numId="4">
    <w:abstractNumId w:val="7"/>
  </w:num>
  <w:num w:numId="5">
    <w:abstractNumId w:val="7"/>
  </w:num>
  <w:num w:numId="6">
    <w:abstractNumId w:val="7"/>
  </w:num>
  <w:num w:numId="7">
    <w:abstractNumId w:val="7"/>
  </w:num>
  <w:num w:numId="8">
    <w:abstractNumId w:val="8"/>
  </w:num>
  <w:num w:numId="9">
    <w:abstractNumId w:val="11"/>
  </w:num>
  <w:num w:numId="10">
    <w:abstractNumId w:val="6"/>
  </w:num>
  <w:num w:numId="11">
    <w:abstractNumId w:val="3"/>
  </w:num>
  <w:num w:numId="12">
    <w:abstractNumId w:val="13"/>
  </w:num>
  <w:num w:numId="13">
    <w:abstractNumId w:val="9"/>
  </w:num>
  <w:num w:numId="14">
    <w:abstractNumId w:val="12"/>
  </w:num>
  <w:num w:numId="15">
    <w:abstractNumId w:val="0"/>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14136"/>
    <w:rsid w:val="000333BD"/>
    <w:rsid w:val="0004390D"/>
    <w:rsid w:val="000B4641"/>
    <w:rsid w:val="000F5558"/>
    <w:rsid w:val="0010010F"/>
    <w:rsid w:val="0010711E"/>
    <w:rsid w:val="00127EDD"/>
    <w:rsid w:val="00161E19"/>
    <w:rsid w:val="001838B6"/>
    <w:rsid w:val="00186448"/>
    <w:rsid w:val="001F1AEE"/>
    <w:rsid w:val="0024490C"/>
    <w:rsid w:val="00256FB3"/>
    <w:rsid w:val="00276735"/>
    <w:rsid w:val="002864A3"/>
    <w:rsid w:val="002B3B81"/>
    <w:rsid w:val="002C4F4B"/>
    <w:rsid w:val="003A47B5"/>
    <w:rsid w:val="003A59A6"/>
    <w:rsid w:val="004059FE"/>
    <w:rsid w:val="004445B3"/>
    <w:rsid w:val="00454803"/>
    <w:rsid w:val="004D6525"/>
    <w:rsid w:val="0058176F"/>
    <w:rsid w:val="00585CE6"/>
    <w:rsid w:val="005B520E"/>
    <w:rsid w:val="005B535B"/>
    <w:rsid w:val="00605675"/>
    <w:rsid w:val="006108A4"/>
    <w:rsid w:val="006620ED"/>
    <w:rsid w:val="006A316D"/>
    <w:rsid w:val="006C4648"/>
    <w:rsid w:val="0072064C"/>
    <w:rsid w:val="007442B3"/>
    <w:rsid w:val="00753F7B"/>
    <w:rsid w:val="0078398E"/>
    <w:rsid w:val="00787C5A"/>
    <w:rsid w:val="007919DE"/>
    <w:rsid w:val="007C0308"/>
    <w:rsid w:val="008014D2"/>
    <w:rsid w:val="008054BC"/>
    <w:rsid w:val="008A55B5"/>
    <w:rsid w:val="008A75C8"/>
    <w:rsid w:val="0090544D"/>
    <w:rsid w:val="00941589"/>
    <w:rsid w:val="0097508D"/>
    <w:rsid w:val="00994E69"/>
    <w:rsid w:val="00A510F7"/>
    <w:rsid w:val="00AC6519"/>
    <w:rsid w:val="00AD4B67"/>
    <w:rsid w:val="00AE1398"/>
    <w:rsid w:val="00B83D5D"/>
    <w:rsid w:val="00BB1A9D"/>
    <w:rsid w:val="00C41464"/>
    <w:rsid w:val="00CB1404"/>
    <w:rsid w:val="00CB4BF0"/>
    <w:rsid w:val="00CB66E6"/>
    <w:rsid w:val="00CC0A3E"/>
    <w:rsid w:val="00D8044C"/>
    <w:rsid w:val="00D9156D"/>
    <w:rsid w:val="00DB7A55"/>
    <w:rsid w:val="00E057DC"/>
    <w:rsid w:val="00E91219"/>
    <w:rsid w:val="00EA035E"/>
    <w:rsid w:val="00EA506F"/>
    <w:rsid w:val="00EE4362"/>
    <w:rsid w:val="00EF18D7"/>
    <w:rsid w:val="00EF1E8A"/>
    <w:rsid w:val="00EF3A1A"/>
    <w:rsid w:val="00F121ED"/>
    <w:rsid w:val="00FA0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BC8D253-77B5-43B9-908A-EE2723C9C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9"/>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spacing w:val="-1"/>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character" w:styleId="CommentReference">
    <w:name w:val="annotation reference"/>
    <w:uiPriority w:val="99"/>
    <w:semiHidden/>
    <w:unhideWhenUsed/>
    <w:rsid w:val="00FA0B60"/>
    <w:rPr>
      <w:sz w:val="16"/>
      <w:szCs w:val="16"/>
    </w:rPr>
  </w:style>
  <w:style w:type="paragraph" w:styleId="CommentText">
    <w:name w:val="annotation text"/>
    <w:basedOn w:val="Normal"/>
    <w:link w:val="CommentTextChar"/>
    <w:uiPriority w:val="99"/>
    <w:semiHidden/>
    <w:unhideWhenUsed/>
    <w:rsid w:val="00FA0B60"/>
  </w:style>
  <w:style w:type="character" w:customStyle="1" w:styleId="CommentTextChar">
    <w:name w:val="Comment Text Char"/>
    <w:link w:val="CommentText"/>
    <w:uiPriority w:val="99"/>
    <w:semiHidden/>
    <w:rsid w:val="00FA0B60"/>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A0B60"/>
    <w:rPr>
      <w:b/>
      <w:bCs/>
    </w:rPr>
  </w:style>
  <w:style w:type="character" w:customStyle="1" w:styleId="CommentSubjectChar">
    <w:name w:val="Comment Subject Char"/>
    <w:link w:val="CommentSubject"/>
    <w:uiPriority w:val="99"/>
    <w:semiHidden/>
    <w:rsid w:val="00FA0B60"/>
    <w:rPr>
      <w:rFonts w:ascii="Times New Roman" w:hAnsi="Times New Roman"/>
      <w:b/>
      <w:bCs/>
    </w:rPr>
  </w:style>
  <w:style w:type="paragraph" w:styleId="BalloonText">
    <w:name w:val="Balloon Text"/>
    <w:basedOn w:val="Normal"/>
    <w:link w:val="BalloonTextChar"/>
    <w:uiPriority w:val="99"/>
    <w:semiHidden/>
    <w:unhideWhenUsed/>
    <w:rsid w:val="00FA0B60"/>
    <w:rPr>
      <w:rFonts w:ascii="Tahoma" w:hAnsi="Tahoma" w:cs="Tahoma"/>
      <w:sz w:val="16"/>
      <w:szCs w:val="16"/>
    </w:rPr>
  </w:style>
  <w:style w:type="character" w:customStyle="1" w:styleId="BalloonTextChar">
    <w:name w:val="Balloon Text Char"/>
    <w:link w:val="BalloonText"/>
    <w:uiPriority w:val="99"/>
    <w:semiHidden/>
    <w:rsid w:val="00FA0B60"/>
    <w:rPr>
      <w:rFonts w:ascii="Tahoma" w:hAnsi="Tahoma" w:cs="Tahoma"/>
      <w:sz w:val="16"/>
      <w:szCs w:val="16"/>
    </w:rPr>
  </w:style>
  <w:style w:type="character" w:styleId="Hyperlink">
    <w:name w:val="Hyperlink"/>
    <w:basedOn w:val="DefaultParagraphFont"/>
    <w:uiPriority w:val="99"/>
    <w:unhideWhenUsed/>
    <w:rsid w:val="009054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uhanaini@upi.edu%20an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0485-0DFC-4C48-A3E0-6BD4BFB14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6876</Words>
  <Characters>39195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3</cp:revision>
  <dcterms:created xsi:type="dcterms:W3CDTF">2020-11-22T13:40:00Z</dcterms:created>
  <dcterms:modified xsi:type="dcterms:W3CDTF">2020-11-23T02:41:00Z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86fb0976-0a89-39f8-9279-6ca912746390</vt:lpwstr>
  </property>
</Properties>
</file>