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EF8" w:rsidRDefault="007E6960" w:rsidP="009B1EF8">
      <w:pPr>
        <w:pStyle w:val="Authors"/>
        <w:ind w:left="0"/>
        <w:rPr>
          <w:bCs/>
        </w:rPr>
      </w:pPr>
      <w:r>
        <w:rPr>
          <w:rFonts w:ascii="Times New Roman" w:hAnsi="Times New Roman"/>
          <w:sz w:val="34"/>
          <w:szCs w:val="34"/>
        </w:rPr>
        <w:t>The Ability of Nitrogen Atomic Absorption in Th</w:t>
      </w:r>
      <w:bookmarkStart w:id="0" w:name="_GoBack"/>
      <w:bookmarkEnd w:id="0"/>
      <w:r>
        <w:rPr>
          <w:rFonts w:ascii="Times New Roman" w:hAnsi="Times New Roman"/>
          <w:sz w:val="34"/>
          <w:szCs w:val="34"/>
        </w:rPr>
        <w:t>e Formation of Iron Nitride on Flake Structure and Nodu</w:t>
      </w:r>
      <w:r w:rsidR="00A46DD5">
        <w:rPr>
          <w:rFonts w:ascii="Times New Roman" w:hAnsi="Times New Roman"/>
          <w:sz w:val="34"/>
          <w:szCs w:val="34"/>
        </w:rPr>
        <w:t>l</w:t>
      </w:r>
      <w:r>
        <w:rPr>
          <w:rFonts w:ascii="Times New Roman" w:hAnsi="Times New Roman"/>
          <w:sz w:val="34"/>
          <w:szCs w:val="34"/>
        </w:rPr>
        <w:t>e in Cast Iron</w:t>
      </w:r>
      <w:r>
        <w:rPr>
          <w:rFonts w:ascii="Times New Roman" w:hAnsi="Times New Roman"/>
          <w:sz w:val="34"/>
          <w:szCs w:val="34"/>
        </w:rPr>
        <w:br/>
      </w:r>
      <w:r>
        <w:rPr>
          <w:rFonts w:ascii="Times New Roman" w:hAnsi="Times New Roman"/>
        </w:rPr>
        <w:br/>
      </w:r>
    </w:p>
    <w:p w:rsidR="008E3AF8" w:rsidRDefault="007E6960" w:rsidP="009B1EF8">
      <w:pPr>
        <w:pStyle w:val="Authors"/>
      </w:pPr>
      <w:proofErr w:type="spellStart"/>
      <w:r>
        <w:rPr>
          <w:bCs/>
        </w:rPr>
        <w:t>Wayan</w:t>
      </w:r>
      <w:proofErr w:type="spellEnd"/>
      <w:r>
        <w:rPr>
          <w:bCs/>
        </w:rPr>
        <w:t xml:space="preserve"> Sujana</w:t>
      </w:r>
      <w:r>
        <w:rPr>
          <w:bCs/>
          <w:vertAlign w:val="superscript"/>
        </w:rPr>
        <w:t>1</w:t>
      </w:r>
      <w:r>
        <w:rPr>
          <w:bCs/>
        </w:rPr>
        <w:t>, Komang Astana Widi</w:t>
      </w:r>
      <w:r>
        <w:rPr>
          <w:bCs/>
          <w:vertAlign w:val="superscript"/>
        </w:rPr>
        <w:t>1</w:t>
      </w:r>
      <w:r>
        <w:rPr>
          <w:bCs/>
        </w:rPr>
        <w:t xml:space="preserve">, </w:t>
      </w:r>
      <w:proofErr w:type="spellStart"/>
      <w:r>
        <w:rPr>
          <w:bCs/>
        </w:rPr>
        <w:t>Teguh</w:t>
      </w:r>
      <w:proofErr w:type="spellEnd"/>
      <w:r>
        <w:rPr>
          <w:bCs/>
        </w:rPr>
        <w:t xml:space="preserve"> Rahardjo</w:t>
      </w:r>
      <w:r>
        <w:rPr>
          <w:bCs/>
          <w:vertAlign w:val="superscript"/>
        </w:rPr>
        <w:t>1</w:t>
      </w:r>
      <w:r>
        <w:rPr>
          <w:bCs/>
        </w:rPr>
        <w:t xml:space="preserve">, </w:t>
      </w:r>
      <w:proofErr w:type="spellStart"/>
      <w:r>
        <w:rPr>
          <w:bCs/>
        </w:rPr>
        <w:t>Tutut</w:t>
      </w:r>
      <w:proofErr w:type="spellEnd"/>
      <w:r>
        <w:rPr>
          <w:bCs/>
        </w:rPr>
        <w:t xml:space="preserve"> Nani Prihatmi</w:t>
      </w:r>
      <w:r>
        <w:rPr>
          <w:bCs/>
          <w:vertAlign w:val="superscript"/>
        </w:rPr>
        <w:t>1</w:t>
      </w:r>
    </w:p>
    <w:p w:rsidR="008E3AF8" w:rsidRDefault="007E6960">
      <w:pPr>
        <w:pStyle w:val="Addresses"/>
        <w:spacing w:after="0"/>
      </w:pPr>
      <w:r>
        <w:rPr>
          <w:vertAlign w:val="superscript"/>
        </w:rPr>
        <w:t xml:space="preserve">1) </w:t>
      </w:r>
      <w:r>
        <w:t xml:space="preserve">Mechanical Engineering Department, National Institute of Technology of Malang </w:t>
      </w:r>
      <w:proofErr w:type="spellStart"/>
      <w:r>
        <w:t>Jln</w:t>
      </w:r>
      <w:proofErr w:type="spellEnd"/>
      <w:r>
        <w:t xml:space="preserve">. </w:t>
      </w:r>
      <w:proofErr w:type="spellStart"/>
      <w:r>
        <w:t>Karanglo</w:t>
      </w:r>
      <w:proofErr w:type="spellEnd"/>
      <w:r>
        <w:t xml:space="preserve"> Km 2, </w:t>
      </w:r>
      <w:proofErr w:type="gramStart"/>
      <w:r>
        <w:t xml:space="preserve">Malang,   </w:t>
      </w:r>
      <w:proofErr w:type="gramEnd"/>
      <w:r>
        <w:t>Indonesia</w:t>
      </w:r>
    </w:p>
    <w:p w:rsidR="008E3AF8" w:rsidRDefault="008E3AF8">
      <w:pPr>
        <w:pStyle w:val="E-mail"/>
      </w:pPr>
    </w:p>
    <w:p w:rsidR="008E3AF8" w:rsidRDefault="00EF6A53">
      <w:pPr>
        <w:pStyle w:val="E-mail"/>
        <w:rPr>
          <w:rFonts w:ascii="Times New Roman" w:hAnsi="Times New Roman"/>
        </w:rPr>
      </w:pPr>
      <w:hyperlink r:id="rId9" w:history="1">
        <w:r w:rsidR="007E6960">
          <w:rPr>
            <w:rStyle w:val="Hyperlink"/>
          </w:rPr>
          <w:t>aswidi@yahoo.com</w:t>
        </w:r>
      </w:hyperlink>
      <w:r w:rsidR="007E6960">
        <w:rPr>
          <w:rFonts w:ascii="Times New Roman" w:hAnsi="Times New Roman"/>
        </w:rPr>
        <w:t xml:space="preserve"> </w:t>
      </w:r>
    </w:p>
    <w:p w:rsidR="008E3AF8" w:rsidRDefault="007E6960">
      <w:pPr>
        <w:pStyle w:val="Abstract"/>
        <w:rPr>
          <w:rFonts w:ascii="Times New Roman" w:hAnsi="Times New Roman"/>
        </w:rPr>
      </w:pPr>
      <w:r>
        <w:rPr>
          <w:b/>
        </w:rPr>
        <w:t>Abstract</w:t>
      </w:r>
      <w:r>
        <w:t xml:space="preserve">. </w:t>
      </w:r>
      <w:r>
        <w:rPr>
          <w:rFonts w:ascii="Times New Roman" w:hAnsi="Times New Roman"/>
        </w:rPr>
        <w:t>The nitriding process can be effectively applied to steel with alloying elements. The higher the alloying element in the steel maximizes the mechanical properties, including hardness. However, the raw material can be costly</w:t>
      </w:r>
      <w:r>
        <w:rPr>
          <w:rFonts w:ascii="Times New Roman" w:hAnsi="Times New Roman"/>
          <w:lang w:val="zh-CN"/>
        </w:rPr>
        <w:t>, therefore u</w:t>
      </w:r>
      <w:r>
        <w:rPr>
          <w:rFonts w:ascii="Times New Roman" w:hAnsi="Times New Roman"/>
        </w:rPr>
        <w:t xml:space="preserve">sing cheap materials (without alloys) is a challenge in increasing surface hardness through iron nitride formation. </w:t>
      </w:r>
      <w:r>
        <w:rPr>
          <w:rFonts w:ascii="Times New Roman" w:hAnsi="Times New Roman"/>
          <w:lang w:val="zh-CN"/>
        </w:rPr>
        <w:t xml:space="preserve">Furthermore </w:t>
      </w:r>
      <w:proofErr w:type="spellStart"/>
      <w:r>
        <w:rPr>
          <w:rFonts w:ascii="Times New Roman" w:hAnsi="Times New Roman"/>
        </w:rPr>
        <w:t>Gray</w:t>
      </w:r>
      <w:proofErr w:type="spellEnd"/>
      <w:r>
        <w:rPr>
          <w:rFonts w:ascii="Times New Roman" w:hAnsi="Times New Roman"/>
        </w:rPr>
        <w:t xml:space="preserve"> and nodular cast iron have different properties and characteristics in the structure. This research focuses on the ability of the cast-iron structure to affect the nitride layer formation. Gas nitriding was conducted in a fluidized bed kitchen with a 550</w:t>
      </w:r>
      <w:r>
        <w:rPr>
          <w:rFonts w:ascii="Times New Roman" w:hAnsi="Times New Roman"/>
          <w:vertAlign w:val="superscript"/>
        </w:rPr>
        <w:t>o</w:t>
      </w:r>
      <w:r>
        <w:rPr>
          <w:rFonts w:ascii="Times New Roman" w:hAnsi="Times New Roman"/>
        </w:rPr>
        <w:t xml:space="preserve">C process temperature and holding for 2, 4, and 6 hours. Tests are conducted by observing the depth of hardening, SEM, and EDAX. According to the results, the nitriding process increases the surface hardness of cast iron. The highest hardness value is nodular cast iron with a holding time of 6 hours (345 HV) and a hardening depth of up to 20-micron meters. The compounds formed in the nitride layer include </w:t>
      </w:r>
      <w:proofErr w:type="spellStart"/>
      <w:r>
        <w:rPr>
          <w:rFonts w:ascii="Times New Roman" w:hAnsi="Times New Roman"/>
        </w:rPr>
        <w:t>FeN</w:t>
      </w:r>
      <w:proofErr w:type="spellEnd"/>
      <w:r>
        <w:rPr>
          <w:rFonts w:ascii="Times New Roman" w:hAnsi="Times New Roman"/>
        </w:rPr>
        <w:t>, Fe</w:t>
      </w:r>
      <w:r>
        <w:rPr>
          <w:rFonts w:ascii="Times New Roman" w:hAnsi="Times New Roman"/>
          <w:vertAlign w:val="subscript"/>
        </w:rPr>
        <w:t>2-3</w:t>
      </w:r>
      <w:r>
        <w:rPr>
          <w:rFonts w:ascii="Times New Roman" w:hAnsi="Times New Roman"/>
        </w:rPr>
        <w:t>N, Fe</w:t>
      </w:r>
      <w:r>
        <w:rPr>
          <w:rFonts w:ascii="Times New Roman" w:hAnsi="Times New Roman"/>
          <w:vertAlign w:val="subscript"/>
        </w:rPr>
        <w:t>4</w:t>
      </w:r>
      <w:r>
        <w:rPr>
          <w:rFonts w:ascii="Times New Roman" w:hAnsi="Times New Roman"/>
        </w:rPr>
        <w:t>N, and Fe</w:t>
      </w:r>
      <w:r>
        <w:rPr>
          <w:rFonts w:ascii="Times New Roman" w:hAnsi="Times New Roman"/>
          <w:vertAlign w:val="subscript"/>
        </w:rPr>
        <w:t>2</w:t>
      </w:r>
      <w:r>
        <w:rPr>
          <w:rFonts w:ascii="Times New Roman" w:hAnsi="Times New Roman"/>
        </w:rPr>
        <w:t xml:space="preserve">N. The compound formed is strongly influenced by the treatment time. Furthermore, the comparison of nitriding treatment on </w:t>
      </w:r>
      <w:proofErr w:type="spellStart"/>
      <w:r>
        <w:rPr>
          <w:rFonts w:ascii="Times New Roman" w:hAnsi="Times New Roman"/>
        </w:rPr>
        <w:t>gray</w:t>
      </w:r>
      <w:proofErr w:type="spellEnd"/>
      <w:r>
        <w:rPr>
          <w:rFonts w:ascii="Times New Roman" w:hAnsi="Times New Roman"/>
        </w:rPr>
        <w:t xml:space="preserve"> and nodular cast iron was influenced by the flake and nodule structure. In general, the nodule structure is responsible for maximum hardness. The longer treatment time allows the nitrogen atoms to diffuse more to the surface, while the flake structure limits the absorption of nitrogen atoms into the surface of the cast iron.</w:t>
      </w:r>
    </w:p>
    <w:p w:rsidR="008E3AF8" w:rsidRDefault="007E6960">
      <w:pPr>
        <w:pStyle w:val="Abstract"/>
      </w:pPr>
      <w:r>
        <w:rPr>
          <w:rFonts w:ascii="Times New Roman" w:hAnsi="Times New Roman"/>
          <w:b/>
          <w:bCs/>
        </w:rPr>
        <w:t>Keywords</w:t>
      </w:r>
      <w:r>
        <w:rPr>
          <w:rFonts w:ascii="Times New Roman" w:hAnsi="Times New Roman"/>
        </w:rPr>
        <w:t>: nodule, flake, nitride, holding time, case depth, nitriding</w:t>
      </w:r>
    </w:p>
    <w:p w:rsidR="008E3AF8" w:rsidRDefault="007E6960">
      <w:pPr>
        <w:pStyle w:val="section"/>
        <w:spacing w:before="0"/>
        <w:rPr>
          <w:rFonts w:ascii="Times New Roman" w:hAnsi="Times New Roman"/>
        </w:rPr>
      </w:pPr>
      <w:r>
        <w:rPr>
          <w:rFonts w:ascii="Times New Roman" w:hAnsi="Times New Roman"/>
        </w:rPr>
        <w:t>Introduction</w:t>
      </w:r>
    </w:p>
    <w:p w:rsidR="008E3AF8" w:rsidRDefault="007E6960">
      <w:pPr>
        <w:pStyle w:val="BodyChar"/>
        <w:rPr>
          <w:rFonts w:ascii="Times New Roman" w:hAnsi="Times New Roman"/>
        </w:rPr>
      </w:pPr>
      <w:proofErr w:type="spellStart"/>
      <w:r>
        <w:rPr>
          <w:rFonts w:ascii="Times New Roman" w:hAnsi="Times New Roman"/>
        </w:rPr>
        <w:t>Gray</w:t>
      </w:r>
      <w:proofErr w:type="spellEnd"/>
      <w:r>
        <w:rPr>
          <w:rFonts w:ascii="Times New Roman" w:hAnsi="Times New Roman"/>
        </w:rPr>
        <w:t xml:space="preserve"> and nodular cast iron are widely used in manufacturing due to lower prices and significant properties, including hardness and optimal damping ability. This study determined the nitriding process's effect on the hardness value and the role of the microstructure on the surface of </w:t>
      </w:r>
      <w:proofErr w:type="spellStart"/>
      <w:r>
        <w:rPr>
          <w:rFonts w:ascii="Times New Roman" w:hAnsi="Times New Roman"/>
        </w:rPr>
        <w:t>gray</w:t>
      </w:r>
      <w:proofErr w:type="spellEnd"/>
      <w:r>
        <w:rPr>
          <w:rFonts w:ascii="Times New Roman" w:hAnsi="Times New Roman"/>
        </w:rPr>
        <w:t xml:space="preserve"> and nodular cast iron. The research aimed to improve the optimal surface hardness of </w:t>
      </w:r>
      <w:proofErr w:type="spellStart"/>
      <w:r>
        <w:rPr>
          <w:rFonts w:ascii="Times New Roman" w:hAnsi="Times New Roman"/>
        </w:rPr>
        <w:t>gray</w:t>
      </w:r>
      <w:proofErr w:type="spellEnd"/>
      <w:r>
        <w:rPr>
          <w:rFonts w:ascii="Times New Roman" w:hAnsi="Times New Roman"/>
        </w:rPr>
        <w:t xml:space="preserve"> and nodular cast iron. The ability to absorb nitrogen atoms in the nitriding process determines the surface hard nitride formation. Iron nitride formed on the surface affects changes in cast iron's surface structure, affecting other properties possessed by cast iron [1]. Nitriding is one of the thermochemical surface hardening treatments effectively applied. This is because the hard layer formed is very thin to affect cast iron's properties and initial characteristics [2]. </w:t>
      </w:r>
    </w:p>
    <w:p w:rsidR="008E3AF8" w:rsidRDefault="007E6960">
      <w:pPr>
        <w:pStyle w:val="BodyChar"/>
        <w:rPr>
          <w:rFonts w:ascii="Times New Roman" w:hAnsi="Times New Roman"/>
          <w:b/>
          <w:bCs/>
        </w:rPr>
      </w:pPr>
      <w:r>
        <w:rPr>
          <w:rFonts w:ascii="Times New Roman" w:hAnsi="Times New Roman"/>
          <w:b/>
          <w:bCs/>
        </w:rPr>
        <w:t xml:space="preserve">2. Literature Review </w:t>
      </w:r>
    </w:p>
    <w:p w:rsidR="008E3AF8" w:rsidRDefault="007E6960">
      <w:pPr>
        <w:pStyle w:val="BodyChar"/>
        <w:rPr>
          <w:rFonts w:ascii="Times New Roman" w:hAnsi="Times New Roman"/>
        </w:rPr>
      </w:pPr>
      <w:r>
        <w:rPr>
          <w:rFonts w:ascii="Times New Roman" w:hAnsi="Times New Roman"/>
        </w:rPr>
        <w:t xml:space="preserve">Nitriding is a thermochemical treatment process where nitrogen is diffused onto the surface of the material (ferrous and non-ferrous) at 500-600 </w:t>
      </w:r>
      <w:r>
        <w:rPr>
          <w:rFonts w:ascii="Times New Roman" w:hAnsi="Times New Roman"/>
          <w:vertAlign w:val="superscript"/>
        </w:rPr>
        <w:t>0</w:t>
      </w:r>
      <w:r>
        <w:rPr>
          <w:rFonts w:ascii="Times New Roman" w:hAnsi="Times New Roman"/>
        </w:rPr>
        <w:t xml:space="preserve">C for skin hardening due to an alloy's formation nitride layer on the specimen surface. The layers' thickness ranges from 0.2 to 0.7 mm, with a hardness of 900-1100 HV. Since the process temperature is very low, the possibility of </w:t>
      </w:r>
      <w:proofErr w:type="spellStart"/>
      <w:r>
        <w:rPr>
          <w:rFonts w:ascii="Times New Roman" w:hAnsi="Times New Roman"/>
        </w:rPr>
        <w:t>gyometric</w:t>
      </w:r>
      <w:proofErr w:type="spellEnd"/>
      <w:r>
        <w:rPr>
          <w:rFonts w:ascii="Times New Roman" w:hAnsi="Times New Roman"/>
        </w:rPr>
        <w:t xml:space="preserve"> distortion or cracking is very low. Some of the nitriding process's essential properties include abrasive and adhesive wear resistance and corrosion resistance [3]. </w:t>
      </w:r>
    </w:p>
    <w:p w:rsidR="008E3AF8" w:rsidRDefault="009B1EF8" w:rsidP="009B1EF8">
      <w:pPr>
        <w:pStyle w:val="BodyIndent"/>
      </w:pPr>
      <w:r>
        <w:tab/>
      </w:r>
      <w:r w:rsidR="007E6960">
        <w:t xml:space="preserve">Gas nitriding conducted by heating between 500 and 600 </w:t>
      </w:r>
      <w:r w:rsidR="007E6960">
        <w:rPr>
          <w:vertAlign w:val="superscript"/>
        </w:rPr>
        <w:t>0</w:t>
      </w:r>
      <w:r w:rsidR="007E6960">
        <w:t xml:space="preserve">C in a heating kitchen with an atmosphere containing nitrogen is widely used. Current fluidized bed technology has been utilized to produce a surface hardness of steel and iron for the thermochemical gas treatment process. Alumina </w:t>
      </w:r>
      <w:r w:rsidR="007E6960">
        <w:lastRenderedPageBreak/>
        <w:t>powder is used as a medium for transferring heat from the kitchen wall to the specimen, increasing surface hardening quality. However, the quality of surface hardening is largely determined by the alloy of the material to be processed [4]. Fluidized bed has several advantages, including being used to process ferrous and non-ferrous materials, high heat transfer rates can be achieved, the initial heat treatment time is shorter, and the kitchen can be closed overnight, high thermal efficiency with low electricity consumption. It can also be used for various types of chemical surface hardening (thermochemical treatment). It also has several disadvantages, such as being potentially explosive, in case of a leak, the direction of the fluidized bed action on the workpiece surface is oriented differently, and the allowable variation in the work component's size is difficult to determine [5].</w:t>
      </w:r>
    </w:p>
    <w:p w:rsidR="008E3AF8" w:rsidRDefault="008E3AF8">
      <w:pPr>
        <w:pStyle w:val="BodyChar"/>
        <w:rPr>
          <w:rFonts w:ascii="Times New Roman" w:hAnsi="Times New Roman"/>
        </w:rPr>
      </w:pPr>
    </w:p>
    <w:p w:rsidR="008E3AF8" w:rsidRDefault="007E6960">
      <w:pPr>
        <w:pStyle w:val="BodyChar"/>
        <w:rPr>
          <w:rFonts w:ascii="Times New Roman" w:hAnsi="Times New Roman"/>
          <w:b/>
        </w:rPr>
      </w:pPr>
      <w:r>
        <w:rPr>
          <w:rFonts w:ascii="Times New Roman" w:hAnsi="Times New Roman"/>
          <w:b/>
          <w:bCs/>
        </w:rPr>
        <w:t>3.</w:t>
      </w:r>
      <w:r>
        <w:rPr>
          <w:rFonts w:ascii="Times New Roman" w:hAnsi="Times New Roman"/>
        </w:rPr>
        <w:t xml:space="preserve"> </w:t>
      </w:r>
      <w:r>
        <w:rPr>
          <w:rFonts w:ascii="Times New Roman" w:hAnsi="Times New Roman"/>
          <w:b/>
        </w:rPr>
        <w:t xml:space="preserve">Research Methodology </w:t>
      </w:r>
    </w:p>
    <w:p w:rsidR="008E3AF8" w:rsidRDefault="007E6960">
      <w:pPr>
        <w:pStyle w:val="BodyChar"/>
        <w:rPr>
          <w:rFonts w:ascii="Times New Roman" w:hAnsi="Times New Roman"/>
          <w:bCs/>
        </w:rPr>
      </w:pPr>
      <w:r>
        <w:rPr>
          <w:rFonts w:ascii="Times New Roman" w:hAnsi="Times New Roman"/>
          <w:bCs/>
        </w:rPr>
        <w:t xml:space="preserve">The </w:t>
      </w:r>
      <w:proofErr w:type="spellStart"/>
      <w:r>
        <w:rPr>
          <w:rFonts w:ascii="Times New Roman" w:hAnsi="Times New Roman"/>
          <w:bCs/>
        </w:rPr>
        <w:t>gray</w:t>
      </w:r>
      <w:proofErr w:type="spellEnd"/>
      <w:r>
        <w:rPr>
          <w:rFonts w:ascii="Times New Roman" w:hAnsi="Times New Roman"/>
          <w:bCs/>
        </w:rPr>
        <w:t xml:space="preserve"> and nodular cast iron was treated with nitriding at 550 </w:t>
      </w:r>
      <w:r>
        <w:rPr>
          <w:rFonts w:ascii="Times New Roman" w:hAnsi="Times New Roman"/>
          <w:bCs/>
          <w:vertAlign w:val="superscript"/>
        </w:rPr>
        <w:t>0</w:t>
      </w:r>
      <w:r>
        <w:rPr>
          <w:rFonts w:ascii="Times New Roman" w:hAnsi="Times New Roman"/>
          <w:bCs/>
        </w:rPr>
        <w:t xml:space="preserve">C with variations in treatment time of 2, 4, and 6 hours. The cooling process utilized air as the media, while the specimen was cut in the transverse direction (cross-section) to determine the thickness of the nitride layer and the structure formed using the SEM test (Scanning electron microscope). The nitride element formed, and the case depth was observed using EDAX and microhardness tests with Vickers. </w:t>
      </w:r>
    </w:p>
    <w:p w:rsidR="008E3AF8" w:rsidRDefault="008E3AF8">
      <w:pPr>
        <w:pStyle w:val="BodyChar"/>
        <w:rPr>
          <w:rFonts w:ascii="Times New Roman" w:hAnsi="Times New Roman"/>
          <w:b/>
        </w:rPr>
      </w:pPr>
    </w:p>
    <w:p w:rsidR="008E3AF8" w:rsidRDefault="007E6960">
      <w:pPr>
        <w:pStyle w:val="BodyChar"/>
        <w:rPr>
          <w:rFonts w:ascii="Times New Roman" w:hAnsi="Times New Roman"/>
          <w:b/>
        </w:rPr>
      </w:pPr>
      <w:r>
        <w:rPr>
          <w:rFonts w:ascii="Times New Roman" w:hAnsi="Times New Roman"/>
          <w:b/>
        </w:rPr>
        <w:t>4. Result and Discussion</w:t>
      </w:r>
    </w:p>
    <w:p w:rsidR="008E3AF8" w:rsidRDefault="007E6960">
      <w:pPr>
        <w:pStyle w:val="BodyChar"/>
        <w:rPr>
          <w:rFonts w:ascii="Times New Roman" w:hAnsi="Times New Roman"/>
          <w:bCs/>
        </w:rPr>
      </w:pPr>
      <w:r>
        <w:rPr>
          <w:rFonts w:ascii="Times New Roman" w:hAnsi="Times New Roman"/>
          <w:b/>
        </w:rPr>
        <w:t xml:space="preserve">4.1. Test Data </w:t>
      </w:r>
    </w:p>
    <w:p w:rsidR="008E3AF8" w:rsidRDefault="007E6960">
      <w:pPr>
        <w:spacing w:line="360" w:lineRule="auto"/>
        <w:jc w:val="both"/>
        <w:rPr>
          <w:rFonts w:ascii="Times New Roman" w:hAnsi="Times New Roman"/>
          <w:b/>
          <w:szCs w:val="22"/>
        </w:rPr>
      </w:pPr>
      <w:r>
        <w:rPr>
          <w:rFonts w:ascii="Times New Roman" w:hAnsi="Times New Roman"/>
          <w:b/>
          <w:szCs w:val="22"/>
        </w:rPr>
        <w:t>a. Hardness Distribution Testing</w:t>
      </w:r>
    </w:p>
    <w:p w:rsidR="008E3AF8" w:rsidRDefault="007E6960">
      <w:pPr>
        <w:jc w:val="both"/>
        <w:rPr>
          <w:rFonts w:ascii="Times New Roman" w:hAnsi="Times New Roman"/>
          <w:bCs/>
          <w:szCs w:val="22"/>
        </w:rPr>
      </w:pPr>
      <w:r>
        <w:rPr>
          <w:rFonts w:ascii="Times New Roman" w:hAnsi="Times New Roman"/>
          <w:bCs/>
          <w:szCs w:val="22"/>
        </w:rPr>
        <w:t xml:space="preserve">The comparison of nitriding treatment on cast iron showed a significant change in hardness in nodular compared to </w:t>
      </w:r>
      <w:proofErr w:type="spellStart"/>
      <w:r>
        <w:rPr>
          <w:rFonts w:ascii="Times New Roman" w:hAnsi="Times New Roman"/>
          <w:bCs/>
          <w:szCs w:val="22"/>
        </w:rPr>
        <w:t>gray</w:t>
      </w:r>
      <w:proofErr w:type="spellEnd"/>
      <w:r>
        <w:rPr>
          <w:rFonts w:ascii="Times New Roman" w:hAnsi="Times New Roman"/>
          <w:bCs/>
          <w:szCs w:val="22"/>
        </w:rPr>
        <w:t xml:space="preserve"> cast iron, as shown in Figure 1. However, all cast iron specimens showed high hardness values on the surface to a depth of 20-micron meters. The hardness at a depth of 10 and 20 microns went up to 50 % and 25 %, respectively. At a depth of 30 microns and above, the hardness value was almost the same as the base metal. This showed the depth of hardening in average cast iron was only 20-micron meters. Nitride layers above 20 microns were very difficult to form.</w:t>
      </w:r>
    </w:p>
    <w:p w:rsidR="008E3AF8" w:rsidRDefault="007E6960" w:rsidP="009B1EF8">
      <w:pPr>
        <w:ind w:firstLine="851"/>
        <w:jc w:val="both"/>
        <w:rPr>
          <w:rFonts w:ascii="Times New Roman" w:hAnsi="Times New Roman"/>
          <w:bCs/>
          <w:szCs w:val="22"/>
        </w:rPr>
      </w:pPr>
      <w:r>
        <w:rPr>
          <w:rFonts w:ascii="Times New Roman" w:hAnsi="Times New Roman"/>
          <w:bCs/>
          <w:szCs w:val="22"/>
        </w:rPr>
        <w:t xml:space="preserve">The hard layer of iron nitride formed on the surface was shown in the SEM test results (Figure 2). Nodular cast iron had better coating hardness, though the nitride layer was thinner than </w:t>
      </w:r>
      <w:proofErr w:type="spellStart"/>
      <w:r>
        <w:rPr>
          <w:rFonts w:ascii="Times New Roman" w:hAnsi="Times New Roman"/>
          <w:bCs/>
          <w:szCs w:val="22"/>
        </w:rPr>
        <w:t>gray</w:t>
      </w:r>
      <w:proofErr w:type="spellEnd"/>
      <w:r>
        <w:rPr>
          <w:rFonts w:ascii="Times New Roman" w:hAnsi="Times New Roman"/>
          <w:bCs/>
          <w:szCs w:val="22"/>
        </w:rPr>
        <w:t xml:space="preserve"> cast iron. The spherical structure (nodule) in nodular cast iron had a lower stress concentration, hence the nitrogen atom was easily bound to the Fe in the complete formation of hard nitride (Figure 3b). According to Figure 3.a, the nitride layer formed on the surface is often more prone to crack propagation (breakage). This is because the </w:t>
      </w:r>
      <w:proofErr w:type="spellStart"/>
      <w:r>
        <w:rPr>
          <w:rFonts w:ascii="Times New Roman" w:hAnsi="Times New Roman"/>
          <w:bCs/>
          <w:szCs w:val="22"/>
        </w:rPr>
        <w:t>gray</w:t>
      </w:r>
      <w:proofErr w:type="spellEnd"/>
      <w:r>
        <w:rPr>
          <w:rFonts w:ascii="Times New Roman" w:hAnsi="Times New Roman"/>
          <w:bCs/>
          <w:szCs w:val="22"/>
        </w:rPr>
        <w:t xml:space="preserve"> cast iron structure in the form of a flake easily propagates to the surface [6]. Additionally, </w:t>
      </w:r>
      <w:proofErr w:type="spellStart"/>
      <w:r>
        <w:rPr>
          <w:rFonts w:ascii="Times New Roman" w:hAnsi="Times New Roman"/>
          <w:bCs/>
          <w:szCs w:val="22"/>
        </w:rPr>
        <w:t>gray</w:t>
      </w:r>
      <w:proofErr w:type="spellEnd"/>
      <w:r>
        <w:rPr>
          <w:rFonts w:ascii="Times New Roman" w:hAnsi="Times New Roman"/>
          <w:bCs/>
          <w:szCs w:val="22"/>
        </w:rPr>
        <w:t xml:space="preserve"> cast iron with an elongated structure (flake) had a high-stress concentration, especially in the tip area (Figure 3). This led to a lower hardness because it tended to fail. Figure 5 showed the structure of nodular cast iron where the grain boundaries were more neatly arranged, hence the stress concentration was more evenly distributed.</w:t>
      </w:r>
    </w:p>
    <w:p w:rsidR="008E3AF8" w:rsidRDefault="008E3AF8">
      <w:pPr>
        <w:spacing w:line="360" w:lineRule="auto"/>
        <w:jc w:val="both"/>
        <w:rPr>
          <w:rFonts w:ascii="Times New Roman" w:hAnsi="Times New Roman"/>
          <w:b/>
          <w:szCs w:val="22"/>
        </w:rPr>
      </w:pPr>
    </w:p>
    <w:p w:rsidR="008E3AF8" w:rsidRDefault="007E6960" w:rsidP="001A32F4">
      <w:pPr>
        <w:spacing w:line="360" w:lineRule="auto"/>
        <w:ind w:left="-284"/>
        <w:jc w:val="center"/>
        <w:rPr>
          <w:rFonts w:ascii="Times New Roman" w:hAnsi="Times New Roman"/>
          <w:szCs w:val="22"/>
        </w:rPr>
      </w:pPr>
      <w:r>
        <w:rPr>
          <w:rFonts w:ascii="Times New Roman" w:hAnsi="Times New Roman"/>
          <w:noProof/>
          <w:szCs w:val="22"/>
          <w:lang w:val="en-US"/>
        </w:rPr>
        <w:drawing>
          <wp:inline distT="0" distB="0" distL="0" distR="0">
            <wp:extent cx="4267200" cy="20097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3AF8" w:rsidRDefault="007E6960">
      <w:pPr>
        <w:spacing w:line="360" w:lineRule="auto"/>
        <w:ind w:left="-284"/>
        <w:jc w:val="center"/>
        <w:rPr>
          <w:rFonts w:ascii="Times New Roman" w:hAnsi="Times New Roman"/>
          <w:szCs w:val="22"/>
        </w:rPr>
      </w:pPr>
      <w:r>
        <w:rPr>
          <w:rFonts w:ascii="Times New Roman" w:hAnsi="Times New Roman"/>
          <w:b/>
          <w:bCs/>
          <w:szCs w:val="22"/>
        </w:rPr>
        <w:t>Figure 1.</w:t>
      </w:r>
      <w:r>
        <w:rPr>
          <w:rFonts w:ascii="Times New Roman" w:hAnsi="Times New Roman"/>
          <w:szCs w:val="22"/>
        </w:rPr>
        <w:t xml:space="preserve"> Depth profile of </w:t>
      </w:r>
      <w:proofErr w:type="spellStart"/>
      <w:r>
        <w:rPr>
          <w:rFonts w:ascii="Times New Roman" w:hAnsi="Times New Roman"/>
          <w:szCs w:val="22"/>
        </w:rPr>
        <w:t>gray</w:t>
      </w:r>
      <w:proofErr w:type="spellEnd"/>
      <w:r>
        <w:rPr>
          <w:rFonts w:ascii="Times New Roman" w:hAnsi="Times New Roman"/>
          <w:szCs w:val="22"/>
        </w:rPr>
        <w:t xml:space="preserve"> and nodular cast iron hardening </w:t>
      </w:r>
    </w:p>
    <w:p w:rsidR="008E3AF8" w:rsidRDefault="007E6960">
      <w:pPr>
        <w:spacing w:line="360" w:lineRule="auto"/>
        <w:jc w:val="center"/>
        <w:rPr>
          <w:rFonts w:ascii="Times New Roman" w:hAnsi="Times New Roman"/>
          <w:bCs/>
          <w:szCs w:val="22"/>
        </w:rPr>
      </w:pPr>
      <w:r>
        <w:rPr>
          <w:rFonts w:ascii="Times New Roman" w:hAnsi="Times New Roman"/>
          <w:noProof/>
          <w:szCs w:val="22"/>
          <w:lang w:val="en-US"/>
        </w:rPr>
        <w:lastRenderedPageBreak/>
        <w:drawing>
          <wp:inline distT="0" distB="0" distL="0" distR="0">
            <wp:extent cx="2514600" cy="14084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a:srcRect l="39018" t="23326" r="27177" b="47939"/>
                    <a:stretch>
                      <a:fillRect/>
                    </a:stretch>
                  </pic:blipFill>
                  <pic:spPr>
                    <a:xfrm>
                      <a:off x="0" y="0"/>
                      <a:ext cx="2542072" cy="1424209"/>
                    </a:xfrm>
                    <a:prstGeom prst="rect">
                      <a:avLst/>
                    </a:prstGeom>
                    <a:ln>
                      <a:noFill/>
                    </a:ln>
                  </pic:spPr>
                </pic:pic>
              </a:graphicData>
            </a:graphic>
          </wp:inline>
        </w:drawing>
      </w:r>
      <w:r>
        <w:rPr>
          <w:rFonts w:ascii="Times New Roman" w:hAnsi="Times New Roman"/>
          <w:noProof/>
          <w:szCs w:val="22"/>
          <w:lang w:val="en-US"/>
        </w:rPr>
        <w:drawing>
          <wp:inline distT="0" distB="0" distL="0" distR="0">
            <wp:extent cx="2752725" cy="1348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srcRect l="38535" t="21541" r="26289" b="45574"/>
                    <a:stretch>
                      <a:fillRect/>
                    </a:stretch>
                  </pic:blipFill>
                  <pic:spPr>
                    <a:xfrm>
                      <a:off x="0" y="0"/>
                      <a:ext cx="2784888" cy="1364559"/>
                    </a:xfrm>
                    <a:prstGeom prst="rect">
                      <a:avLst/>
                    </a:prstGeom>
                    <a:ln>
                      <a:noFill/>
                    </a:ln>
                  </pic:spPr>
                </pic:pic>
              </a:graphicData>
            </a:graphic>
          </wp:inline>
        </w:drawing>
      </w:r>
    </w:p>
    <w:p w:rsidR="008E3AF8" w:rsidRDefault="007E6960">
      <w:pPr>
        <w:spacing w:line="360" w:lineRule="auto"/>
        <w:jc w:val="center"/>
        <w:rPr>
          <w:rFonts w:ascii="Times New Roman" w:hAnsi="Times New Roman"/>
          <w:bCs/>
          <w:szCs w:val="22"/>
        </w:rPr>
      </w:pPr>
      <w:r>
        <w:rPr>
          <w:rFonts w:ascii="Times New Roman" w:hAnsi="Times New Roman"/>
          <w:bCs/>
          <w:szCs w:val="22"/>
        </w:rPr>
        <w:t>a</w:t>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r>
      <w:r>
        <w:rPr>
          <w:rFonts w:ascii="Times New Roman" w:hAnsi="Times New Roman"/>
          <w:bCs/>
          <w:szCs w:val="22"/>
        </w:rPr>
        <w:tab/>
        <w:t>b</w:t>
      </w:r>
    </w:p>
    <w:p w:rsidR="008E3AF8" w:rsidRDefault="007E6960">
      <w:pPr>
        <w:spacing w:line="360" w:lineRule="auto"/>
        <w:jc w:val="center"/>
        <w:rPr>
          <w:rFonts w:ascii="Times New Roman" w:hAnsi="Times New Roman"/>
          <w:szCs w:val="22"/>
        </w:rPr>
      </w:pPr>
      <w:r>
        <w:rPr>
          <w:rFonts w:ascii="Times New Roman" w:hAnsi="Times New Roman"/>
          <w:b/>
          <w:bCs/>
          <w:szCs w:val="22"/>
        </w:rPr>
        <w:t>Figure 2.</w:t>
      </w:r>
      <w:r>
        <w:rPr>
          <w:rFonts w:ascii="Times New Roman" w:hAnsi="Times New Roman"/>
          <w:szCs w:val="22"/>
        </w:rPr>
        <w:t xml:space="preserve"> Structure of surface nitride hard layer a) </w:t>
      </w:r>
      <w:proofErr w:type="spellStart"/>
      <w:r>
        <w:rPr>
          <w:rFonts w:ascii="Times New Roman" w:hAnsi="Times New Roman"/>
          <w:szCs w:val="22"/>
        </w:rPr>
        <w:t>gray</w:t>
      </w:r>
      <w:proofErr w:type="spellEnd"/>
      <w:r>
        <w:rPr>
          <w:rFonts w:ascii="Times New Roman" w:hAnsi="Times New Roman"/>
          <w:szCs w:val="22"/>
        </w:rPr>
        <w:t xml:space="preserve"> cast iron, b) nodular cast iron</w:t>
      </w:r>
    </w:p>
    <w:p w:rsidR="008E3AF8" w:rsidRDefault="008E3AF8">
      <w:pPr>
        <w:jc w:val="both"/>
        <w:rPr>
          <w:rFonts w:ascii="Times New Roman" w:hAnsi="Times New Roman"/>
          <w:bCs/>
          <w:szCs w:val="22"/>
        </w:rPr>
      </w:pPr>
    </w:p>
    <w:p w:rsidR="008E3AF8" w:rsidRDefault="007E6960">
      <w:pPr>
        <w:spacing w:line="360" w:lineRule="auto"/>
        <w:jc w:val="both"/>
        <w:rPr>
          <w:rFonts w:ascii="Times New Roman" w:hAnsi="Times New Roman"/>
          <w:szCs w:val="22"/>
        </w:rPr>
      </w:pPr>
      <w:r>
        <w:rPr>
          <w:rFonts w:ascii="Times New Roman" w:hAnsi="Times New Roman"/>
          <w:noProof/>
          <w:szCs w:val="22"/>
          <w:lang w:val="en-US"/>
        </w:rPr>
        <w:drawing>
          <wp:inline distT="0" distB="0" distL="0" distR="0">
            <wp:extent cx="2712085" cy="1228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rcRect l="39327" t="23024" r="26517" b="49465"/>
                    <a:stretch>
                      <a:fillRect/>
                    </a:stretch>
                  </pic:blipFill>
                  <pic:spPr>
                    <a:xfrm>
                      <a:off x="0" y="0"/>
                      <a:ext cx="2742129" cy="1241718"/>
                    </a:xfrm>
                    <a:prstGeom prst="rect">
                      <a:avLst/>
                    </a:prstGeom>
                    <a:ln>
                      <a:noFill/>
                    </a:ln>
                  </pic:spPr>
                </pic:pic>
              </a:graphicData>
            </a:graphic>
          </wp:inline>
        </w:drawing>
      </w:r>
      <w:r>
        <w:rPr>
          <w:rFonts w:ascii="Times New Roman" w:hAnsi="Times New Roman"/>
          <w:szCs w:val="22"/>
        </w:rPr>
        <w:t xml:space="preserve"> </w:t>
      </w:r>
      <w:r>
        <w:rPr>
          <w:rFonts w:ascii="Times New Roman" w:hAnsi="Times New Roman"/>
          <w:noProof/>
          <w:szCs w:val="22"/>
          <w:lang w:val="en-US"/>
        </w:rPr>
        <w:drawing>
          <wp:inline distT="0" distB="0" distL="0" distR="0">
            <wp:extent cx="2512060" cy="1201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srcRect l="39067" t="52976" r="26140" b="13931"/>
                    <a:stretch>
                      <a:fillRect/>
                    </a:stretch>
                  </pic:blipFill>
                  <pic:spPr>
                    <a:xfrm>
                      <a:off x="0" y="0"/>
                      <a:ext cx="2546273" cy="1217756"/>
                    </a:xfrm>
                    <a:prstGeom prst="rect">
                      <a:avLst/>
                    </a:prstGeom>
                    <a:ln>
                      <a:noFill/>
                    </a:ln>
                  </pic:spPr>
                </pic:pic>
              </a:graphicData>
            </a:graphic>
          </wp:inline>
        </w:drawing>
      </w:r>
    </w:p>
    <w:p w:rsidR="008E3AF8" w:rsidRDefault="007E6960">
      <w:pPr>
        <w:spacing w:line="360" w:lineRule="auto"/>
        <w:jc w:val="both"/>
        <w:rPr>
          <w:rFonts w:ascii="Times New Roman" w:hAnsi="Times New Roman"/>
          <w:szCs w:val="22"/>
        </w:rPr>
      </w:pPr>
      <w:r>
        <w:rPr>
          <w:rFonts w:ascii="Times New Roman" w:hAnsi="Times New Roman"/>
          <w:szCs w:val="22"/>
        </w:rPr>
        <w:tab/>
      </w:r>
      <w:r>
        <w:rPr>
          <w:rFonts w:ascii="Times New Roman" w:hAnsi="Times New Roman"/>
          <w:szCs w:val="22"/>
        </w:rPr>
        <w:tab/>
        <w:t>a</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b</w:t>
      </w:r>
    </w:p>
    <w:p w:rsidR="008E3AF8" w:rsidRDefault="007E6960">
      <w:pPr>
        <w:spacing w:line="360" w:lineRule="auto"/>
        <w:jc w:val="center"/>
        <w:rPr>
          <w:rFonts w:ascii="Times New Roman" w:hAnsi="Times New Roman"/>
          <w:bCs/>
          <w:szCs w:val="22"/>
        </w:rPr>
      </w:pPr>
      <w:r>
        <w:rPr>
          <w:rFonts w:ascii="Times New Roman" w:hAnsi="Times New Roman"/>
          <w:b/>
          <w:bCs/>
          <w:szCs w:val="22"/>
        </w:rPr>
        <w:t>Figure 3.</w:t>
      </w:r>
      <w:r>
        <w:rPr>
          <w:rFonts w:ascii="Times New Roman" w:hAnsi="Times New Roman"/>
          <w:szCs w:val="22"/>
        </w:rPr>
        <w:t xml:space="preserve"> </w:t>
      </w:r>
      <w:proofErr w:type="spellStart"/>
      <w:r>
        <w:rPr>
          <w:rFonts w:ascii="Times New Roman" w:hAnsi="Times New Roman"/>
          <w:szCs w:val="22"/>
        </w:rPr>
        <w:t>Gray</w:t>
      </w:r>
      <w:proofErr w:type="spellEnd"/>
      <w:r>
        <w:rPr>
          <w:rFonts w:ascii="Times New Roman" w:hAnsi="Times New Roman"/>
          <w:szCs w:val="22"/>
        </w:rPr>
        <w:t xml:space="preserve"> cast iron a) 1000x magnification, b) 5000x magnification</w:t>
      </w:r>
    </w:p>
    <w:p w:rsidR="008E3AF8" w:rsidRDefault="007E6960">
      <w:pPr>
        <w:spacing w:line="360" w:lineRule="auto"/>
        <w:jc w:val="both"/>
        <w:rPr>
          <w:rFonts w:ascii="Times New Roman" w:hAnsi="Times New Roman"/>
          <w:szCs w:val="22"/>
        </w:rPr>
      </w:pPr>
      <w:r>
        <w:rPr>
          <w:rFonts w:ascii="Times New Roman" w:hAnsi="Times New Roman"/>
          <w:noProof/>
          <w:szCs w:val="22"/>
          <w:lang w:val="en-US"/>
        </w:rPr>
        <w:drawing>
          <wp:inline distT="0" distB="0" distL="0" distR="0">
            <wp:extent cx="2136140" cy="133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a:srcRect l="39036" t="55024" r="33208" b="9331"/>
                    <a:stretch>
                      <a:fillRect/>
                    </a:stretch>
                  </pic:blipFill>
                  <pic:spPr>
                    <a:xfrm>
                      <a:off x="0" y="0"/>
                      <a:ext cx="2162752" cy="1352096"/>
                    </a:xfrm>
                    <a:prstGeom prst="rect">
                      <a:avLst/>
                    </a:prstGeom>
                    <a:ln>
                      <a:noFill/>
                    </a:ln>
                  </pic:spPr>
                </pic:pic>
              </a:graphicData>
            </a:graphic>
          </wp:inline>
        </w:drawing>
      </w:r>
      <w:r>
        <w:rPr>
          <w:rFonts w:ascii="Times New Roman" w:hAnsi="Times New Roman"/>
          <w:szCs w:val="22"/>
        </w:rPr>
        <w:t xml:space="preserve"> </w:t>
      </w:r>
      <w:r>
        <w:rPr>
          <w:rFonts w:ascii="Times New Roman" w:hAnsi="Times New Roman"/>
          <w:szCs w:val="22"/>
        </w:rPr>
        <w:tab/>
      </w:r>
      <w:r>
        <w:rPr>
          <w:rFonts w:ascii="Times New Roman" w:hAnsi="Times New Roman"/>
          <w:szCs w:val="22"/>
        </w:rPr>
        <w:tab/>
      </w:r>
      <w:r>
        <w:rPr>
          <w:rFonts w:ascii="Times New Roman" w:hAnsi="Times New Roman"/>
          <w:noProof/>
          <w:szCs w:val="22"/>
          <w:lang w:val="en-US"/>
        </w:rPr>
        <w:drawing>
          <wp:inline distT="0" distB="0" distL="0" distR="0">
            <wp:extent cx="2419350" cy="1337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a:srcRect l="38334" t="58014" r="32238" b="8457"/>
                    <a:stretch>
                      <a:fillRect/>
                    </a:stretch>
                  </pic:blipFill>
                  <pic:spPr>
                    <a:xfrm>
                      <a:off x="0" y="0"/>
                      <a:ext cx="2453704" cy="1356682"/>
                    </a:xfrm>
                    <a:prstGeom prst="rect">
                      <a:avLst/>
                    </a:prstGeom>
                    <a:ln>
                      <a:noFill/>
                    </a:ln>
                  </pic:spPr>
                </pic:pic>
              </a:graphicData>
            </a:graphic>
          </wp:inline>
        </w:drawing>
      </w:r>
    </w:p>
    <w:p w:rsidR="008E3AF8" w:rsidRDefault="007E6960">
      <w:pPr>
        <w:spacing w:line="360" w:lineRule="auto"/>
        <w:jc w:val="both"/>
        <w:rPr>
          <w:rFonts w:ascii="Times New Roman" w:hAnsi="Times New Roman"/>
          <w:szCs w:val="22"/>
        </w:rPr>
      </w:pPr>
      <w:r>
        <w:rPr>
          <w:rFonts w:ascii="Times New Roman" w:hAnsi="Times New Roman"/>
          <w:szCs w:val="22"/>
        </w:rPr>
        <w:tab/>
      </w:r>
      <w:r>
        <w:rPr>
          <w:rFonts w:ascii="Times New Roman" w:hAnsi="Times New Roman"/>
          <w:szCs w:val="22"/>
        </w:rPr>
        <w:tab/>
        <w:t>a</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b</w:t>
      </w:r>
    </w:p>
    <w:p w:rsidR="008E3AF8" w:rsidRDefault="007E6960">
      <w:pPr>
        <w:spacing w:line="360" w:lineRule="auto"/>
        <w:jc w:val="center"/>
        <w:rPr>
          <w:rFonts w:ascii="Times New Roman" w:hAnsi="Times New Roman"/>
          <w:bCs/>
          <w:szCs w:val="22"/>
        </w:rPr>
      </w:pPr>
      <w:r>
        <w:rPr>
          <w:rFonts w:ascii="Times New Roman" w:hAnsi="Times New Roman"/>
          <w:b/>
          <w:bCs/>
          <w:szCs w:val="22"/>
        </w:rPr>
        <w:t>Figure 4.</w:t>
      </w:r>
      <w:r>
        <w:rPr>
          <w:rFonts w:ascii="Times New Roman" w:hAnsi="Times New Roman"/>
          <w:szCs w:val="22"/>
        </w:rPr>
        <w:t xml:space="preserve"> Nodular cast iron a) 1000x magnification, b) 5000x magnification</w:t>
      </w:r>
    </w:p>
    <w:p w:rsidR="008E3AF8" w:rsidRDefault="008E3AF8">
      <w:pPr>
        <w:spacing w:line="360" w:lineRule="auto"/>
        <w:jc w:val="both"/>
        <w:rPr>
          <w:rFonts w:ascii="Times New Roman" w:hAnsi="Times New Roman"/>
          <w:bCs/>
          <w:szCs w:val="22"/>
        </w:rPr>
      </w:pPr>
    </w:p>
    <w:p w:rsidR="008E3AF8" w:rsidRDefault="007E6960">
      <w:pPr>
        <w:spacing w:line="360" w:lineRule="auto"/>
        <w:rPr>
          <w:rFonts w:ascii="Times New Roman" w:hAnsi="Times New Roman"/>
          <w:b/>
          <w:bCs/>
          <w:szCs w:val="22"/>
        </w:rPr>
      </w:pPr>
      <w:r>
        <w:rPr>
          <w:rFonts w:ascii="Times New Roman" w:hAnsi="Times New Roman"/>
          <w:b/>
          <w:bCs/>
          <w:szCs w:val="22"/>
        </w:rPr>
        <w:t xml:space="preserve">4.2. SEM Observation Results </w:t>
      </w:r>
    </w:p>
    <w:p w:rsidR="008E3AF8" w:rsidRDefault="007E6960">
      <w:pPr>
        <w:spacing w:line="360" w:lineRule="auto"/>
        <w:rPr>
          <w:rFonts w:ascii="Times New Roman" w:hAnsi="Times New Roman"/>
          <w:szCs w:val="22"/>
        </w:rPr>
      </w:pPr>
      <w:r>
        <w:rPr>
          <w:rFonts w:ascii="Times New Roman" w:hAnsi="Times New Roman"/>
          <w:noProof/>
          <w:szCs w:val="22"/>
          <w:lang w:val="en-US"/>
        </w:rPr>
        <w:drawing>
          <wp:inline distT="0" distB="0" distL="0" distR="0">
            <wp:extent cx="1905000" cy="864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rcRect l="36459" t="39124" r="23611" b="26559"/>
                    <a:stretch>
                      <a:fillRect/>
                    </a:stretch>
                  </pic:blipFill>
                  <pic:spPr>
                    <a:xfrm>
                      <a:off x="0" y="0"/>
                      <a:ext cx="1915133" cy="869229"/>
                    </a:xfrm>
                    <a:prstGeom prst="rect">
                      <a:avLst/>
                    </a:prstGeom>
                    <a:ln>
                      <a:noFill/>
                    </a:ln>
                  </pic:spPr>
                </pic:pic>
              </a:graphicData>
            </a:graphic>
          </wp:inline>
        </w:drawing>
      </w:r>
      <w:r>
        <w:rPr>
          <w:rFonts w:ascii="Times New Roman" w:hAnsi="Times New Roman"/>
          <w:noProof/>
          <w:szCs w:val="22"/>
          <w:lang w:val="en-US"/>
        </w:rPr>
        <w:drawing>
          <wp:inline distT="0" distB="0" distL="0" distR="0">
            <wp:extent cx="1859915" cy="85979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5"/>
                    <a:srcRect l="37354" t="23622" r="26536" b="41684"/>
                    <a:stretch>
                      <a:fillRect/>
                    </a:stretch>
                  </pic:blipFill>
                  <pic:spPr>
                    <a:xfrm>
                      <a:off x="0" y="0"/>
                      <a:ext cx="1867428" cy="863510"/>
                    </a:xfrm>
                    <a:prstGeom prst="rect">
                      <a:avLst/>
                    </a:prstGeom>
                    <a:ln>
                      <a:noFill/>
                    </a:ln>
                  </pic:spPr>
                </pic:pic>
              </a:graphicData>
            </a:graphic>
          </wp:inline>
        </w:drawing>
      </w:r>
      <w:r>
        <w:rPr>
          <w:rFonts w:ascii="Times New Roman" w:hAnsi="Times New Roman"/>
          <w:noProof/>
          <w:szCs w:val="22"/>
          <w:lang w:val="en-US"/>
        </w:rPr>
        <w:drawing>
          <wp:inline distT="0" distB="0" distL="0" distR="0">
            <wp:extent cx="1922145" cy="9144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srcRect l="37770" t="36171" r="23630" b="27658"/>
                    <a:stretch>
                      <a:fillRect/>
                    </a:stretch>
                  </pic:blipFill>
                  <pic:spPr>
                    <a:xfrm>
                      <a:off x="0" y="0"/>
                      <a:ext cx="1932525" cy="919291"/>
                    </a:xfrm>
                    <a:prstGeom prst="rect">
                      <a:avLst/>
                    </a:prstGeom>
                    <a:ln>
                      <a:noFill/>
                    </a:ln>
                  </pic:spPr>
                </pic:pic>
              </a:graphicData>
            </a:graphic>
          </wp:inline>
        </w:drawing>
      </w:r>
    </w:p>
    <w:p w:rsidR="008E3AF8" w:rsidRDefault="007E6960">
      <w:pPr>
        <w:spacing w:line="360" w:lineRule="auto"/>
        <w:rPr>
          <w:rFonts w:ascii="Times New Roman" w:hAnsi="Times New Roman"/>
          <w:szCs w:val="22"/>
        </w:rPr>
      </w:pPr>
      <w:r>
        <w:rPr>
          <w:rFonts w:ascii="Times New Roman" w:hAnsi="Times New Roman"/>
          <w:szCs w:val="22"/>
        </w:rPr>
        <w:tab/>
        <w:t>a</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b</w:t>
      </w:r>
      <w:r>
        <w:rPr>
          <w:rFonts w:ascii="Times New Roman" w:hAnsi="Times New Roman"/>
          <w:szCs w:val="22"/>
        </w:rPr>
        <w:tab/>
      </w:r>
      <w:r>
        <w:rPr>
          <w:rFonts w:ascii="Times New Roman" w:hAnsi="Times New Roman"/>
          <w:szCs w:val="22"/>
        </w:rPr>
        <w:tab/>
      </w:r>
      <w:r>
        <w:rPr>
          <w:rFonts w:ascii="Times New Roman" w:hAnsi="Times New Roman"/>
          <w:szCs w:val="22"/>
        </w:rPr>
        <w:tab/>
        <w:t>c</w:t>
      </w:r>
    </w:p>
    <w:p w:rsidR="008E3AF8" w:rsidRDefault="007E6960">
      <w:pPr>
        <w:spacing w:line="360" w:lineRule="auto"/>
        <w:jc w:val="center"/>
        <w:rPr>
          <w:rFonts w:ascii="Times New Roman" w:hAnsi="Times New Roman"/>
          <w:szCs w:val="22"/>
        </w:rPr>
      </w:pPr>
      <w:r>
        <w:rPr>
          <w:rFonts w:ascii="Times New Roman" w:hAnsi="Times New Roman"/>
          <w:b/>
          <w:bCs/>
          <w:szCs w:val="22"/>
        </w:rPr>
        <w:t>Figure 5.</w:t>
      </w:r>
      <w:r>
        <w:rPr>
          <w:rFonts w:ascii="Times New Roman" w:hAnsi="Times New Roman"/>
          <w:szCs w:val="22"/>
        </w:rPr>
        <w:t xml:space="preserve"> Nitride layer thickness in nodular cast iron a) 2 hours, b) 4 hours, c) 6 hours</w:t>
      </w:r>
    </w:p>
    <w:p w:rsidR="008E3AF8" w:rsidRDefault="008E3AF8">
      <w:pPr>
        <w:spacing w:line="360" w:lineRule="auto"/>
        <w:rPr>
          <w:rFonts w:ascii="Times New Roman" w:hAnsi="Times New Roman"/>
          <w:szCs w:val="22"/>
        </w:rPr>
      </w:pPr>
    </w:p>
    <w:p w:rsidR="008E3AF8" w:rsidRDefault="007E6960" w:rsidP="009B1EF8">
      <w:pPr>
        <w:ind w:firstLine="851"/>
        <w:jc w:val="both"/>
        <w:rPr>
          <w:rFonts w:ascii="Times New Roman" w:hAnsi="Times New Roman"/>
          <w:szCs w:val="22"/>
        </w:rPr>
      </w:pPr>
      <w:r>
        <w:rPr>
          <w:rFonts w:ascii="Times New Roman" w:hAnsi="Times New Roman"/>
          <w:szCs w:val="22"/>
        </w:rPr>
        <w:t xml:space="preserve">From the results of SEM observations (Figure 5), the nitride layer was formed with a thickness of 4.67µm in the 2-hour treatment), 16.5 </w:t>
      </w:r>
      <w:proofErr w:type="spellStart"/>
      <w:r>
        <w:rPr>
          <w:rFonts w:ascii="Times New Roman" w:hAnsi="Times New Roman"/>
          <w:szCs w:val="22"/>
        </w:rPr>
        <w:t>μm</w:t>
      </w:r>
      <w:proofErr w:type="spellEnd"/>
      <w:r>
        <w:rPr>
          <w:rFonts w:ascii="Times New Roman" w:hAnsi="Times New Roman"/>
          <w:szCs w:val="22"/>
        </w:rPr>
        <w:t xml:space="preserve"> (4 hours treatment), and 20.0 </w:t>
      </w:r>
      <w:proofErr w:type="spellStart"/>
      <w:r>
        <w:rPr>
          <w:rFonts w:ascii="Times New Roman" w:hAnsi="Times New Roman"/>
          <w:szCs w:val="22"/>
        </w:rPr>
        <w:t>μm</w:t>
      </w:r>
      <w:proofErr w:type="spellEnd"/>
      <w:r>
        <w:rPr>
          <w:rFonts w:ascii="Times New Roman" w:hAnsi="Times New Roman"/>
          <w:szCs w:val="22"/>
        </w:rPr>
        <w:t xml:space="preserve"> (6 hours treatment). The </w:t>
      </w:r>
      <w:r>
        <w:rPr>
          <w:rFonts w:ascii="Times New Roman" w:hAnsi="Times New Roman"/>
          <w:szCs w:val="22"/>
        </w:rPr>
        <w:lastRenderedPageBreak/>
        <w:t>longer the holding time, the higher the thickness of the nitride layer. Figure 6 showed the high nitrogen atom concentration value on the surface in the EDAX test.</w:t>
      </w:r>
    </w:p>
    <w:p w:rsidR="008E3AF8" w:rsidRDefault="008E3AF8">
      <w:pPr>
        <w:spacing w:line="360" w:lineRule="auto"/>
        <w:ind w:firstLine="567"/>
        <w:jc w:val="both"/>
        <w:rPr>
          <w:rFonts w:ascii="Times New Roman" w:hAnsi="Times New Roman"/>
          <w:szCs w:val="22"/>
        </w:rPr>
      </w:pPr>
    </w:p>
    <w:p w:rsidR="008E3AF8" w:rsidRDefault="008E3AF8">
      <w:pPr>
        <w:spacing w:line="360" w:lineRule="auto"/>
        <w:ind w:firstLine="567"/>
        <w:jc w:val="both"/>
        <w:rPr>
          <w:rFonts w:ascii="Times New Roman" w:hAnsi="Times New Roman"/>
          <w:szCs w:val="22"/>
        </w:rPr>
      </w:pPr>
    </w:p>
    <w:tbl>
      <w:tblPr>
        <w:tblStyle w:val="TableGrid"/>
        <w:tblW w:w="101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58"/>
        <w:gridCol w:w="2417"/>
        <w:gridCol w:w="2826"/>
        <w:gridCol w:w="465"/>
        <w:gridCol w:w="3099"/>
      </w:tblGrid>
      <w:tr w:rsidR="008E3AF8">
        <w:tc>
          <w:tcPr>
            <w:tcW w:w="1358" w:type="dxa"/>
          </w:tcPr>
          <w:p w:rsidR="008E3AF8" w:rsidRDefault="008E3AF8">
            <w:pPr>
              <w:spacing w:line="360" w:lineRule="auto"/>
              <w:jc w:val="both"/>
              <w:rPr>
                <w:rFonts w:ascii="Times New Roman" w:hAnsi="Times New Roman"/>
                <w:b/>
                <w:szCs w:val="22"/>
              </w:rPr>
            </w:pPr>
          </w:p>
        </w:tc>
        <w:tc>
          <w:tcPr>
            <w:tcW w:w="8807" w:type="dxa"/>
            <w:gridSpan w:val="4"/>
          </w:tcPr>
          <w:p w:rsidR="008E3AF8" w:rsidRDefault="007E6960">
            <w:pPr>
              <w:spacing w:line="360" w:lineRule="auto"/>
              <w:jc w:val="center"/>
              <w:rPr>
                <w:rFonts w:ascii="Times New Roman" w:hAnsi="Times New Roman"/>
                <w:b/>
                <w:szCs w:val="22"/>
              </w:rPr>
            </w:pPr>
            <w:r>
              <w:rPr>
                <w:rFonts w:ascii="Times New Roman" w:hAnsi="Times New Roman"/>
                <w:b/>
                <w:szCs w:val="22"/>
              </w:rPr>
              <w:t>Cast iron</w:t>
            </w:r>
          </w:p>
        </w:tc>
      </w:tr>
      <w:tr w:rsidR="008E3AF8">
        <w:tc>
          <w:tcPr>
            <w:tcW w:w="1358" w:type="dxa"/>
          </w:tcPr>
          <w:p w:rsidR="008E3AF8" w:rsidRDefault="008E3AF8">
            <w:pPr>
              <w:spacing w:line="360" w:lineRule="auto"/>
              <w:jc w:val="both"/>
              <w:rPr>
                <w:rFonts w:ascii="Times New Roman" w:hAnsi="Times New Roman"/>
                <w:b/>
                <w:szCs w:val="22"/>
              </w:rPr>
            </w:pPr>
          </w:p>
        </w:tc>
        <w:tc>
          <w:tcPr>
            <w:tcW w:w="5243" w:type="dxa"/>
            <w:gridSpan w:val="2"/>
          </w:tcPr>
          <w:p w:rsidR="008E3AF8" w:rsidRDefault="007E6960">
            <w:pPr>
              <w:spacing w:line="360" w:lineRule="auto"/>
              <w:jc w:val="center"/>
              <w:rPr>
                <w:rFonts w:ascii="Times New Roman" w:hAnsi="Times New Roman"/>
                <w:b/>
                <w:szCs w:val="22"/>
              </w:rPr>
            </w:pPr>
            <w:proofErr w:type="spellStart"/>
            <w:r>
              <w:rPr>
                <w:rFonts w:ascii="Times New Roman" w:hAnsi="Times New Roman"/>
                <w:b/>
                <w:szCs w:val="22"/>
              </w:rPr>
              <w:t>Gray</w:t>
            </w:r>
            <w:proofErr w:type="spellEnd"/>
            <w:r>
              <w:rPr>
                <w:rFonts w:ascii="Times New Roman" w:hAnsi="Times New Roman"/>
                <w:b/>
                <w:szCs w:val="22"/>
              </w:rPr>
              <w:t xml:space="preserve"> Cast Iron</w:t>
            </w:r>
          </w:p>
        </w:tc>
        <w:tc>
          <w:tcPr>
            <w:tcW w:w="3564" w:type="dxa"/>
            <w:gridSpan w:val="2"/>
          </w:tcPr>
          <w:p w:rsidR="008E3AF8" w:rsidRDefault="007E6960">
            <w:pPr>
              <w:spacing w:line="360" w:lineRule="auto"/>
              <w:jc w:val="center"/>
              <w:rPr>
                <w:rFonts w:ascii="Times New Roman" w:hAnsi="Times New Roman"/>
                <w:b/>
                <w:szCs w:val="22"/>
              </w:rPr>
            </w:pPr>
            <w:r>
              <w:rPr>
                <w:rFonts w:ascii="Times New Roman" w:hAnsi="Times New Roman"/>
                <w:b/>
                <w:szCs w:val="22"/>
              </w:rPr>
              <w:t>Nodular Cast Iron</w:t>
            </w:r>
          </w:p>
        </w:tc>
      </w:tr>
      <w:tr w:rsidR="008E3AF8">
        <w:tc>
          <w:tcPr>
            <w:tcW w:w="1358" w:type="dxa"/>
          </w:tcPr>
          <w:p w:rsidR="008E3AF8" w:rsidRDefault="007E6960">
            <w:pPr>
              <w:spacing w:line="360" w:lineRule="auto"/>
              <w:jc w:val="both"/>
              <w:rPr>
                <w:rFonts w:ascii="Times New Roman" w:hAnsi="Times New Roman"/>
                <w:b/>
                <w:szCs w:val="22"/>
              </w:rPr>
            </w:pPr>
            <w:r>
              <w:rPr>
                <w:rFonts w:ascii="Times New Roman" w:hAnsi="Times New Roman"/>
                <w:b/>
                <w:szCs w:val="22"/>
              </w:rPr>
              <w:t>Without treatment</w:t>
            </w:r>
          </w:p>
        </w:tc>
        <w:tc>
          <w:tcPr>
            <w:tcW w:w="2417"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309370" cy="7683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srcRect l="34551" t="28321" r="30913" b="38513"/>
                          <a:stretch>
                            <a:fillRect/>
                          </a:stretch>
                        </pic:blipFill>
                        <pic:spPr>
                          <a:xfrm>
                            <a:off x="0" y="0"/>
                            <a:ext cx="1327329" cy="778895"/>
                          </a:xfrm>
                          <a:prstGeom prst="rect">
                            <a:avLst/>
                          </a:prstGeom>
                          <a:ln>
                            <a:noFill/>
                          </a:ln>
                        </pic:spPr>
                      </pic:pic>
                    </a:graphicData>
                  </a:graphic>
                </wp:inline>
              </w:drawing>
            </w:r>
          </w:p>
        </w:tc>
        <w:tc>
          <w:tcPr>
            <w:tcW w:w="2826"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413510" cy="725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srcRect l="33932" t="65193" r="30242" b="9136"/>
                          <a:stretch>
                            <a:fillRect/>
                          </a:stretch>
                        </pic:blipFill>
                        <pic:spPr>
                          <a:xfrm>
                            <a:off x="0" y="0"/>
                            <a:ext cx="1449954" cy="743770"/>
                          </a:xfrm>
                          <a:prstGeom prst="rect">
                            <a:avLst/>
                          </a:prstGeom>
                          <a:ln>
                            <a:noFill/>
                          </a:ln>
                        </pic:spPr>
                      </pic:pic>
                    </a:graphicData>
                  </a:graphic>
                </wp:inline>
              </w:drawing>
            </w:r>
          </w:p>
        </w:tc>
        <w:tc>
          <w:tcPr>
            <w:tcW w:w="465" w:type="dxa"/>
          </w:tcPr>
          <w:p w:rsidR="008E3AF8" w:rsidRDefault="008E3AF8">
            <w:pPr>
              <w:spacing w:line="360" w:lineRule="auto"/>
              <w:jc w:val="both"/>
              <w:rPr>
                <w:rFonts w:ascii="Times New Roman" w:hAnsi="Times New Roman"/>
                <w:b/>
                <w:szCs w:val="22"/>
              </w:rPr>
            </w:pPr>
          </w:p>
        </w:tc>
        <w:tc>
          <w:tcPr>
            <w:tcW w:w="3099" w:type="dxa"/>
          </w:tcPr>
          <w:p w:rsidR="008E3AF8" w:rsidRDefault="008E3AF8">
            <w:pPr>
              <w:spacing w:line="360" w:lineRule="auto"/>
              <w:jc w:val="both"/>
              <w:rPr>
                <w:rFonts w:ascii="Times New Roman" w:hAnsi="Times New Roman"/>
                <w:b/>
                <w:szCs w:val="22"/>
              </w:rPr>
            </w:pPr>
          </w:p>
        </w:tc>
      </w:tr>
      <w:tr w:rsidR="008E3AF8">
        <w:tc>
          <w:tcPr>
            <w:tcW w:w="1358" w:type="dxa"/>
          </w:tcPr>
          <w:p w:rsidR="008E3AF8" w:rsidRDefault="007E6960">
            <w:pPr>
              <w:spacing w:line="360" w:lineRule="auto"/>
              <w:jc w:val="both"/>
              <w:rPr>
                <w:rFonts w:ascii="Times New Roman" w:hAnsi="Times New Roman"/>
                <w:b/>
                <w:szCs w:val="22"/>
              </w:rPr>
            </w:pPr>
            <w:r>
              <w:rPr>
                <w:rFonts w:ascii="Times New Roman" w:hAnsi="Times New Roman"/>
                <w:b/>
                <w:szCs w:val="22"/>
              </w:rPr>
              <w:t>2 hours</w:t>
            </w:r>
          </w:p>
        </w:tc>
        <w:tc>
          <w:tcPr>
            <w:tcW w:w="2417"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467485" cy="788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a:srcRect l="34131" t="28125" r="31408" b="43450"/>
                          <a:stretch>
                            <a:fillRect/>
                          </a:stretch>
                        </pic:blipFill>
                        <pic:spPr>
                          <a:xfrm>
                            <a:off x="0" y="0"/>
                            <a:ext cx="1489588" cy="799986"/>
                          </a:xfrm>
                          <a:prstGeom prst="rect">
                            <a:avLst/>
                          </a:prstGeom>
                          <a:ln>
                            <a:noFill/>
                          </a:ln>
                        </pic:spPr>
                      </pic:pic>
                    </a:graphicData>
                  </a:graphic>
                </wp:inline>
              </w:drawing>
            </w:r>
          </w:p>
        </w:tc>
        <w:tc>
          <w:tcPr>
            <w:tcW w:w="2826"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582420" cy="7346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srcRect l="34426" t="60157" r="29391" b="9951"/>
                          <a:stretch>
                            <a:fillRect/>
                          </a:stretch>
                        </pic:blipFill>
                        <pic:spPr>
                          <a:xfrm>
                            <a:off x="0" y="0"/>
                            <a:ext cx="1595903" cy="741201"/>
                          </a:xfrm>
                          <a:prstGeom prst="rect">
                            <a:avLst/>
                          </a:prstGeom>
                          <a:ln>
                            <a:noFill/>
                          </a:ln>
                        </pic:spPr>
                      </pic:pic>
                    </a:graphicData>
                  </a:graphic>
                </wp:inline>
              </w:drawing>
            </w:r>
          </w:p>
        </w:tc>
        <w:tc>
          <w:tcPr>
            <w:tcW w:w="465" w:type="dxa"/>
          </w:tcPr>
          <w:p w:rsidR="008E3AF8" w:rsidRDefault="008E3AF8">
            <w:pPr>
              <w:spacing w:line="360" w:lineRule="auto"/>
              <w:jc w:val="both"/>
              <w:rPr>
                <w:rFonts w:ascii="Times New Roman" w:hAnsi="Times New Roman"/>
                <w:b/>
                <w:szCs w:val="22"/>
              </w:rPr>
            </w:pPr>
          </w:p>
        </w:tc>
        <w:tc>
          <w:tcPr>
            <w:tcW w:w="3099"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720215" cy="833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srcRect l="27455" t="36909" r="26951" b="29871"/>
                          <a:stretch>
                            <a:fillRect/>
                          </a:stretch>
                        </pic:blipFill>
                        <pic:spPr>
                          <a:xfrm>
                            <a:off x="0" y="0"/>
                            <a:ext cx="1730781" cy="838282"/>
                          </a:xfrm>
                          <a:prstGeom prst="rect">
                            <a:avLst/>
                          </a:prstGeom>
                          <a:ln>
                            <a:noFill/>
                          </a:ln>
                        </pic:spPr>
                      </pic:pic>
                    </a:graphicData>
                  </a:graphic>
                </wp:inline>
              </w:drawing>
            </w:r>
          </w:p>
        </w:tc>
      </w:tr>
      <w:tr w:rsidR="008E3AF8">
        <w:tc>
          <w:tcPr>
            <w:tcW w:w="1358" w:type="dxa"/>
          </w:tcPr>
          <w:p w:rsidR="008E3AF8" w:rsidRDefault="007E6960">
            <w:pPr>
              <w:spacing w:line="360" w:lineRule="auto"/>
              <w:jc w:val="both"/>
              <w:rPr>
                <w:rFonts w:ascii="Times New Roman" w:hAnsi="Times New Roman"/>
                <w:b/>
                <w:szCs w:val="22"/>
              </w:rPr>
            </w:pPr>
            <w:r>
              <w:rPr>
                <w:rFonts w:ascii="Times New Roman" w:hAnsi="Times New Roman"/>
                <w:b/>
                <w:szCs w:val="22"/>
              </w:rPr>
              <w:t>4 hours</w:t>
            </w:r>
          </w:p>
        </w:tc>
        <w:tc>
          <w:tcPr>
            <w:tcW w:w="2417"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790065" cy="93789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0"/>
                          <a:srcRect l="34138" t="25718" r="30711" b="43155"/>
                          <a:stretch>
                            <a:fillRect/>
                          </a:stretch>
                        </pic:blipFill>
                        <pic:spPr>
                          <a:xfrm>
                            <a:off x="0" y="0"/>
                            <a:ext cx="1832453" cy="960273"/>
                          </a:xfrm>
                          <a:prstGeom prst="rect">
                            <a:avLst/>
                          </a:prstGeom>
                          <a:ln>
                            <a:noFill/>
                          </a:ln>
                        </pic:spPr>
                      </pic:pic>
                    </a:graphicData>
                  </a:graphic>
                </wp:inline>
              </w:drawing>
            </w:r>
          </w:p>
        </w:tc>
        <w:tc>
          <w:tcPr>
            <w:tcW w:w="2826"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612265" cy="836930"/>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a:srcRect l="34655" t="60706" r="31015" b="11136"/>
                          <a:stretch>
                            <a:fillRect/>
                          </a:stretch>
                        </pic:blipFill>
                        <pic:spPr>
                          <a:xfrm>
                            <a:off x="0" y="0"/>
                            <a:ext cx="1634941" cy="849254"/>
                          </a:xfrm>
                          <a:prstGeom prst="rect">
                            <a:avLst/>
                          </a:prstGeom>
                          <a:ln>
                            <a:noFill/>
                          </a:ln>
                        </pic:spPr>
                      </pic:pic>
                    </a:graphicData>
                  </a:graphic>
                </wp:inline>
              </w:drawing>
            </w:r>
          </w:p>
        </w:tc>
        <w:tc>
          <w:tcPr>
            <w:tcW w:w="465" w:type="dxa"/>
          </w:tcPr>
          <w:p w:rsidR="008E3AF8" w:rsidRDefault="008E3AF8">
            <w:pPr>
              <w:spacing w:line="360" w:lineRule="auto"/>
              <w:jc w:val="both"/>
              <w:rPr>
                <w:rFonts w:ascii="Times New Roman" w:hAnsi="Times New Roman"/>
                <w:b/>
                <w:szCs w:val="22"/>
              </w:rPr>
            </w:pPr>
          </w:p>
        </w:tc>
        <w:tc>
          <w:tcPr>
            <w:tcW w:w="3099"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809750" cy="763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srcRect l="26978" t="27313" r="28612" b="40207"/>
                          <a:stretch>
                            <a:fillRect/>
                          </a:stretch>
                        </pic:blipFill>
                        <pic:spPr>
                          <a:xfrm>
                            <a:off x="0" y="0"/>
                            <a:ext cx="1817087" cy="767194"/>
                          </a:xfrm>
                          <a:prstGeom prst="rect">
                            <a:avLst/>
                          </a:prstGeom>
                          <a:ln>
                            <a:noFill/>
                          </a:ln>
                        </pic:spPr>
                      </pic:pic>
                    </a:graphicData>
                  </a:graphic>
                </wp:inline>
              </w:drawing>
            </w:r>
          </w:p>
        </w:tc>
      </w:tr>
      <w:tr w:rsidR="008E3AF8">
        <w:tc>
          <w:tcPr>
            <w:tcW w:w="1358" w:type="dxa"/>
          </w:tcPr>
          <w:p w:rsidR="008E3AF8" w:rsidRDefault="007E6960">
            <w:pPr>
              <w:spacing w:line="360" w:lineRule="auto"/>
              <w:jc w:val="both"/>
              <w:rPr>
                <w:rFonts w:ascii="Times New Roman" w:hAnsi="Times New Roman"/>
                <w:b/>
                <w:szCs w:val="22"/>
              </w:rPr>
            </w:pPr>
            <w:r>
              <w:rPr>
                <w:rFonts w:ascii="Times New Roman" w:hAnsi="Times New Roman"/>
                <w:b/>
                <w:szCs w:val="22"/>
              </w:rPr>
              <w:t>6 hours</w:t>
            </w:r>
          </w:p>
        </w:tc>
        <w:tc>
          <w:tcPr>
            <w:tcW w:w="2417"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574800" cy="829310"/>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rcRect l="59009" t="25438" r="9044" b="42241"/>
                          <a:stretch>
                            <a:fillRect/>
                          </a:stretch>
                        </pic:blipFill>
                        <pic:spPr>
                          <a:xfrm>
                            <a:off x="0" y="0"/>
                            <a:ext cx="1603702" cy="844653"/>
                          </a:xfrm>
                          <a:prstGeom prst="rect">
                            <a:avLst/>
                          </a:prstGeom>
                          <a:ln>
                            <a:noFill/>
                          </a:ln>
                        </pic:spPr>
                      </pic:pic>
                    </a:graphicData>
                  </a:graphic>
                </wp:inline>
              </w:drawing>
            </w:r>
          </w:p>
        </w:tc>
        <w:tc>
          <w:tcPr>
            <w:tcW w:w="2826"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651635" cy="835660"/>
                  <wp:effectExtent l="0" t="0" r="571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2"/>
                          <a:srcRect l="59061" t="61603" r="9003" b="10532"/>
                          <a:stretch>
                            <a:fillRect/>
                          </a:stretch>
                        </pic:blipFill>
                        <pic:spPr>
                          <a:xfrm>
                            <a:off x="0" y="0"/>
                            <a:ext cx="1688712" cy="854632"/>
                          </a:xfrm>
                          <a:prstGeom prst="rect">
                            <a:avLst/>
                          </a:prstGeom>
                          <a:ln>
                            <a:noFill/>
                          </a:ln>
                        </pic:spPr>
                      </pic:pic>
                    </a:graphicData>
                  </a:graphic>
                </wp:inline>
              </w:drawing>
            </w:r>
          </w:p>
        </w:tc>
        <w:tc>
          <w:tcPr>
            <w:tcW w:w="465" w:type="dxa"/>
          </w:tcPr>
          <w:p w:rsidR="008E3AF8" w:rsidRDefault="008E3AF8">
            <w:pPr>
              <w:spacing w:line="360" w:lineRule="auto"/>
              <w:jc w:val="both"/>
              <w:rPr>
                <w:rFonts w:ascii="Times New Roman" w:hAnsi="Times New Roman"/>
                <w:b/>
                <w:szCs w:val="22"/>
              </w:rPr>
            </w:pPr>
          </w:p>
        </w:tc>
        <w:tc>
          <w:tcPr>
            <w:tcW w:w="3099" w:type="dxa"/>
          </w:tcPr>
          <w:p w:rsidR="008E3AF8" w:rsidRDefault="007E6960">
            <w:pPr>
              <w:spacing w:line="360" w:lineRule="auto"/>
              <w:jc w:val="both"/>
              <w:rPr>
                <w:rFonts w:ascii="Times New Roman" w:hAnsi="Times New Roman"/>
                <w:b/>
                <w:szCs w:val="22"/>
              </w:rPr>
            </w:pPr>
            <w:r>
              <w:rPr>
                <w:rFonts w:ascii="Times New Roman" w:hAnsi="Times New Roman"/>
                <w:noProof/>
                <w:szCs w:val="22"/>
                <w:lang w:val="en-US"/>
              </w:rPr>
              <w:drawing>
                <wp:inline distT="0" distB="0" distL="0" distR="0">
                  <wp:extent cx="1783715" cy="81978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a:srcRect l="26979" t="45768" r="27781" b="23967"/>
                          <a:stretch>
                            <a:fillRect/>
                          </a:stretch>
                        </pic:blipFill>
                        <pic:spPr>
                          <a:xfrm>
                            <a:off x="0" y="0"/>
                            <a:ext cx="1800122" cy="827424"/>
                          </a:xfrm>
                          <a:prstGeom prst="rect">
                            <a:avLst/>
                          </a:prstGeom>
                          <a:ln>
                            <a:noFill/>
                          </a:ln>
                        </pic:spPr>
                      </pic:pic>
                    </a:graphicData>
                  </a:graphic>
                </wp:inline>
              </w:drawing>
            </w:r>
          </w:p>
        </w:tc>
      </w:tr>
    </w:tbl>
    <w:p w:rsidR="008E3AF8" w:rsidRDefault="007E6960">
      <w:pPr>
        <w:spacing w:line="360" w:lineRule="auto"/>
        <w:jc w:val="center"/>
        <w:rPr>
          <w:rFonts w:ascii="Times New Roman" w:hAnsi="Times New Roman"/>
          <w:b/>
          <w:szCs w:val="22"/>
        </w:rPr>
      </w:pPr>
      <w:r>
        <w:rPr>
          <w:rFonts w:ascii="Times New Roman" w:hAnsi="Times New Roman"/>
          <w:b/>
          <w:szCs w:val="22"/>
        </w:rPr>
        <w:t xml:space="preserve">Figure 6. </w:t>
      </w:r>
      <w:r>
        <w:rPr>
          <w:rFonts w:ascii="Times New Roman" w:hAnsi="Times New Roman"/>
          <w:szCs w:val="22"/>
        </w:rPr>
        <w:t>EDAX test results</w:t>
      </w:r>
    </w:p>
    <w:p w:rsidR="008E3AF8" w:rsidRDefault="008E3AF8">
      <w:pPr>
        <w:spacing w:line="360" w:lineRule="auto"/>
        <w:rPr>
          <w:rFonts w:ascii="Times New Roman" w:hAnsi="Times New Roman"/>
          <w:b/>
          <w:szCs w:val="22"/>
        </w:rPr>
      </w:pPr>
    </w:p>
    <w:p w:rsidR="008E3AF8" w:rsidRDefault="007E6960">
      <w:pPr>
        <w:jc w:val="both"/>
        <w:rPr>
          <w:rFonts w:ascii="Times New Roman" w:hAnsi="Times New Roman"/>
          <w:b/>
          <w:bCs/>
        </w:rPr>
      </w:pPr>
      <w:r>
        <w:rPr>
          <w:rFonts w:ascii="Times New Roman" w:hAnsi="Times New Roman"/>
          <w:b/>
          <w:bCs/>
        </w:rPr>
        <w:t xml:space="preserve">4.3. Analysis and Characterization of </w:t>
      </w:r>
      <w:proofErr w:type="spellStart"/>
      <w:r>
        <w:rPr>
          <w:rFonts w:ascii="Times New Roman" w:hAnsi="Times New Roman"/>
          <w:b/>
          <w:bCs/>
        </w:rPr>
        <w:t>Gray</w:t>
      </w:r>
      <w:proofErr w:type="spellEnd"/>
      <w:r>
        <w:rPr>
          <w:rFonts w:ascii="Times New Roman" w:hAnsi="Times New Roman"/>
          <w:b/>
          <w:bCs/>
        </w:rPr>
        <w:t xml:space="preserve"> Cast Iron</w:t>
      </w:r>
    </w:p>
    <w:p w:rsidR="008E3AF8" w:rsidRDefault="007E6960">
      <w:pPr>
        <w:jc w:val="both"/>
        <w:rPr>
          <w:rFonts w:ascii="Times New Roman" w:hAnsi="Times New Roman"/>
          <w:szCs w:val="22"/>
        </w:rPr>
      </w:pPr>
      <w:r>
        <w:rPr>
          <w:rFonts w:ascii="Times New Roman" w:hAnsi="Times New Roman"/>
          <w:szCs w:val="22"/>
        </w:rPr>
        <w:t xml:space="preserve">The SEM-EDS photo test showed that the </w:t>
      </w:r>
      <w:proofErr w:type="spellStart"/>
      <w:r>
        <w:rPr>
          <w:rFonts w:ascii="Times New Roman" w:hAnsi="Times New Roman"/>
          <w:szCs w:val="22"/>
        </w:rPr>
        <w:t>gray</w:t>
      </w:r>
      <w:proofErr w:type="spellEnd"/>
      <w:r>
        <w:rPr>
          <w:rFonts w:ascii="Times New Roman" w:hAnsi="Times New Roman"/>
          <w:szCs w:val="22"/>
        </w:rPr>
        <w:t xml:space="preserve"> cast iron decreased the concentration of carbon atoms after a nitriding treatment of up to 50 %. The nitrogen atomic content up to a depth of 17.8 µm was 21.98 % at, showing diffusion of atoms into the surface of the </w:t>
      </w:r>
      <w:proofErr w:type="spellStart"/>
      <w:r>
        <w:rPr>
          <w:rFonts w:ascii="Times New Roman" w:hAnsi="Times New Roman"/>
          <w:szCs w:val="22"/>
        </w:rPr>
        <w:t>gray</w:t>
      </w:r>
      <w:proofErr w:type="spellEnd"/>
      <w:r>
        <w:rPr>
          <w:rFonts w:ascii="Times New Roman" w:hAnsi="Times New Roman"/>
          <w:szCs w:val="22"/>
        </w:rPr>
        <w:t xml:space="preserve"> cast iron. This was reinforced by forming a nitride layer and high hardness values ​​on the surface [7]. Increasing the treatment to 4 hours led to a lower concentration of carbon atoms and vice versa. The higher the nitrogen atom up to 23.95 % at, the longer the treatment, increasing the diffusion of nitrogen atoms. However, the 6 hour-treatment showed a decrease in nitrogen atoms' concentration, reaching 18.46% at. This showed that atoms' diffusion was supersaturated, where nitrogen (N) atoms met to form nitrogen molecules (N</w:t>
      </w:r>
      <w:r>
        <w:rPr>
          <w:rFonts w:ascii="Times New Roman" w:hAnsi="Times New Roman"/>
          <w:szCs w:val="22"/>
          <w:vertAlign w:val="subscript"/>
        </w:rPr>
        <w:t>2</w:t>
      </w:r>
      <w:r>
        <w:rPr>
          <w:rFonts w:ascii="Times New Roman" w:hAnsi="Times New Roman"/>
          <w:szCs w:val="22"/>
        </w:rPr>
        <w:t>) and released into the atmosphere. This supersaturated reaction occurred at a maximum layer thickness of 20 microns.</w:t>
      </w:r>
    </w:p>
    <w:p w:rsidR="008E3AF8" w:rsidRDefault="007E6960" w:rsidP="009B1EF8">
      <w:pPr>
        <w:ind w:firstLine="851"/>
        <w:jc w:val="both"/>
        <w:rPr>
          <w:rFonts w:ascii="Times New Roman" w:hAnsi="Times New Roman"/>
          <w:szCs w:val="22"/>
        </w:rPr>
      </w:pPr>
      <w:r>
        <w:rPr>
          <w:rFonts w:ascii="Times New Roman" w:hAnsi="Times New Roman"/>
          <w:szCs w:val="22"/>
        </w:rPr>
        <w:t>Longer holding time led to a higher surface hardness because iron and nitrogen's chemical reaction lasted longer. This increased the concentration of nitrogen on the sample surface from diffusion. Therefore, a longer diffusion time increases surface hardness [8].</w:t>
      </w:r>
    </w:p>
    <w:p w:rsidR="008E3AF8" w:rsidRDefault="007E6960">
      <w:pPr>
        <w:jc w:val="both"/>
        <w:rPr>
          <w:rFonts w:ascii="Times New Roman" w:hAnsi="Times New Roman"/>
          <w:szCs w:val="22"/>
        </w:rPr>
      </w:pPr>
      <w:r>
        <w:rPr>
          <w:rFonts w:ascii="Times New Roman" w:hAnsi="Times New Roman"/>
          <w:szCs w:val="22"/>
        </w:rPr>
        <w:t xml:space="preserve">The microstructure observation results showed that before and after the nitriding treatment for 2 hours at 550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a nitride layer formed on the specimen surface. This is because the nitrogen atom diffuses with the iron atom in the specimen. The results show that </w:t>
      </w:r>
      <w:proofErr w:type="spellStart"/>
      <w:r>
        <w:rPr>
          <w:rFonts w:ascii="Times New Roman" w:hAnsi="Times New Roman"/>
          <w:szCs w:val="22"/>
        </w:rPr>
        <w:t>FeN</w:t>
      </w:r>
      <w:proofErr w:type="spellEnd"/>
      <w:r>
        <w:rPr>
          <w:rFonts w:ascii="Times New Roman" w:hAnsi="Times New Roman"/>
          <w:szCs w:val="22"/>
        </w:rPr>
        <w:t xml:space="preserve"> compounds from nitrogen content reached </w:t>
      </w:r>
      <w:r>
        <w:rPr>
          <w:rFonts w:ascii="Times New Roman" w:hAnsi="Times New Roman"/>
          <w:szCs w:val="22"/>
        </w:rPr>
        <w:lastRenderedPageBreak/>
        <w:t xml:space="preserve">7.31% weight or 21.98% atoms/at. The </w:t>
      </w:r>
      <w:proofErr w:type="spellStart"/>
      <w:r>
        <w:rPr>
          <w:rFonts w:ascii="Times New Roman" w:hAnsi="Times New Roman"/>
          <w:szCs w:val="22"/>
        </w:rPr>
        <w:t>nitridization</w:t>
      </w:r>
      <w:proofErr w:type="spellEnd"/>
      <w:r>
        <w:rPr>
          <w:rFonts w:ascii="Times New Roman" w:hAnsi="Times New Roman"/>
          <w:szCs w:val="22"/>
        </w:rPr>
        <w:t xml:space="preserve"> process also reached optimal conditions to achieve optimal nitrogen dissolved in iron of about 20% to obtain hard properties Fe</w:t>
      </w:r>
      <w:r>
        <w:rPr>
          <w:rFonts w:ascii="Times New Roman" w:hAnsi="Times New Roman"/>
          <w:szCs w:val="22"/>
          <w:vertAlign w:val="subscript"/>
        </w:rPr>
        <w:t>4</w:t>
      </w:r>
      <w:r>
        <w:rPr>
          <w:rFonts w:ascii="Times New Roman" w:hAnsi="Times New Roman"/>
          <w:szCs w:val="22"/>
        </w:rPr>
        <w:t>N.</w:t>
      </w:r>
    </w:p>
    <w:p w:rsidR="008E3AF8" w:rsidRDefault="007E6960" w:rsidP="009B1EF8">
      <w:pPr>
        <w:ind w:firstLine="851"/>
        <w:jc w:val="both"/>
        <w:rPr>
          <w:rFonts w:ascii="Times New Roman" w:hAnsi="Times New Roman"/>
          <w:szCs w:val="22"/>
        </w:rPr>
      </w:pPr>
      <w:r>
        <w:rPr>
          <w:rFonts w:ascii="Times New Roman" w:hAnsi="Times New Roman"/>
          <w:szCs w:val="22"/>
        </w:rPr>
        <w:t xml:space="preserve">Increasing the nitriding process's temperature surges the concentration of nitrogen atoms in the material [8]. The maximum solubility limit of nitrogen in iron at a nitriding temperature of 500-590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is 0.1%. In case it is greater than 0.1%, nitride γ '(Fe</w:t>
      </w:r>
      <w:r>
        <w:rPr>
          <w:rFonts w:ascii="Times New Roman" w:hAnsi="Times New Roman"/>
          <w:szCs w:val="22"/>
          <w:vertAlign w:val="subscript"/>
        </w:rPr>
        <w:t>4</w:t>
      </w:r>
      <w:r>
        <w:rPr>
          <w:rFonts w:ascii="Times New Roman" w:hAnsi="Times New Roman"/>
          <w:szCs w:val="22"/>
        </w:rPr>
        <w:t>N) is formed. Suppose nitrogen solubility in the iron exceeds 6%, the nitride γ '(Fe</w:t>
      </w:r>
      <w:r>
        <w:rPr>
          <w:rFonts w:ascii="Times New Roman" w:hAnsi="Times New Roman"/>
          <w:szCs w:val="22"/>
          <w:vertAlign w:val="subscript"/>
        </w:rPr>
        <w:t>4</w:t>
      </w:r>
      <w:r>
        <w:rPr>
          <w:rFonts w:ascii="Times New Roman" w:hAnsi="Times New Roman"/>
          <w:szCs w:val="22"/>
        </w:rPr>
        <w:t>N) changes to ε (Fe</w:t>
      </w:r>
      <w:r>
        <w:rPr>
          <w:rFonts w:ascii="Times New Roman" w:hAnsi="Times New Roman"/>
          <w:szCs w:val="22"/>
          <w:vertAlign w:val="subscript"/>
        </w:rPr>
        <w:t>2-</w:t>
      </w:r>
      <w:r>
        <w:rPr>
          <w:rFonts w:ascii="Times New Roman" w:hAnsi="Times New Roman"/>
          <w:szCs w:val="22"/>
        </w:rPr>
        <w:t xml:space="preserve">). At temperatures below 500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with more than 11% nitrogen content, nitride ξ </w:t>
      </w:r>
      <w:r>
        <w:rPr>
          <w:rFonts w:ascii="Times New Roman" w:hAnsi="Times New Roman"/>
          <w:szCs w:val="22"/>
          <w:vertAlign w:val="subscript"/>
        </w:rPr>
        <w:t>3</w:t>
      </w:r>
      <w:r>
        <w:rPr>
          <w:rFonts w:ascii="Times New Roman" w:hAnsi="Times New Roman"/>
          <w:szCs w:val="22"/>
        </w:rPr>
        <w:t>N (Fe</w:t>
      </w:r>
      <w:r>
        <w:rPr>
          <w:rFonts w:ascii="Times New Roman" w:hAnsi="Times New Roman"/>
          <w:szCs w:val="22"/>
          <w:vertAlign w:val="subscript"/>
        </w:rPr>
        <w:t>2</w:t>
      </w:r>
      <w:r>
        <w:rPr>
          <w:rFonts w:ascii="Times New Roman" w:hAnsi="Times New Roman"/>
          <w:szCs w:val="22"/>
        </w:rPr>
        <w:t xml:space="preserve">N) immediately forms. Above 650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Fe</w:t>
      </w:r>
      <w:r>
        <w:rPr>
          <w:rFonts w:ascii="Times New Roman" w:hAnsi="Times New Roman"/>
          <w:szCs w:val="22"/>
          <w:vertAlign w:val="subscript"/>
        </w:rPr>
        <w:t>4</w:t>
      </w:r>
      <w:r>
        <w:rPr>
          <w:rFonts w:ascii="Times New Roman" w:hAnsi="Times New Roman"/>
          <w:szCs w:val="22"/>
        </w:rPr>
        <w:t>N decomposes. Nitride γ ’and ε are physically visible on the iron surface as a white or compound layer [9].</w:t>
      </w:r>
    </w:p>
    <w:p w:rsidR="008E3AF8" w:rsidRDefault="007E6960" w:rsidP="009B1EF8">
      <w:pPr>
        <w:ind w:firstLine="851"/>
        <w:jc w:val="both"/>
        <w:rPr>
          <w:rFonts w:ascii="Times New Roman" w:hAnsi="Times New Roman"/>
          <w:szCs w:val="22"/>
        </w:rPr>
      </w:pPr>
      <w:r>
        <w:rPr>
          <w:rFonts w:ascii="Times New Roman" w:hAnsi="Times New Roman"/>
          <w:szCs w:val="22"/>
        </w:rPr>
        <w:t xml:space="preserve">According to the data from the SEM-EDS test photo, the microstructure of the specimen was conducted after or before the nitriding process. This appeared in flake graphite on </w:t>
      </w:r>
      <w:proofErr w:type="spellStart"/>
      <w:r>
        <w:rPr>
          <w:rFonts w:ascii="Times New Roman" w:hAnsi="Times New Roman"/>
          <w:szCs w:val="22"/>
        </w:rPr>
        <w:t>gray</w:t>
      </w:r>
      <w:proofErr w:type="spellEnd"/>
      <w:r>
        <w:rPr>
          <w:rFonts w:ascii="Times New Roman" w:hAnsi="Times New Roman"/>
          <w:szCs w:val="22"/>
        </w:rPr>
        <w:t xml:space="preserve"> cast iron, grain boundaries, and nitride coating. In </w:t>
      </w:r>
      <w:proofErr w:type="spellStart"/>
      <w:r>
        <w:rPr>
          <w:rFonts w:ascii="Times New Roman" w:hAnsi="Times New Roman"/>
          <w:szCs w:val="22"/>
        </w:rPr>
        <w:t>nitrided</w:t>
      </w:r>
      <w:proofErr w:type="spellEnd"/>
      <w:r>
        <w:rPr>
          <w:rFonts w:ascii="Times New Roman" w:hAnsi="Times New Roman"/>
          <w:szCs w:val="22"/>
        </w:rPr>
        <w:t xml:space="preserve"> specimens, a hard shell was formed in the form of a nitride alloy deposit (compound layer) containing Fe</w:t>
      </w:r>
      <w:r>
        <w:rPr>
          <w:rFonts w:ascii="Times New Roman" w:hAnsi="Times New Roman"/>
          <w:szCs w:val="22"/>
          <w:vertAlign w:val="subscript"/>
        </w:rPr>
        <w:t>4</w:t>
      </w:r>
      <w:r>
        <w:rPr>
          <w:rFonts w:ascii="Times New Roman" w:hAnsi="Times New Roman"/>
          <w:szCs w:val="22"/>
        </w:rPr>
        <w:t xml:space="preserve">N. This was due to chemical bonding between nitrogen atoms and alloying elements present in </w:t>
      </w:r>
      <w:proofErr w:type="spellStart"/>
      <w:r>
        <w:rPr>
          <w:rFonts w:ascii="Times New Roman" w:hAnsi="Times New Roman"/>
          <w:szCs w:val="22"/>
        </w:rPr>
        <w:t>gray</w:t>
      </w:r>
      <w:proofErr w:type="spellEnd"/>
      <w:r>
        <w:rPr>
          <w:rFonts w:ascii="Times New Roman" w:hAnsi="Times New Roman"/>
          <w:szCs w:val="22"/>
        </w:rPr>
        <w:t xml:space="preserve"> cast iron specimens.</w:t>
      </w:r>
    </w:p>
    <w:p w:rsidR="008E3AF8" w:rsidRDefault="007E6960" w:rsidP="009B1EF8">
      <w:pPr>
        <w:ind w:firstLine="851"/>
        <w:jc w:val="both"/>
        <w:rPr>
          <w:rFonts w:ascii="Times New Roman" w:hAnsi="Times New Roman"/>
          <w:szCs w:val="22"/>
        </w:rPr>
      </w:pPr>
      <w:r>
        <w:rPr>
          <w:rFonts w:ascii="Times New Roman" w:hAnsi="Times New Roman"/>
          <w:szCs w:val="22"/>
        </w:rPr>
        <w:t xml:space="preserve">Therefore, the nitriding process on </w:t>
      </w:r>
      <w:proofErr w:type="spellStart"/>
      <w:r>
        <w:rPr>
          <w:rFonts w:ascii="Times New Roman" w:hAnsi="Times New Roman"/>
          <w:szCs w:val="22"/>
        </w:rPr>
        <w:t>gray</w:t>
      </w:r>
      <w:proofErr w:type="spellEnd"/>
      <w:r>
        <w:rPr>
          <w:rFonts w:ascii="Times New Roman" w:hAnsi="Times New Roman"/>
          <w:szCs w:val="22"/>
        </w:rPr>
        <w:t xml:space="preserve"> cast iron was best conducted at a temperature of 550 </w:t>
      </w:r>
      <w:proofErr w:type="spellStart"/>
      <w:r>
        <w:rPr>
          <w:rFonts w:ascii="Times New Roman" w:hAnsi="Times New Roman"/>
          <w:szCs w:val="22"/>
          <w:vertAlign w:val="superscript"/>
        </w:rPr>
        <w:t>o</w:t>
      </w:r>
      <w:r>
        <w:rPr>
          <w:rFonts w:ascii="Times New Roman" w:hAnsi="Times New Roman"/>
          <w:szCs w:val="22"/>
        </w:rPr>
        <w:t>C</w:t>
      </w:r>
      <w:proofErr w:type="spellEnd"/>
      <w:r>
        <w:rPr>
          <w:rFonts w:ascii="Times New Roman" w:hAnsi="Times New Roman"/>
          <w:szCs w:val="22"/>
        </w:rPr>
        <w:t xml:space="preserve"> with a nitriding time of 4 hours. The nitrogen atom content at this rate diffused largely and deeply into the iron core, increasing the nitrogen atomic content. In case the nitriding process took more than 4 hours, nitrogen could not diffuse well and deeply into the iron core due to the long processing time.</w:t>
      </w:r>
    </w:p>
    <w:p w:rsidR="008E3AF8" w:rsidRDefault="008E3AF8">
      <w:pPr>
        <w:ind w:firstLine="720"/>
        <w:jc w:val="both"/>
        <w:rPr>
          <w:rFonts w:ascii="Times New Roman" w:hAnsi="Times New Roman"/>
          <w:szCs w:val="22"/>
        </w:rPr>
      </w:pPr>
    </w:p>
    <w:p w:rsidR="008E3AF8" w:rsidRDefault="007E6960">
      <w:pPr>
        <w:jc w:val="both"/>
        <w:rPr>
          <w:rFonts w:ascii="Times New Roman" w:hAnsi="Times New Roman"/>
          <w:b/>
          <w:bCs/>
          <w:szCs w:val="22"/>
        </w:rPr>
      </w:pPr>
      <w:r>
        <w:rPr>
          <w:rFonts w:ascii="Times New Roman" w:hAnsi="Times New Roman"/>
          <w:b/>
          <w:bCs/>
          <w:szCs w:val="22"/>
        </w:rPr>
        <w:t>4.4. Analysis and Characterization of Nodular Cast Iron</w:t>
      </w:r>
    </w:p>
    <w:p w:rsidR="008E3AF8" w:rsidRDefault="007E6960">
      <w:pPr>
        <w:jc w:val="both"/>
        <w:rPr>
          <w:rFonts w:ascii="Times New Roman" w:hAnsi="Times New Roman"/>
          <w:szCs w:val="22"/>
        </w:rPr>
      </w:pPr>
      <w:r>
        <w:rPr>
          <w:rFonts w:ascii="Times New Roman" w:hAnsi="Times New Roman"/>
          <w:szCs w:val="22"/>
        </w:rPr>
        <w:t xml:space="preserve">The hardening depth distribution trend due to the nitriding process in nodular cast iron was not much different from </w:t>
      </w:r>
      <w:proofErr w:type="spellStart"/>
      <w:r>
        <w:rPr>
          <w:rFonts w:ascii="Times New Roman" w:hAnsi="Times New Roman"/>
          <w:szCs w:val="22"/>
        </w:rPr>
        <w:t>gray</w:t>
      </w:r>
      <w:proofErr w:type="spellEnd"/>
      <w:r>
        <w:rPr>
          <w:rFonts w:ascii="Times New Roman" w:hAnsi="Times New Roman"/>
          <w:szCs w:val="22"/>
        </w:rPr>
        <w:t xml:space="preserve"> cast iron. However, the resulting surface hardness was higher than </w:t>
      </w:r>
      <w:proofErr w:type="spellStart"/>
      <w:r>
        <w:rPr>
          <w:rFonts w:ascii="Times New Roman" w:hAnsi="Times New Roman"/>
          <w:szCs w:val="22"/>
        </w:rPr>
        <w:t>gray</w:t>
      </w:r>
      <w:proofErr w:type="spellEnd"/>
      <w:r>
        <w:rPr>
          <w:rFonts w:ascii="Times New Roman" w:hAnsi="Times New Roman"/>
          <w:szCs w:val="22"/>
        </w:rPr>
        <w:t xml:space="preserve"> cast iron, especially in the 6-hour nitriding treatment. This showed that the cast iron nodule (round) structure influenced the hardness value.</w:t>
      </w:r>
    </w:p>
    <w:p w:rsidR="008E3AF8" w:rsidRDefault="007E6960" w:rsidP="009B1EF8">
      <w:pPr>
        <w:ind w:firstLine="851"/>
        <w:jc w:val="both"/>
        <w:rPr>
          <w:rFonts w:ascii="Times New Roman" w:hAnsi="Times New Roman"/>
          <w:szCs w:val="22"/>
        </w:rPr>
      </w:pPr>
      <w:r>
        <w:rPr>
          <w:rFonts w:ascii="Times New Roman" w:hAnsi="Times New Roman"/>
          <w:szCs w:val="22"/>
        </w:rPr>
        <w:t>In the chemical composition test (EDS) with a nitriding treatment time of 2 hours, the nitrogen content was 6.87%, and the compound formed was Fe</w:t>
      </w:r>
      <w:r>
        <w:rPr>
          <w:rFonts w:ascii="Times New Roman" w:hAnsi="Times New Roman"/>
          <w:szCs w:val="22"/>
          <w:vertAlign w:val="subscript"/>
        </w:rPr>
        <w:t>2-3</w:t>
      </w:r>
      <w:r>
        <w:rPr>
          <w:rFonts w:ascii="Times New Roman" w:hAnsi="Times New Roman"/>
          <w:szCs w:val="22"/>
        </w:rPr>
        <w:t>N. In the 4 hours of treatment, most of the structures formed were iron nitride compounds Fe</w:t>
      </w:r>
      <w:r>
        <w:rPr>
          <w:rFonts w:ascii="Times New Roman" w:hAnsi="Times New Roman"/>
          <w:szCs w:val="22"/>
          <w:vertAlign w:val="subscript"/>
        </w:rPr>
        <w:t>4</w:t>
      </w:r>
      <w:r>
        <w:rPr>
          <w:rFonts w:ascii="Times New Roman" w:hAnsi="Times New Roman"/>
          <w:szCs w:val="22"/>
        </w:rPr>
        <w:t>N with a nitrogen concentration of 5.60%. By increasing the treatment time to 6 hours, the nitrogen concentration increased to 15.04%, hence the compounds formed were Fe</w:t>
      </w:r>
      <w:r>
        <w:rPr>
          <w:rFonts w:ascii="Times New Roman" w:hAnsi="Times New Roman"/>
          <w:szCs w:val="22"/>
          <w:vertAlign w:val="subscript"/>
        </w:rPr>
        <w:t>2</w:t>
      </w:r>
      <w:r>
        <w:rPr>
          <w:rFonts w:ascii="Times New Roman" w:hAnsi="Times New Roman"/>
          <w:szCs w:val="22"/>
        </w:rPr>
        <w:t>N with high surface hardness values.</w:t>
      </w:r>
    </w:p>
    <w:p w:rsidR="008E3AF8" w:rsidRDefault="008E3AF8">
      <w:pPr>
        <w:jc w:val="both"/>
        <w:rPr>
          <w:rFonts w:ascii="Times New Roman" w:hAnsi="Times New Roman"/>
          <w:i/>
          <w:szCs w:val="22"/>
        </w:rPr>
      </w:pPr>
    </w:p>
    <w:p w:rsidR="008E3AF8" w:rsidRDefault="007E6960">
      <w:pPr>
        <w:jc w:val="both"/>
        <w:rPr>
          <w:rFonts w:ascii="Times New Roman" w:hAnsi="Times New Roman"/>
          <w:b/>
          <w:szCs w:val="22"/>
        </w:rPr>
      </w:pPr>
      <w:r>
        <w:rPr>
          <w:rFonts w:ascii="Times New Roman" w:hAnsi="Times New Roman"/>
          <w:b/>
          <w:szCs w:val="22"/>
        </w:rPr>
        <w:t xml:space="preserve">5. Conclusion </w:t>
      </w:r>
    </w:p>
    <w:p w:rsidR="008E3AF8" w:rsidRDefault="007E6960">
      <w:pPr>
        <w:jc w:val="both"/>
        <w:rPr>
          <w:rFonts w:ascii="Times New Roman" w:hAnsi="Times New Roman"/>
          <w:szCs w:val="22"/>
        </w:rPr>
      </w:pPr>
      <w:r>
        <w:rPr>
          <w:rFonts w:ascii="Times New Roman" w:hAnsi="Times New Roman"/>
          <w:szCs w:val="22"/>
        </w:rPr>
        <w:t xml:space="preserve">The </w:t>
      </w:r>
      <w:proofErr w:type="spellStart"/>
      <w:r>
        <w:rPr>
          <w:rFonts w:ascii="Times New Roman" w:hAnsi="Times New Roman"/>
          <w:szCs w:val="22"/>
        </w:rPr>
        <w:t>gray</w:t>
      </w:r>
      <w:proofErr w:type="spellEnd"/>
      <w:r>
        <w:rPr>
          <w:rFonts w:ascii="Times New Roman" w:hAnsi="Times New Roman"/>
          <w:szCs w:val="22"/>
        </w:rPr>
        <w:t xml:space="preserve"> cast iron showed the distribution of hardness, the highest being in the 4-hour process. Increasing the processing time to 6 hours led to a supersaturated reaction, accompanied by a decrease in hardness value. Nodular cast iron with a nodular structure still increased the hardness value up to 6 hours of treatment. This was indicated by the formation of the nitride compound Fe</w:t>
      </w:r>
      <w:r>
        <w:rPr>
          <w:rFonts w:ascii="Times New Roman" w:hAnsi="Times New Roman"/>
          <w:szCs w:val="22"/>
          <w:vertAlign w:val="subscript"/>
        </w:rPr>
        <w:t>2</w:t>
      </w:r>
      <w:r>
        <w:rPr>
          <w:rFonts w:ascii="Times New Roman" w:hAnsi="Times New Roman"/>
          <w:szCs w:val="22"/>
        </w:rPr>
        <w:t>N on the surface of the nitride layer.</w:t>
      </w:r>
    </w:p>
    <w:p w:rsidR="008E3AF8" w:rsidRDefault="008E3AF8">
      <w:pPr>
        <w:pStyle w:val="BodyChar"/>
        <w:rPr>
          <w:rFonts w:ascii="Times New Roman" w:hAnsi="Times New Roman"/>
          <w:b/>
        </w:rPr>
      </w:pPr>
    </w:p>
    <w:p w:rsidR="008E3AF8" w:rsidRDefault="007E6960">
      <w:pPr>
        <w:pStyle w:val="BodyChar"/>
        <w:rPr>
          <w:rFonts w:ascii="Times New Roman" w:hAnsi="Times New Roman"/>
          <w:b/>
        </w:rPr>
      </w:pPr>
      <w:r>
        <w:rPr>
          <w:rFonts w:ascii="Times New Roman" w:hAnsi="Times New Roman"/>
          <w:b/>
        </w:rPr>
        <w:t>Acknowledgments</w:t>
      </w:r>
    </w:p>
    <w:p w:rsidR="008E3AF8" w:rsidRDefault="007E6960">
      <w:pPr>
        <w:jc w:val="both"/>
        <w:rPr>
          <w:rFonts w:ascii="Times New Roman" w:hAnsi="Times New Roman"/>
          <w:szCs w:val="22"/>
        </w:rPr>
      </w:pPr>
      <w:r>
        <w:rPr>
          <w:rFonts w:ascii="Times New Roman" w:hAnsi="Times New Roman"/>
        </w:rPr>
        <w:t xml:space="preserve">Authors acknowledge assistance or encouragement from colleagues, special work by technical staff, and financial support from </w:t>
      </w:r>
      <w:r>
        <w:rPr>
          <w:rFonts w:ascii="Times New Roman" w:hAnsi="Times New Roman"/>
          <w:szCs w:val="22"/>
        </w:rPr>
        <w:t>KEMENRISTEK/BRIN.</w:t>
      </w:r>
    </w:p>
    <w:p w:rsidR="008E3AF8" w:rsidRDefault="008E3AF8">
      <w:pPr>
        <w:jc w:val="both"/>
        <w:rPr>
          <w:rFonts w:ascii="Times New Roman" w:hAnsi="Times New Roman"/>
          <w:szCs w:val="22"/>
        </w:rPr>
      </w:pPr>
    </w:p>
    <w:p w:rsidR="008E3AF8" w:rsidRDefault="007E6960">
      <w:pPr>
        <w:jc w:val="both"/>
        <w:rPr>
          <w:rFonts w:ascii="Times New Roman" w:hAnsi="Times New Roman"/>
          <w:b/>
          <w:szCs w:val="22"/>
        </w:rPr>
      </w:pPr>
      <w:r>
        <w:rPr>
          <w:rFonts w:ascii="Times New Roman" w:hAnsi="Times New Roman"/>
          <w:b/>
          <w:szCs w:val="22"/>
        </w:rPr>
        <w:t>REFERENCES</w:t>
      </w:r>
    </w:p>
    <w:p w:rsidR="008E3AF8" w:rsidRDefault="008E3AF8">
      <w:pPr>
        <w:jc w:val="both"/>
        <w:rPr>
          <w:rFonts w:ascii="Times New Roman" w:hAnsi="Times New Roman"/>
          <w:b/>
          <w:szCs w:val="22"/>
        </w:rPr>
      </w:pPr>
    </w:p>
    <w:p w:rsidR="009B1EF8" w:rsidRDefault="007E6960" w:rsidP="009B1EF8">
      <w:pPr>
        <w:ind w:left="709" w:hanging="709"/>
        <w:jc w:val="both"/>
        <w:rPr>
          <w:rFonts w:ascii="Times New Roman" w:hAnsi="Times New Roman"/>
          <w:bCs/>
          <w:szCs w:val="22"/>
        </w:rPr>
      </w:pPr>
      <w:r>
        <w:rPr>
          <w:rFonts w:ascii="Times New Roman" w:hAnsi="Times New Roman"/>
          <w:szCs w:val="22"/>
        </w:rPr>
        <w:t xml:space="preserve">[1] </w:t>
      </w:r>
      <w:r>
        <w:rPr>
          <w:rFonts w:ascii="Times New Roman" w:hAnsi="Times New Roman"/>
          <w:szCs w:val="22"/>
        </w:rPr>
        <w:tab/>
      </w:r>
      <w:hyperlink r:id="rId24" w:anchor="!" w:history="1">
        <w:r>
          <w:rPr>
            <w:rStyle w:val="text"/>
            <w:rFonts w:ascii="Times New Roman" w:hAnsi="Times New Roman"/>
            <w:bCs/>
            <w:szCs w:val="22"/>
          </w:rPr>
          <w:t>D.Gölden</w:t>
        </w:r>
      </w:hyperlink>
      <w:bookmarkStart w:id="1" w:name="bau0010"/>
      <w:r>
        <w:rPr>
          <w:rFonts w:ascii="Times New Roman" w:hAnsi="Times New Roman"/>
          <w:bCs/>
          <w:szCs w:val="22"/>
        </w:rPr>
        <w:t xml:space="preserve"> </w:t>
      </w:r>
      <w:hyperlink r:id="rId25" w:anchor="!" w:history="1">
        <w:r>
          <w:rPr>
            <w:rStyle w:val="text"/>
            <w:rFonts w:ascii="Times New Roman" w:hAnsi="Times New Roman"/>
            <w:bCs/>
            <w:szCs w:val="22"/>
          </w:rPr>
          <w:t>E.Hildebrandt</w:t>
        </w:r>
      </w:hyperlink>
      <w:bookmarkStart w:id="2" w:name="bau0015"/>
      <w:bookmarkEnd w:id="1"/>
      <w:r>
        <w:fldChar w:fldCharType="begin"/>
      </w:r>
      <w:r>
        <w:instrText xml:space="preserve"> HYPERLINK "https://www.sciencedirect.com/science/article/abs/pii/S0304885316304991" \l "!" </w:instrText>
      </w:r>
      <w:r>
        <w:fldChar w:fldCharType="separate"/>
      </w:r>
      <w:r>
        <w:rPr>
          <w:rStyle w:val="text"/>
          <w:rFonts w:ascii="Times New Roman" w:hAnsi="Times New Roman"/>
          <w:bCs/>
          <w:szCs w:val="22"/>
        </w:rPr>
        <w:t>L.Alff</w:t>
      </w:r>
      <w:r>
        <w:rPr>
          <w:rStyle w:val="text"/>
          <w:rFonts w:ascii="Times New Roman" w:hAnsi="Times New Roman"/>
        </w:rPr>
        <w:fldChar w:fldCharType="end"/>
      </w:r>
      <w:bookmarkEnd w:id="2"/>
      <w:r>
        <w:rPr>
          <w:rFonts w:ascii="Times New Roman" w:hAnsi="Times New Roman"/>
          <w:bCs/>
          <w:szCs w:val="22"/>
        </w:rPr>
        <w:t xml:space="preserve">, 2017, </w:t>
      </w:r>
      <w:r>
        <w:rPr>
          <w:rStyle w:val="title-text"/>
          <w:rFonts w:ascii="Times New Roman" w:hAnsi="Times New Roman"/>
          <w:bCs/>
          <w:szCs w:val="22"/>
        </w:rPr>
        <w:t>Thin film phase diagram of iron nitrides grown by molecular beam epitaxy</w:t>
      </w:r>
      <w:r>
        <w:rPr>
          <w:rFonts w:ascii="Times New Roman" w:hAnsi="Times New Roman"/>
          <w:bCs/>
          <w:szCs w:val="22"/>
        </w:rPr>
        <w:t xml:space="preserve">, </w:t>
      </w:r>
      <w:hyperlink r:id="rId26" w:tooltip="Go to Journal of Magnetism and Magnetic Materials on ScienceDirect" w:history="1">
        <w:r>
          <w:rPr>
            <w:rStyle w:val="Hyperlink"/>
            <w:rFonts w:ascii="Times New Roman" w:hAnsi="Times New Roman"/>
            <w:bCs/>
            <w:i/>
            <w:color w:val="auto"/>
            <w:szCs w:val="22"/>
            <w:u w:val="none"/>
          </w:rPr>
          <w:t>Journal of Magnetism and Magnetic Materials</w:t>
        </w:r>
      </w:hyperlink>
      <w:r>
        <w:rPr>
          <w:rFonts w:ascii="Times New Roman" w:hAnsi="Times New Roman"/>
          <w:bCs/>
          <w:i/>
          <w:szCs w:val="22"/>
        </w:rPr>
        <w:t xml:space="preserve"> </w:t>
      </w:r>
      <w:hyperlink r:id="rId27" w:tooltip="Go to table of contents for this volume/issue" w:history="1">
        <w:r>
          <w:rPr>
            <w:rStyle w:val="Hyperlink"/>
            <w:rFonts w:ascii="Times New Roman" w:hAnsi="Times New Roman"/>
            <w:bCs/>
            <w:i/>
            <w:color w:val="auto"/>
            <w:szCs w:val="22"/>
            <w:u w:val="none"/>
          </w:rPr>
          <w:t>Volume 422</w:t>
        </w:r>
      </w:hyperlink>
      <w:r>
        <w:rPr>
          <w:rFonts w:ascii="Times New Roman" w:hAnsi="Times New Roman"/>
          <w:bCs/>
          <w:szCs w:val="22"/>
        </w:rPr>
        <w:t xml:space="preserve">, 15 January 2017, Pages 407-411, Elsevier, </w:t>
      </w:r>
      <w:hyperlink r:id="rId28" w:tgtFrame="_blank" w:tooltip="Persistent link using digital object identifier" w:history="1">
        <w:r>
          <w:rPr>
            <w:rStyle w:val="Hyperlink"/>
            <w:rFonts w:ascii="Times New Roman" w:hAnsi="Times New Roman"/>
            <w:bCs/>
            <w:color w:val="auto"/>
            <w:szCs w:val="22"/>
            <w:u w:val="none"/>
          </w:rPr>
          <w:t>https://doi.org/10.1016/j.jmmm.2016.07.074</w:t>
        </w:r>
      </w:hyperlink>
    </w:p>
    <w:p w:rsidR="009B1EF8" w:rsidRDefault="007E6960" w:rsidP="009B1EF8">
      <w:pPr>
        <w:ind w:left="709" w:hanging="709"/>
        <w:jc w:val="both"/>
        <w:rPr>
          <w:rFonts w:ascii="Times New Roman" w:hAnsi="Times New Roman"/>
          <w:bCs/>
          <w:szCs w:val="22"/>
        </w:rPr>
      </w:pPr>
      <w:r>
        <w:rPr>
          <w:rFonts w:ascii="Times New Roman" w:hAnsi="Times New Roman"/>
          <w:szCs w:val="22"/>
        </w:rPr>
        <w:t xml:space="preserve">[2] </w:t>
      </w:r>
      <w:r>
        <w:rPr>
          <w:rFonts w:ascii="Times New Roman" w:hAnsi="Times New Roman"/>
          <w:szCs w:val="22"/>
        </w:rPr>
        <w:tab/>
      </w:r>
      <w:hyperlink r:id="rId29" w:history="1">
        <w:proofErr w:type="spellStart"/>
        <w:r>
          <w:rPr>
            <w:rStyle w:val="Hyperlink"/>
            <w:rFonts w:ascii="Times New Roman" w:hAnsi="Times New Roman"/>
            <w:bCs/>
            <w:color w:val="auto"/>
            <w:szCs w:val="22"/>
            <w:u w:val="none"/>
          </w:rPr>
          <w:t>Emin</w:t>
        </w:r>
        <w:proofErr w:type="spellEnd"/>
        <w:r>
          <w:rPr>
            <w:rStyle w:val="Hyperlink"/>
            <w:rFonts w:ascii="Times New Roman" w:hAnsi="Times New Roman"/>
            <w:bCs/>
            <w:color w:val="auto"/>
            <w:szCs w:val="22"/>
            <w:u w:val="none"/>
          </w:rPr>
          <w:t xml:space="preserve"> </w:t>
        </w:r>
        <w:proofErr w:type="spellStart"/>
        <w:r>
          <w:rPr>
            <w:rStyle w:val="Hyperlink"/>
            <w:rFonts w:ascii="Times New Roman" w:hAnsi="Times New Roman"/>
            <w:bCs/>
            <w:color w:val="auto"/>
            <w:szCs w:val="22"/>
            <w:u w:val="none"/>
          </w:rPr>
          <w:t>Kondakci</w:t>
        </w:r>
        <w:proofErr w:type="spellEnd"/>
      </w:hyperlink>
      <w:r>
        <w:rPr>
          <w:rFonts w:ascii="Times New Roman" w:hAnsi="Times New Roman"/>
          <w:bCs/>
          <w:szCs w:val="22"/>
        </w:rPr>
        <w:t xml:space="preserve">, </w:t>
      </w:r>
      <w:hyperlink r:id="rId30" w:history="1">
        <w:r>
          <w:rPr>
            <w:rStyle w:val="Hyperlink"/>
            <w:rFonts w:ascii="Times New Roman" w:hAnsi="Times New Roman"/>
            <w:bCs/>
            <w:color w:val="auto"/>
            <w:szCs w:val="22"/>
            <w:u w:val="none"/>
          </w:rPr>
          <w:t xml:space="preserve">Nuri </w:t>
        </w:r>
        <w:proofErr w:type="spellStart"/>
        <w:r>
          <w:rPr>
            <w:rStyle w:val="Hyperlink"/>
            <w:rFonts w:ascii="Times New Roman" w:hAnsi="Times New Roman"/>
            <w:bCs/>
            <w:color w:val="auto"/>
            <w:szCs w:val="22"/>
            <w:u w:val="none"/>
          </w:rPr>
          <w:t>Solak</w:t>
        </w:r>
        <w:proofErr w:type="spellEnd"/>
      </w:hyperlink>
      <w:r>
        <w:rPr>
          <w:rFonts w:ascii="Times New Roman" w:hAnsi="Times New Roman"/>
          <w:bCs/>
          <w:szCs w:val="22"/>
        </w:rPr>
        <w:t xml:space="preserve">, </w:t>
      </w:r>
      <w:hyperlink r:id="rId31" w:anchor="article-info" w:history="1">
        <w:r>
          <w:rPr>
            <w:rStyle w:val="Hyperlink"/>
            <w:rFonts w:ascii="Times New Roman" w:hAnsi="Times New Roman"/>
            <w:bCs/>
            <w:color w:val="auto"/>
            <w:szCs w:val="22"/>
            <w:u w:val="none"/>
          </w:rPr>
          <w:t xml:space="preserve"> 2020</w:t>
        </w:r>
      </w:hyperlink>
      <w:r>
        <w:rPr>
          <w:rFonts w:ascii="Times New Roman" w:hAnsi="Times New Roman"/>
          <w:bCs/>
          <w:szCs w:val="22"/>
        </w:rPr>
        <w:t xml:space="preserve">, </w:t>
      </w:r>
      <w:r>
        <w:rPr>
          <w:rFonts w:ascii="Times New Roman" w:hAnsi="Times New Roman"/>
          <w:bCs/>
          <w:i/>
          <w:szCs w:val="22"/>
        </w:rPr>
        <w:t xml:space="preserve">The Effect of Microstructure on Nitriding Mechanism of Cast Iron, </w:t>
      </w:r>
      <w:hyperlink r:id="rId32" w:history="1">
        <w:r>
          <w:rPr>
            <w:rStyle w:val="Hyperlink"/>
            <w:rFonts w:ascii="Times New Roman" w:hAnsi="Times New Roman"/>
            <w:bCs/>
            <w:i/>
            <w:color w:val="auto"/>
            <w:szCs w:val="22"/>
            <w:u w:val="none"/>
          </w:rPr>
          <w:t xml:space="preserve">International Journal of </w:t>
        </w:r>
        <w:proofErr w:type="spellStart"/>
        <w:r>
          <w:rPr>
            <w:rStyle w:val="Hyperlink"/>
            <w:rFonts w:ascii="Times New Roman" w:hAnsi="Times New Roman"/>
            <w:bCs/>
            <w:i/>
            <w:color w:val="auto"/>
            <w:szCs w:val="22"/>
            <w:u w:val="none"/>
          </w:rPr>
          <w:t>Metalcasting</w:t>
        </w:r>
        <w:proofErr w:type="spellEnd"/>
      </w:hyperlink>
      <w:r>
        <w:rPr>
          <w:rFonts w:ascii="Times New Roman" w:hAnsi="Times New Roman"/>
          <w:bCs/>
          <w:szCs w:val="22"/>
        </w:rPr>
        <w:t>, Springer</w:t>
      </w:r>
    </w:p>
    <w:p w:rsidR="009B1EF8" w:rsidRDefault="007E6960" w:rsidP="009B1EF8">
      <w:pPr>
        <w:ind w:left="709" w:hanging="709"/>
        <w:jc w:val="both"/>
        <w:rPr>
          <w:rStyle w:val="Hyperlink"/>
          <w:rFonts w:ascii="Times New Roman" w:hAnsi="Times New Roman"/>
          <w:bCs/>
          <w:color w:val="auto"/>
          <w:szCs w:val="22"/>
          <w:u w:val="none"/>
        </w:rPr>
      </w:pPr>
      <w:r>
        <w:rPr>
          <w:rFonts w:ascii="Times New Roman" w:hAnsi="Times New Roman"/>
          <w:szCs w:val="22"/>
        </w:rPr>
        <w:t>[3]</w:t>
      </w:r>
      <w:r>
        <w:rPr>
          <w:rFonts w:ascii="Times New Roman" w:hAnsi="Times New Roman"/>
          <w:szCs w:val="22"/>
        </w:rPr>
        <w:tab/>
      </w:r>
      <w:hyperlink r:id="rId33" w:history="1">
        <w:proofErr w:type="spellStart"/>
        <w:r>
          <w:rPr>
            <w:rStyle w:val="Hyperlink"/>
            <w:rFonts w:ascii="Times New Roman" w:hAnsi="Times New Roman"/>
            <w:bCs/>
            <w:color w:val="auto"/>
            <w:szCs w:val="22"/>
            <w:u w:val="none"/>
          </w:rPr>
          <w:t>Jiajie</w:t>
        </w:r>
        <w:proofErr w:type="spellEnd"/>
        <w:r>
          <w:rPr>
            <w:rStyle w:val="Hyperlink"/>
            <w:rFonts w:ascii="Times New Roman" w:hAnsi="Times New Roman"/>
            <w:bCs/>
            <w:color w:val="auto"/>
            <w:szCs w:val="22"/>
            <w:u w:val="none"/>
          </w:rPr>
          <w:t xml:space="preserve"> Kang</w:t>
        </w:r>
      </w:hyperlink>
      <w:r>
        <w:rPr>
          <w:rFonts w:ascii="Times New Roman" w:hAnsi="Times New Roman"/>
          <w:bCs/>
          <w:szCs w:val="22"/>
        </w:rPr>
        <w:t xml:space="preserve">, </w:t>
      </w:r>
      <w:hyperlink r:id="rId34" w:history="1">
        <w:proofErr w:type="spellStart"/>
        <w:r>
          <w:rPr>
            <w:rStyle w:val="Hyperlink"/>
            <w:rFonts w:ascii="Times New Roman" w:hAnsi="Times New Roman"/>
            <w:bCs/>
            <w:color w:val="auto"/>
            <w:szCs w:val="22"/>
            <w:u w:val="none"/>
          </w:rPr>
          <w:t>Mingzheng</w:t>
        </w:r>
        <w:proofErr w:type="spellEnd"/>
        <w:r>
          <w:rPr>
            <w:rStyle w:val="Hyperlink"/>
            <w:rFonts w:ascii="Times New Roman" w:hAnsi="Times New Roman"/>
            <w:bCs/>
            <w:color w:val="auto"/>
            <w:szCs w:val="22"/>
            <w:u w:val="none"/>
          </w:rPr>
          <w:t xml:space="preserve"> Wang</w:t>
        </w:r>
      </w:hyperlink>
      <w:r>
        <w:rPr>
          <w:rFonts w:ascii="Times New Roman" w:hAnsi="Times New Roman"/>
          <w:bCs/>
          <w:szCs w:val="22"/>
        </w:rPr>
        <w:t xml:space="preserve">, </w:t>
      </w:r>
      <w:hyperlink r:id="rId35" w:history="1">
        <w:r>
          <w:rPr>
            <w:rStyle w:val="Hyperlink"/>
            <w:rFonts w:ascii="Times New Roman" w:hAnsi="Times New Roman"/>
            <w:bCs/>
            <w:color w:val="auto"/>
            <w:szCs w:val="22"/>
            <w:u w:val="none"/>
          </w:rPr>
          <w:t>Wen Yue</w:t>
        </w:r>
      </w:hyperlink>
      <w:r>
        <w:rPr>
          <w:rFonts w:ascii="Times New Roman" w:hAnsi="Times New Roman"/>
          <w:bCs/>
          <w:szCs w:val="22"/>
        </w:rPr>
        <w:t xml:space="preserve">, </w:t>
      </w:r>
      <w:hyperlink r:id="rId36" w:history="1">
        <w:proofErr w:type="spellStart"/>
        <w:r>
          <w:rPr>
            <w:rStyle w:val="Hyperlink"/>
            <w:rFonts w:ascii="Times New Roman" w:hAnsi="Times New Roman"/>
            <w:bCs/>
            <w:color w:val="auto"/>
            <w:szCs w:val="22"/>
            <w:u w:val="none"/>
          </w:rPr>
          <w:t>Zhiqiang</w:t>
        </w:r>
        <w:proofErr w:type="spellEnd"/>
        <w:r>
          <w:rPr>
            <w:rStyle w:val="Hyperlink"/>
            <w:rFonts w:ascii="Times New Roman" w:hAnsi="Times New Roman"/>
            <w:bCs/>
            <w:color w:val="auto"/>
            <w:szCs w:val="22"/>
            <w:u w:val="none"/>
          </w:rPr>
          <w:t xml:space="preserve"> Fu</w:t>
        </w:r>
      </w:hyperlink>
      <w:r>
        <w:rPr>
          <w:rFonts w:ascii="Times New Roman" w:hAnsi="Times New Roman"/>
          <w:bCs/>
          <w:szCs w:val="22"/>
        </w:rPr>
        <w:t xml:space="preserve">, </w:t>
      </w:r>
      <w:hyperlink r:id="rId37" w:history="1">
        <w:r>
          <w:rPr>
            <w:rStyle w:val="Hyperlink"/>
            <w:rFonts w:ascii="Times New Roman" w:hAnsi="Times New Roman"/>
            <w:bCs/>
            <w:color w:val="auto"/>
            <w:szCs w:val="22"/>
            <w:u w:val="none"/>
          </w:rPr>
          <w:t>Lina Zhu</w:t>
        </w:r>
      </w:hyperlink>
      <w:r>
        <w:rPr>
          <w:rFonts w:ascii="Times New Roman" w:hAnsi="Times New Roman"/>
          <w:bCs/>
          <w:szCs w:val="22"/>
        </w:rPr>
        <w:t xml:space="preserve">, </w:t>
      </w:r>
      <w:hyperlink r:id="rId38" w:history="1">
        <w:proofErr w:type="spellStart"/>
        <w:r>
          <w:rPr>
            <w:rStyle w:val="Hyperlink"/>
            <w:rFonts w:ascii="Times New Roman" w:hAnsi="Times New Roman"/>
            <w:bCs/>
            <w:color w:val="auto"/>
            <w:szCs w:val="22"/>
            <w:u w:val="none"/>
          </w:rPr>
          <w:t>Dingshun</w:t>
        </w:r>
        <w:proofErr w:type="spellEnd"/>
        <w:r>
          <w:rPr>
            <w:rStyle w:val="Hyperlink"/>
            <w:rFonts w:ascii="Times New Roman" w:hAnsi="Times New Roman"/>
            <w:bCs/>
            <w:color w:val="auto"/>
            <w:szCs w:val="22"/>
            <w:u w:val="none"/>
          </w:rPr>
          <w:t xml:space="preserve"> She</w:t>
        </w:r>
      </w:hyperlink>
      <w:r>
        <w:rPr>
          <w:rFonts w:ascii="Times New Roman" w:hAnsi="Times New Roman"/>
          <w:bCs/>
          <w:szCs w:val="22"/>
        </w:rPr>
        <w:t xml:space="preserve">, </w:t>
      </w:r>
      <w:hyperlink r:id="rId39" w:history="1">
        <w:proofErr w:type="spellStart"/>
        <w:r>
          <w:rPr>
            <w:rStyle w:val="Hyperlink"/>
            <w:rFonts w:ascii="Times New Roman" w:hAnsi="Times New Roman"/>
            <w:bCs/>
            <w:color w:val="auto"/>
            <w:szCs w:val="22"/>
            <w:u w:val="none"/>
          </w:rPr>
          <w:t>Chengbiao</w:t>
        </w:r>
        <w:proofErr w:type="spellEnd"/>
        <w:r>
          <w:rPr>
            <w:rStyle w:val="Hyperlink"/>
            <w:rFonts w:ascii="Times New Roman" w:hAnsi="Times New Roman"/>
            <w:bCs/>
            <w:color w:val="auto"/>
            <w:szCs w:val="22"/>
            <w:u w:val="none"/>
          </w:rPr>
          <w:t xml:space="preserve"> Wang</w:t>
        </w:r>
      </w:hyperlink>
      <w:r>
        <w:rPr>
          <w:rFonts w:ascii="Times New Roman" w:hAnsi="Times New Roman"/>
          <w:bCs/>
          <w:szCs w:val="22"/>
        </w:rPr>
        <w:t xml:space="preserve">, 2019, </w:t>
      </w:r>
      <w:r>
        <w:rPr>
          <w:rFonts w:ascii="Times New Roman" w:hAnsi="Times New Roman"/>
          <w:bCs/>
          <w:i/>
          <w:szCs w:val="22"/>
        </w:rPr>
        <w:t xml:space="preserve">Tribological </w:t>
      </w:r>
      <w:proofErr w:type="spellStart"/>
      <w:r>
        <w:rPr>
          <w:rFonts w:ascii="Times New Roman" w:hAnsi="Times New Roman"/>
          <w:bCs/>
          <w:i/>
          <w:szCs w:val="22"/>
        </w:rPr>
        <w:t>Behavior</w:t>
      </w:r>
      <w:proofErr w:type="spellEnd"/>
      <w:r>
        <w:rPr>
          <w:rFonts w:ascii="Times New Roman" w:hAnsi="Times New Roman"/>
          <w:bCs/>
          <w:i/>
          <w:szCs w:val="22"/>
        </w:rPr>
        <w:t xml:space="preserve"> of Titanium Alloy Treated by Nitriding and Surface Texturing Composite Technology</w:t>
      </w:r>
      <w:r>
        <w:rPr>
          <w:rFonts w:ascii="Times New Roman" w:hAnsi="Times New Roman"/>
          <w:bCs/>
          <w:szCs w:val="22"/>
        </w:rPr>
        <w:t xml:space="preserve">, </w:t>
      </w:r>
      <w:hyperlink r:id="rId40" w:history="1">
        <w:r>
          <w:rPr>
            <w:rStyle w:val="Hyperlink"/>
            <w:rFonts w:ascii="Times New Roman" w:hAnsi="Times New Roman"/>
            <w:bCs/>
            <w:color w:val="auto"/>
            <w:szCs w:val="22"/>
            <w:u w:val="none"/>
          </w:rPr>
          <w:t>Materials (Basel)</w:t>
        </w:r>
      </w:hyperlink>
      <w:r>
        <w:rPr>
          <w:rStyle w:val="cit"/>
          <w:rFonts w:ascii="Times New Roman" w:hAnsi="Times New Roman"/>
          <w:bCs/>
          <w:szCs w:val="22"/>
        </w:rPr>
        <w:t xml:space="preserve">. Jan; 12(2): 301, </w:t>
      </w:r>
      <w:proofErr w:type="spellStart"/>
      <w:r>
        <w:rPr>
          <w:rStyle w:val="doi"/>
          <w:rFonts w:ascii="Times New Roman" w:hAnsi="Times New Roman"/>
          <w:bCs/>
          <w:szCs w:val="22"/>
        </w:rPr>
        <w:t>doi</w:t>
      </w:r>
      <w:proofErr w:type="spellEnd"/>
      <w:r>
        <w:rPr>
          <w:rStyle w:val="doi"/>
          <w:rFonts w:ascii="Times New Roman" w:hAnsi="Times New Roman"/>
          <w:bCs/>
          <w:szCs w:val="22"/>
        </w:rPr>
        <w:t>: </w:t>
      </w:r>
      <w:hyperlink r:id="rId41" w:tgtFrame="pmc_ext" w:history="1">
        <w:r>
          <w:rPr>
            <w:rStyle w:val="Hyperlink"/>
            <w:rFonts w:ascii="Times New Roman" w:hAnsi="Times New Roman"/>
            <w:bCs/>
            <w:color w:val="auto"/>
            <w:szCs w:val="22"/>
            <w:u w:val="none"/>
          </w:rPr>
          <w:t>10.3390/ma12020301</w:t>
        </w:r>
      </w:hyperlink>
      <w:bookmarkStart w:id="3" w:name="bau0005"/>
    </w:p>
    <w:p w:rsidR="009B1EF8" w:rsidRDefault="007E6960" w:rsidP="009B1EF8">
      <w:pPr>
        <w:ind w:left="709" w:hanging="709"/>
        <w:jc w:val="both"/>
        <w:rPr>
          <w:rFonts w:ascii="Times New Roman" w:hAnsi="Times New Roman"/>
          <w:bCs/>
          <w:szCs w:val="22"/>
        </w:rPr>
      </w:pPr>
      <w:r>
        <w:rPr>
          <w:rFonts w:ascii="Times New Roman" w:hAnsi="Times New Roman"/>
          <w:szCs w:val="22"/>
        </w:rPr>
        <w:t>[4]</w:t>
      </w:r>
      <w:r>
        <w:rPr>
          <w:rFonts w:ascii="Times New Roman" w:hAnsi="Times New Roman"/>
          <w:szCs w:val="22"/>
        </w:rPr>
        <w:tab/>
      </w:r>
      <w:hyperlink r:id="rId42" w:history="1">
        <w:proofErr w:type="spellStart"/>
        <w:r>
          <w:rPr>
            <w:rStyle w:val="Hyperlink"/>
            <w:rFonts w:ascii="Times New Roman" w:hAnsi="Times New Roman"/>
            <w:bCs/>
            <w:color w:val="auto"/>
            <w:szCs w:val="22"/>
            <w:u w:val="none"/>
          </w:rPr>
          <w:t>Esa</w:t>
        </w:r>
        <w:proofErr w:type="spellEnd"/>
        <w:r>
          <w:rPr>
            <w:rStyle w:val="Hyperlink"/>
            <w:rFonts w:ascii="Times New Roman" w:hAnsi="Times New Roman"/>
            <w:bCs/>
            <w:color w:val="auto"/>
            <w:szCs w:val="22"/>
            <w:u w:val="none"/>
          </w:rPr>
          <w:t xml:space="preserve"> </w:t>
        </w:r>
        <w:proofErr w:type="spellStart"/>
        <w:r>
          <w:rPr>
            <w:rStyle w:val="Hyperlink"/>
            <w:rFonts w:ascii="Times New Roman" w:hAnsi="Times New Roman"/>
            <w:bCs/>
            <w:color w:val="auto"/>
            <w:szCs w:val="22"/>
            <w:u w:val="none"/>
          </w:rPr>
          <w:t>Haruman</w:t>
        </w:r>
        <w:proofErr w:type="spellEnd"/>
      </w:hyperlink>
      <w:r>
        <w:rPr>
          <w:rFonts w:ascii="Times New Roman" w:hAnsi="Times New Roman"/>
          <w:bCs/>
          <w:szCs w:val="22"/>
        </w:rPr>
        <w:t xml:space="preserve">, </w:t>
      </w:r>
      <w:hyperlink r:id="rId43" w:history="1">
        <w:r>
          <w:rPr>
            <w:rStyle w:val="Hyperlink"/>
            <w:rFonts w:ascii="Times New Roman" w:hAnsi="Times New Roman"/>
            <w:bCs/>
            <w:color w:val="auto"/>
            <w:szCs w:val="22"/>
            <w:u w:val="none"/>
          </w:rPr>
          <w:t>Yong Sun</w:t>
        </w:r>
      </w:hyperlink>
      <w:r>
        <w:rPr>
          <w:rFonts w:ascii="Times New Roman" w:hAnsi="Times New Roman"/>
          <w:bCs/>
          <w:szCs w:val="22"/>
        </w:rPr>
        <w:t xml:space="preserve">, </w:t>
      </w:r>
      <w:hyperlink r:id="rId44" w:history="1">
        <w:proofErr w:type="spellStart"/>
        <w:r>
          <w:rPr>
            <w:rStyle w:val="Hyperlink"/>
            <w:rFonts w:ascii="Times New Roman" w:hAnsi="Times New Roman"/>
            <w:bCs/>
            <w:color w:val="auto"/>
            <w:szCs w:val="22"/>
            <w:u w:val="none"/>
          </w:rPr>
          <w:t>Hitendra</w:t>
        </w:r>
        <w:proofErr w:type="spellEnd"/>
        <w:r>
          <w:rPr>
            <w:rStyle w:val="Hyperlink"/>
            <w:rFonts w:ascii="Times New Roman" w:hAnsi="Times New Roman"/>
            <w:bCs/>
            <w:color w:val="auto"/>
            <w:szCs w:val="22"/>
            <w:u w:val="none"/>
          </w:rPr>
          <w:t xml:space="preserve"> Malik</w:t>
        </w:r>
      </w:hyperlink>
      <w:r>
        <w:rPr>
          <w:rFonts w:ascii="Times New Roman" w:hAnsi="Times New Roman"/>
          <w:bCs/>
          <w:szCs w:val="22"/>
        </w:rPr>
        <w:t xml:space="preserve">, </w:t>
      </w:r>
      <w:hyperlink r:id="rId45" w:history="1">
        <w:r>
          <w:rPr>
            <w:rStyle w:val="Hyperlink"/>
            <w:rFonts w:ascii="Times New Roman" w:hAnsi="Times New Roman"/>
            <w:bCs/>
            <w:color w:val="auto"/>
            <w:szCs w:val="22"/>
            <w:u w:val="none"/>
          </w:rPr>
          <w:t xml:space="preserve">Komang </w:t>
        </w:r>
        <w:proofErr w:type="spellStart"/>
        <w:r>
          <w:rPr>
            <w:rStyle w:val="Hyperlink"/>
            <w:rFonts w:ascii="Times New Roman" w:hAnsi="Times New Roman"/>
            <w:bCs/>
            <w:color w:val="auto"/>
            <w:szCs w:val="22"/>
            <w:u w:val="none"/>
          </w:rPr>
          <w:t>astana</w:t>
        </w:r>
        <w:proofErr w:type="spellEnd"/>
        <w:r>
          <w:rPr>
            <w:rStyle w:val="Hyperlink"/>
            <w:rFonts w:ascii="Times New Roman" w:hAnsi="Times New Roman"/>
            <w:bCs/>
            <w:color w:val="auto"/>
            <w:szCs w:val="22"/>
            <w:u w:val="none"/>
          </w:rPr>
          <w:t xml:space="preserve"> </w:t>
        </w:r>
        <w:proofErr w:type="spellStart"/>
        <w:r>
          <w:rPr>
            <w:rStyle w:val="Hyperlink"/>
            <w:rFonts w:ascii="Times New Roman" w:hAnsi="Times New Roman"/>
            <w:bCs/>
            <w:color w:val="auto"/>
            <w:szCs w:val="22"/>
            <w:u w:val="none"/>
          </w:rPr>
          <w:t>Widi</w:t>
        </w:r>
        <w:proofErr w:type="spellEnd"/>
      </w:hyperlink>
      <w:r>
        <w:rPr>
          <w:rFonts w:ascii="Times New Roman" w:hAnsi="Times New Roman"/>
          <w:bCs/>
          <w:szCs w:val="22"/>
        </w:rPr>
        <w:t xml:space="preserve">, 2006, </w:t>
      </w:r>
      <w:r>
        <w:rPr>
          <w:rFonts w:ascii="Times New Roman" w:hAnsi="Times New Roman"/>
          <w:bCs/>
          <w:i/>
          <w:szCs w:val="22"/>
        </w:rPr>
        <w:t>Low Temperature Fluidized Bed Nitriding of Austenitic Stainless Steel, Solid State Phenomena 118:125-130</w:t>
      </w:r>
      <w:r>
        <w:rPr>
          <w:rFonts w:ascii="Times New Roman" w:hAnsi="Times New Roman"/>
          <w:bCs/>
          <w:szCs w:val="22"/>
        </w:rPr>
        <w:t xml:space="preserve">, DOI: </w:t>
      </w:r>
      <w:hyperlink r:id="rId46" w:history="1">
        <w:r>
          <w:rPr>
            <w:rStyle w:val="Hyperlink"/>
            <w:rFonts w:ascii="Times New Roman" w:hAnsi="Times New Roman"/>
            <w:bCs/>
            <w:color w:val="auto"/>
            <w:szCs w:val="22"/>
            <w:u w:val="none"/>
          </w:rPr>
          <w:t>10.4028/www.scientific.net/SSP.118.125</w:t>
        </w:r>
      </w:hyperlink>
    </w:p>
    <w:p w:rsidR="009B1EF8" w:rsidRDefault="007E6960" w:rsidP="009B1EF8">
      <w:pPr>
        <w:ind w:left="709" w:hanging="709"/>
        <w:jc w:val="both"/>
        <w:rPr>
          <w:rStyle w:val="doi"/>
          <w:rFonts w:ascii="Times New Roman" w:hAnsi="Times New Roman"/>
          <w:bCs/>
          <w:szCs w:val="22"/>
        </w:rPr>
      </w:pPr>
      <w:r>
        <w:rPr>
          <w:rFonts w:ascii="Times New Roman" w:hAnsi="Times New Roman"/>
          <w:bCs/>
          <w:szCs w:val="22"/>
        </w:rPr>
        <w:lastRenderedPageBreak/>
        <w:t>[5]</w:t>
      </w:r>
      <w:r>
        <w:rPr>
          <w:rFonts w:ascii="Times New Roman" w:hAnsi="Times New Roman"/>
          <w:bCs/>
          <w:szCs w:val="22"/>
        </w:rPr>
        <w:tab/>
      </w:r>
      <w:proofErr w:type="spellStart"/>
      <w:r>
        <w:rPr>
          <w:rFonts w:ascii="Times New Roman" w:hAnsi="Times New Roman"/>
          <w:bCs/>
          <w:szCs w:val="22"/>
        </w:rPr>
        <w:t>Rahardjo</w:t>
      </w:r>
      <w:proofErr w:type="spellEnd"/>
      <w:r>
        <w:rPr>
          <w:rFonts w:ascii="Times New Roman" w:hAnsi="Times New Roman"/>
          <w:bCs/>
          <w:szCs w:val="22"/>
        </w:rPr>
        <w:t xml:space="preserve"> </w:t>
      </w:r>
      <w:proofErr w:type="spellStart"/>
      <w:r>
        <w:rPr>
          <w:rFonts w:ascii="Times New Roman" w:hAnsi="Times New Roman"/>
          <w:bCs/>
          <w:szCs w:val="22"/>
        </w:rPr>
        <w:t>Teguh</w:t>
      </w:r>
      <w:proofErr w:type="spellEnd"/>
      <w:r>
        <w:rPr>
          <w:rFonts w:ascii="Times New Roman" w:hAnsi="Times New Roman"/>
          <w:bCs/>
          <w:szCs w:val="22"/>
        </w:rPr>
        <w:t xml:space="preserve">. 2008. Proses Nitriding </w:t>
      </w:r>
      <w:proofErr w:type="spellStart"/>
      <w:r>
        <w:rPr>
          <w:rFonts w:ascii="Times New Roman" w:hAnsi="Times New Roman"/>
          <w:bCs/>
          <w:szCs w:val="22"/>
        </w:rPr>
        <w:t>Untuk</w:t>
      </w:r>
      <w:proofErr w:type="spellEnd"/>
      <w:r>
        <w:rPr>
          <w:rFonts w:ascii="Times New Roman" w:hAnsi="Times New Roman"/>
          <w:bCs/>
          <w:szCs w:val="22"/>
        </w:rPr>
        <w:t xml:space="preserve"> </w:t>
      </w:r>
      <w:proofErr w:type="spellStart"/>
      <w:r>
        <w:rPr>
          <w:rFonts w:ascii="Times New Roman" w:hAnsi="Times New Roman"/>
          <w:bCs/>
          <w:szCs w:val="22"/>
        </w:rPr>
        <w:t>Peningkatan</w:t>
      </w:r>
      <w:proofErr w:type="spellEnd"/>
      <w:r>
        <w:rPr>
          <w:rFonts w:ascii="Times New Roman" w:hAnsi="Times New Roman"/>
          <w:bCs/>
          <w:szCs w:val="22"/>
        </w:rPr>
        <w:t xml:space="preserve"> </w:t>
      </w:r>
      <w:proofErr w:type="spellStart"/>
      <w:r>
        <w:rPr>
          <w:rFonts w:ascii="Times New Roman" w:hAnsi="Times New Roman"/>
          <w:bCs/>
          <w:szCs w:val="22"/>
        </w:rPr>
        <w:t>Sifat</w:t>
      </w:r>
      <w:proofErr w:type="spellEnd"/>
      <w:r>
        <w:rPr>
          <w:rFonts w:ascii="Times New Roman" w:hAnsi="Times New Roman"/>
          <w:bCs/>
          <w:szCs w:val="22"/>
        </w:rPr>
        <w:t xml:space="preserve"> </w:t>
      </w:r>
      <w:proofErr w:type="spellStart"/>
      <w:r>
        <w:rPr>
          <w:rFonts w:ascii="Times New Roman" w:hAnsi="Times New Roman"/>
          <w:bCs/>
          <w:szCs w:val="22"/>
        </w:rPr>
        <w:t>Mekanik</w:t>
      </w:r>
      <w:proofErr w:type="spellEnd"/>
      <w:r>
        <w:rPr>
          <w:rFonts w:ascii="Times New Roman" w:hAnsi="Times New Roman"/>
          <w:bCs/>
          <w:szCs w:val="22"/>
        </w:rPr>
        <w:t xml:space="preserve"> </w:t>
      </w:r>
      <w:proofErr w:type="spellStart"/>
      <w:r>
        <w:rPr>
          <w:rFonts w:ascii="Times New Roman" w:hAnsi="Times New Roman"/>
          <w:bCs/>
          <w:szCs w:val="22"/>
        </w:rPr>
        <w:t>Permukaan</w:t>
      </w:r>
      <w:proofErr w:type="spellEnd"/>
      <w:r>
        <w:rPr>
          <w:rFonts w:ascii="Times New Roman" w:hAnsi="Times New Roman"/>
          <w:bCs/>
          <w:szCs w:val="22"/>
        </w:rPr>
        <w:t xml:space="preserve"> Material Dies. </w:t>
      </w:r>
      <w:proofErr w:type="spellStart"/>
      <w:r>
        <w:rPr>
          <w:rFonts w:ascii="Times New Roman" w:hAnsi="Times New Roman"/>
          <w:bCs/>
          <w:i/>
          <w:szCs w:val="22"/>
        </w:rPr>
        <w:t>Jurnal</w:t>
      </w:r>
      <w:proofErr w:type="spellEnd"/>
      <w:r>
        <w:rPr>
          <w:rFonts w:ascii="Times New Roman" w:hAnsi="Times New Roman"/>
          <w:bCs/>
          <w:i/>
          <w:szCs w:val="22"/>
        </w:rPr>
        <w:t xml:space="preserve"> Flywheel</w:t>
      </w:r>
      <w:r>
        <w:rPr>
          <w:rFonts w:ascii="Times New Roman" w:hAnsi="Times New Roman"/>
          <w:bCs/>
          <w:szCs w:val="22"/>
        </w:rPr>
        <w:t xml:space="preserve">. Volume 1, </w:t>
      </w:r>
      <w:proofErr w:type="spellStart"/>
      <w:r>
        <w:rPr>
          <w:rFonts w:ascii="Times New Roman" w:hAnsi="Times New Roman"/>
          <w:bCs/>
          <w:szCs w:val="22"/>
        </w:rPr>
        <w:t>Nomor</w:t>
      </w:r>
      <w:proofErr w:type="spellEnd"/>
      <w:r>
        <w:rPr>
          <w:rFonts w:ascii="Times New Roman" w:hAnsi="Times New Roman"/>
          <w:bCs/>
          <w:szCs w:val="22"/>
        </w:rPr>
        <w:t xml:space="preserve"> 2.</w:t>
      </w:r>
      <w:bookmarkEnd w:id="3"/>
    </w:p>
    <w:p w:rsidR="009B1EF8" w:rsidRDefault="007E6960" w:rsidP="009B1EF8">
      <w:pPr>
        <w:ind w:left="709" w:hanging="709"/>
        <w:jc w:val="both"/>
        <w:rPr>
          <w:rFonts w:ascii="Times New Roman" w:hAnsi="Times New Roman"/>
          <w:bCs/>
          <w:szCs w:val="22"/>
        </w:rPr>
      </w:pPr>
      <w:r>
        <w:rPr>
          <w:rFonts w:ascii="Times New Roman" w:hAnsi="Times New Roman"/>
          <w:bCs/>
          <w:szCs w:val="22"/>
        </w:rPr>
        <w:t>[6]</w:t>
      </w:r>
      <w:r>
        <w:rPr>
          <w:rFonts w:ascii="Times New Roman" w:hAnsi="Times New Roman"/>
          <w:bCs/>
          <w:szCs w:val="22"/>
        </w:rPr>
        <w:tab/>
        <w:t xml:space="preserve">K.A. </w:t>
      </w:r>
      <w:proofErr w:type="spellStart"/>
      <w:r>
        <w:rPr>
          <w:rFonts w:ascii="Times New Roman" w:hAnsi="Times New Roman"/>
          <w:bCs/>
          <w:szCs w:val="22"/>
        </w:rPr>
        <w:t>Widi</w:t>
      </w:r>
      <w:proofErr w:type="spellEnd"/>
      <w:r>
        <w:rPr>
          <w:rFonts w:ascii="Times New Roman" w:hAnsi="Times New Roman"/>
          <w:bCs/>
          <w:szCs w:val="22"/>
        </w:rPr>
        <w:t xml:space="preserve">, I. </w:t>
      </w:r>
      <w:proofErr w:type="spellStart"/>
      <w:r>
        <w:rPr>
          <w:rFonts w:ascii="Times New Roman" w:hAnsi="Times New Roman"/>
          <w:bCs/>
          <w:szCs w:val="22"/>
        </w:rPr>
        <w:t>Wardana</w:t>
      </w:r>
      <w:proofErr w:type="spellEnd"/>
      <w:r>
        <w:rPr>
          <w:rFonts w:ascii="Times New Roman" w:hAnsi="Times New Roman"/>
          <w:bCs/>
          <w:szCs w:val="22"/>
        </w:rPr>
        <w:t xml:space="preserve">, W. </w:t>
      </w:r>
      <w:proofErr w:type="spellStart"/>
      <w:r>
        <w:rPr>
          <w:rFonts w:ascii="Times New Roman" w:hAnsi="Times New Roman"/>
          <w:bCs/>
          <w:szCs w:val="22"/>
        </w:rPr>
        <w:t>Suprapto</w:t>
      </w:r>
      <w:proofErr w:type="spellEnd"/>
      <w:r>
        <w:rPr>
          <w:rFonts w:ascii="Times New Roman" w:hAnsi="Times New Roman"/>
          <w:bCs/>
          <w:szCs w:val="22"/>
        </w:rPr>
        <w:t xml:space="preserve">, Y.S. </w:t>
      </w:r>
      <w:proofErr w:type="spellStart"/>
      <w:r>
        <w:rPr>
          <w:rFonts w:ascii="Times New Roman" w:hAnsi="Times New Roman"/>
          <w:bCs/>
          <w:szCs w:val="22"/>
        </w:rPr>
        <w:t>Irawan</w:t>
      </w:r>
      <w:proofErr w:type="spellEnd"/>
      <w:r>
        <w:rPr>
          <w:rFonts w:ascii="Times New Roman" w:hAnsi="Times New Roman"/>
          <w:bCs/>
          <w:szCs w:val="22"/>
        </w:rPr>
        <w:t xml:space="preserve">, The Role of Diffusion Media in Nitriding Process on Surface Layers Characteristics of AISI 4140 with and without Hard Chrome Coatings, </w:t>
      </w:r>
      <w:r>
        <w:rPr>
          <w:rFonts w:ascii="Times New Roman" w:hAnsi="Times New Roman"/>
          <w:bCs/>
          <w:i/>
          <w:szCs w:val="22"/>
        </w:rPr>
        <w:t>Tribology in Industry Vol. 38, No. 3</w:t>
      </w:r>
      <w:r>
        <w:rPr>
          <w:rFonts w:ascii="Times New Roman" w:hAnsi="Times New Roman"/>
          <w:bCs/>
          <w:szCs w:val="22"/>
        </w:rPr>
        <w:t xml:space="preserve"> (2016) 308-317 </w:t>
      </w:r>
    </w:p>
    <w:p w:rsidR="009B1EF8" w:rsidRDefault="009B1EF8" w:rsidP="009B1EF8">
      <w:pPr>
        <w:ind w:left="709" w:hanging="709"/>
        <w:jc w:val="both"/>
        <w:rPr>
          <w:rFonts w:ascii="Times New Roman" w:hAnsi="Times New Roman"/>
          <w:bCs/>
          <w:szCs w:val="22"/>
        </w:rPr>
      </w:pPr>
      <w:r>
        <w:rPr>
          <w:rFonts w:ascii="Times New Roman" w:hAnsi="Times New Roman"/>
          <w:bCs/>
          <w:szCs w:val="22"/>
        </w:rPr>
        <w:t>[7]</w:t>
      </w:r>
      <w:r>
        <w:rPr>
          <w:rFonts w:ascii="Times New Roman" w:hAnsi="Times New Roman"/>
          <w:bCs/>
          <w:szCs w:val="22"/>
        </w:rPr>
        <w:tab/>
      </w:r>
      <w:proofErr w:type="spellStart"/>
      <w:r>
        <w:rPr>
          <w:rFonts w:ascii="Times New Roman" w:hAnsi="Times New Roman"/>
          <w:bCs/>
          <w:szCs w:val="22"/>
        </w:rPr>
        <w:t>Wayan</w:t>
      </w:r>
      <w:proofErr w:type="spellEnd"/>
      <w:r>
        <w:rPr>
          <w:rFonts w:ascii="Times New Roman" w:hAnsi="Times New Roman"/>
          <w:bCs/>
          <w:szCs w:val="22"/>
        </w:rPr>
        <w:t xml:space="preserve"> </w:t>
      </w:r>
      <w:proofErr w:type="spellStart"/>
      <w:r>
        <w:rPr>
          <w:rFonts w:ascii="Times New Roman" w:hAnsi="Times New Roman"/>
          <w:bCs/>
          <w:szCs w:val="22"/>
        </w:rPr>
        <w:t>Sujana</w:t>
      </w:r>
      <w:proofErr w:type="spellEnd"/>
      <w:r>
        <w:rPr>
          <w:rFonts w:ascii="Times New Roman" w:hAnsi="Times New Roman"/>
          <w:bCs/>
          <w:szCs w:val="22"/>
        </w:rPr>
        <w:t xml:space="preserve">, Komang Astana </w:t>
      </w:r>
      <w:proofErr w:type="spellStart"/>
      <w:r>
        <w:rPr>
          <w:rFonts w:ascii="Times New Roman" w:hAnsi="Times New Roman"/>
          <w:bCs/>
          <w:szCs w:val="22"/>
        </w:rPr>
        <w:t>Widi</w:t>
      </w:r>
      <w:proofErr w:type="spellEnd"/>
      <w:r>
        <w:rPr>
          <w:rFonts w:ascii="Times New Roman" w:hAnsi="Times New Roman"/>
          <w:bCs/>
          <w:szCs w:val="22"/>
        </w:rPr>
        <w:t xml:space="preserve">, 2017, Compared of Surface Roughness Nitride Layers formed on Carbon and Low Alloy steel, </w:t>
      </w:r>
      <w:r>
        <w:rPr>
          <w:rFonts w:ascii="Times New Roman" w:hAnsi="Times New Roman"/>
          <w:bCs/>
          <w:i/>
          <w:szCs w:val="22"/>
        </w:rPr>
        <w:t>International Journal of Engineering Research &amp; Science (IJOER)</w:t>
      </w:r>
      <w:r>
        <w:rPr>
          <w:rFonts w:ascii="Times New Roman" w:hAnsi="Times New Roman"/>
          <w:bCs/>
          <w:szCs w:val="22"/>
        </w:rPr>
        <w:t xml:space="preserve">, Vol-3, Issue-5, May- 2017, ISSN: [2395-6992] </w:t>
      </w:r>
    </w:p>
    <w:p w:rsidR="009B1EF8" w:rsidRDefault="007E6960" w:rsidP="009B1EF8">
      <w:pPr>
        <w:ind w:left="709" w:hanging="709"/>
        <w:jc w:val="both"/>
        <w:rPr>
          <w:rFonts w:ascii="Times New Roman" w:hAnsi="Times New Roman"/>
          <w:bCs/>
          <w:szCs w:val="22"/>
        </w:rPr>
      </w:pPr>
      <w:r>
        <w:rPr>
          <w:rFonts w:ascii="Times New Roman" w:hAnsi="Times New Roman"/>
          <w:bCs/>
          <w:szCs w:val="22"/>
        </w:rPr>
        <w:t xml:space="preserve">[8] </w:t>
      </w:r>
      <w:r>
        <w:rPr>
          <w:rFonts w:ascii="Times New Roman" w:hAnsi="Times New Roman"/>
          <w:bCs/>
          <w:szCs w:val="22"/>
        </w:rPr>
        <w:tab/>
      </w:r>
      <w:proofErr w:type="spellStart"/>
      <w:r>
        <w:rPr>
          <w:rFonts w:ascii="Times New Roman" w:hAnsi="Times New Roman"/>
          <w:bCs/>
          <w:szCs w:val="22"/>
        </w:rPr>
        <w:t>Rahayu</w:t>
      </w:r>
      <w:proofErr w:type="spellEnd"/>
      <w:r>
        <w:rPr>
          <w:rFonts w:ascii="Times New Roman" w:hAnsi="Times New Roman"/>
          <w:bCs/>
          <w:szCs w:val="22"/>
        </w:rPr>
        <w:t xml:space="preserve"> Sri, </w:t>
      </w:r>
      <w:proofErr w:type="spellStart"/>
      <w:r>
        <w:rPr>
          <w:rFonts w:ascii="Times New Roman" w:hAnsi="Times New Roman"/>
          <w:bCs/>
          <w:szCs w:val="22"/>
        </w:rPr>
        <w:t>Setiawan</w:t>
      </w:r>
      <w:proofErr w:type="spellEnd"/>
      <w:r>
        <w:rPr>
          <w:rFonts w:ascii="Times New Roman" w:hAnsi="Times New Roman"/>
          <w:bCs/>
          <w:szCs w:val="22"/>
        </w:rPr>
        <w:t xml:space="preserve"> </w:t>
      </w:r>
      <w:proofErr w:type="spellStart"/>
      <w:r>
        <w:rPr>
          <w:rFonts w:ascii="Times New Roman" w:hAnsi="Times New Roman"/>
          <w:bCs/>
          <w:szCs w:val="22"/>
        </w:rPr>
        <w:t>Ngainum</w:t>
      </w:r>
      <w:proofErr w:type="spellEnd"/>
      <w:r>
        <w:rPr>
          <w:rFonts w:ascii="Times New Roman" w:hAnsi="Times New Roman"/>
          <w:bCs/>
          <w:szCs w:val="22"/>
        </w:rPr>
        <w:t xml:space="preserve">, </w:t>
      </w:r>
      <w:proofErr w:type="spellStart"/>
      <w:r>
        <w:rPr>
          <w:rFonts w:ascii="Times New Roman" w:hAnsi="Times New Roman"/>
          <w:bCs/>
          <w:szCs w:val="22"/>
        </w:rPr>
        <w:t>Virdhian</w:t>
      </w:r>
      <w:proofErr w:type="spellEnd"/>
      <w:r>
        <w:rPr>
          <w:rFonts w:ascii="Times New Roman" w:hAnsi="Times New Roman"/>
          <w:bCs/>
          <w:szCs w:val="22"/>
        </w:rPr>
        <w:t xml:space="preserve"> </w:t>
      </w:r>
      <w:proofErr w:type="spellStart"/>
      <w:r>
        <w:rPr>
          <w:rFonts w:ascii="Times New Roman" w:hAnsi="Times New Roman"/>
          <w:bCs/>
          <w:szCs w:val="22"/>
        </w:rPr>
        <w:t>Shinta</w:t>
      </w:r>
      <w:proofErr w:type="spellEnd"/>
      <w:r>
        <w:rPr>
          <w:rFonts w:ascii="Times New Roman" w:hAnsi="Times New Roman"/>
          <w:bCs/>
          <w:szCs w:val="22"/>
        </w:rPr>
        <w:t xml:space="preserve">, </w:t>
      </w:r>
      <w:proofErr w:type="spellStart"/>
      <w:r>
        <w:rPr>
          <w:rFonts w:ascii="Times New Roman" w:hAnsi="Times New Roman"/>
          <w:bCs/>
          <w:szCs w:val="22"/>
        </w:rPr>
        <w:t>Suhendi</w:t>
      </w:r>
      <w:proofErr w:type="spellEnd"/>
      <w:r>
        <w:rPr>
          <w:rFonts w:ascii="Times New Roman" w:hAnsi="Times New Roman"/>
          <w:bCs/>
          <w:szCs w:val="22"/>
        </w:rPr>
        <w:t xml:space="preserve"> </w:t>
      </w:r>
      <w:proofErr w:type="spellStart"/>
      <w:r>
        <w:rPr>
          <w:rFonts w:ascii="Times New Roman" w:hAnsi="Times New Roman"/>
          <w:bCs/>
          <w:szCs w:val="22"/>
        </w:rPr>
        <w:t>Endi</w:t>
      </w:r>
      <w:proofErr w:type="spellEnd"/>
      <w:r>
        <w:rPr>
          <w:rFonts w:ascii="Times New Roman" w:hAnsi="Times New Roman"/>
          <w:bCs/>
          <w:szCs w:val="22"/>
        </w:rPr>
        <w:t xml:space="preserve"> (2017). </w:t>
      </w:r>
      <w:proofErr w:type="spellStart"/>
      <w:r>
        <w:rPr>
          <w:rFonts w:ascii="Times New Roman" w:hAnsi="Times New Roman"/>
          <w:bCs/>
          <w:szCs w:val="22"/>
        </w:rPr>
        <w:t>Pengaruh</w:t>
      </w:r>
      <w:proofErr w:type="spellEnd"/>
      <w:r>
        <w:rPr>
          <w:rFonts w:ascii="Times New Roman" w:hAnsi="Times New Roman"/>
          <w:bCs/>
          <w:szCs w:val="22"/>
        </w:rPr>
        <w:t xml:space="preserve"> Proses Powder Nitriding </w:t>
      </w:r>
      <w:proofErr w:type="spellStart"/>
      <w:r>
        <w:rPr>
          <w:rFonts w:ascii="Times New Roman" w:hAnsi="Times New Roman"/>
          <w:bCs/>
          <w:szCs w:val="22"/>
        </w:rPr>
        <w:t>Terhadap</w:t>
      </w:r>
      <w:proofErr w:type="spellEnd"/>
      <w:r>
        <w:rPr>
          <w:rFonts w:ascii="Times New Roman" w:hAnsi="Times New Roman"/>
          <w:bCs/>
          <w:szCs w:val="22"/>
        </w:rPr>
        <w:t xml:space="preserve"> </w:t>
      </w:r>
      <w:proofErr w:type="spellStart"/>
      <w:r>
        <w:rPr>
          <w:rFonts w:ascii="Times New Roman" w:hAnsi="Times New Roman"/>
          <w:bCs/>
          <w:szCs w:val="22"/>
        </w:rPr>
        <w:t>Perubahan</w:t>
      </w:r>
      <w:proofErr w:type="spellEnd"/>
      <w:r>
        <w:rPr>
          <w:rFonts w:ascii="Times New Roman" w:hAnsi="Times New Roman"/>
          <w:bCs/>
          <w:szCs w:val="22"/>
        </w:rPr>
        <w:t xml:space="preserve"> </w:t>
      </w:r>
      <w:proofErr w:type="spellStart"/>
      <w:r>
        <w:rPr>
          <w:rFonts w:ascii="Times New Roman" w:hAnsi="Times New Roman"/>
          <w:bCs/>
          <w:szCs w:val="22"/>
        </w:rPr>
        <w:t>Kekerasan</w:t>
      </w:r>
      <w:proofErr w:type="spellEnd"/>
      <w:r>
        <w:rPr>
          <w:rFonts w:ascii="Times New Roman" w:hAnsi="Times New Roman"/>
          <w:bCs/>
          <w:szCs w:val="22"/>
        </w:rPr>
        <w:t xml:space="preserve"> Dan </w:t>
      </w:r>
      <w:proofErr w:type="spellStart"/>
      <w:r>
        <w:rPr>
          <w:rFonts w:ascii="Times New Roman" w:hAnsi="Times New Roman"/>
          <w:bCs/>
          <w:szCs w:val="22"/>
        </w:rPr>
        <w:t>Ketebalan</w:t>
      </w:r>
      <w:proofErr w:type="spellEnd"/>
      <w:r>
        <w:rPr>
          <w:rFonts w:ascii="Times New Roman" w:hAnsi="Times New Roman"/>
          <w:bCs/>
          <w:szCs w:val="22"/>
        </w:rPr>
        <w:t xml:space="preserve"> </w:t>
      </w:r>
      <w:proofErr w:type="spellStart"/>
      <w:r>
        <w:rPr>
          <w:rFonts w:ascii="Times New Roman" w:hAnsi="Times New Roman"/>
          <w:bCs/>
          <w:szCs w:val="22"/>
        </w:rPr>
        <w:t>Lapisan</w:t>
      </w:r>
      <w:proofErr w:type="spellEnd"/>
      <w:r>
        <w:rPr>
          <w:rFonts w:ascii="Times New Roman" w:hAnsi="Times New Roman"/>
          <w:bCs/>
          <w:szCs w:val="22"/>
        </w:rPr>
        <w:t xml:space="preserve"> </w:t>
      </w:r>
      <w:proofErr w:type="spellStart"/>
      <w:r>
        <w:rPr>
          <w:rFonts w:ascii="Times New Roman" w:hAnsi="Times New Roman"/>
          <w:bCs/>
          <w:szCs w:val="22"/>
        </w:rPr>
        <w:t>Difusi</w:t>
      </w:r>
      <w:proofErr w:type="spellEnd"/>
      <w:r>
        <w:rPr>
          <w:rFonts w:ascii="Times New Roman" w:hAnsi="Times New Roman"/>
          <w:bCs/>
          <w:szCs w:val="22"/>
        </w:rPr>
        <w:t xml:space="preserve"> Pada </w:t>
      </w:r>
      <w:proofErr w:type="spellStart"/>
      <w:r>
        <w:rPr>
          <w:rFonts w:ascii="Times New Roman" w:hAnsi="Times New Roman"/>
          <w:bCs/>
          <w:szCs w:val="22"/>
        </w:rPr>
        <w:t>Pahat</w:t>
      </w:r>
      <w:proofErr w:type="spellEnd"/>
      <w:r>
        <w:rPr>
          <w:rFonts w:ascii="Times New Roman" w:hAnsi="Times New Roman"/>
          <w:bCs/>
          <w:szCs w:val="22"/>
        </w:rPr>
        <w:t xml:space="preserve"> </w:t>
      </w:r>
      <w:proofErr w:type="spellStart"/>
      <w:r>
        <w:rPr>
          <w:rFonts w:ascii="Times New Roman" w:hAnsi="Times New Roman"/>
          <w:bCs/>
          <w:szCs w:val="22"/>
        </w:rPr>
        <w:t>Bubut</w:t>
      </w:r>
      <w:proofErr w:type="spellEnd"/>
      <w:r>
        <w:rPr>
          <w:rFonts w:ascii="Times New Roman" w:hAnsi="Times New Roman"/>
          <w:bCs/>
          <w:szCs w:val="22"/>
        </w:rPr>
        <w:t xml:space="preserve"> High Speed Steel. JML Vol. 39 No. 1 </w:t>
      </w:r>
      <w:proofErr w:type="spellStart"/>
      <w:r>
        <w:rPr>
          <w:rFonts w:ascii="Times New Roman" w:hAnsi="Times New Roman"/>
          <w:bCs/>
          <w:szCs w:val="22"/>
        </w:rPr>
        <w:t>Juni</w:t>
      </w:r>
      <w:proofErr w:type="spellEnd"/>
      <w:r>
        <w:rPr>
          <w:rFonts w:ascii="Times New Roman" w:hAnsi="Times New Roman"/>
          <w:bCs/>
          <w:szCs w:val="22"/>
        </w:rPr>
        <w:t xml:space="preserve"> 2017.</w:t>
      </w:r>
    </w:p>
    <w:p w:rsidR="008E3AF8" w:rsidRDefault="007E6960" w:rsidP="009B1EF8">
      <w:pPr>
        <w:ind w:left="709" w:hanging="709"/>
        <w:jc w:val="both"/>
        <w:rPr>
          <w:rFonts w:ascii="Times New Roman" w:hAnsi="Times New Roman"/>
          <w:bCs/>
          <w:szCs w:val="22"/>
        </w:rPr>
      </w:pPr>
      <w:r>
        <w:rPr>
          <w:rFonts w:ascii="Times New Roman" w:hAnsi="Times New Roman"/>
          <w:bCs/>
          <w:szCs w:val="22"/>
        </w:rPr>
        <w:t>[9]</w:t>
      </w:r>
      <w:r>
        <w:rPr>
          <w:rFonts w:ascii="Times New Roman" w:hAnsi="Times New Roman"/>
          <w:bCs/>
          <w:szCs w:val="22"/>
        </w:rPr>
        <w:tab/>
      </w:r>
      <w:proofErr w:type="spellStart"/>
      <w:proofErr w:type="gramStart"/>
      <w:r>
        <w:rPr>
          <w:rFonts w:ascii="Times New Roman" w:hAnsi="Times New Roman"/>
          <w:bCs/>
          <w:szCs w:val="22"/>
        </w:rPr>
        <w:t>W.Sujana</w:t>
      </w:r>
      <w:proofErr w:type="gramEnd"/>
      <w:r>
        <w:rPr>
          <w:rFonts w:ascii="Times New Roman" w:hAnsi="Times New Roman"/>
          <w:bCs/>
          <w:szCs w:val="22"/>
        </w:rPr>
        <w:t>,K</w:t>
      </w:r>
      <w:proofErr w:type="spellEnd"/>
      <w:r>
        <w:rPr>
          <w:rFonts w:ascii="Times New Roman" w:hAnsi="Times New Roman"/>
          <w:bCs/>
          <w:szCs w:val="22"/>
        </w:rPr>
        <w:t xml:space="preserve">. </w:t>
      </w:r>
      <w:proofErr w:type="spellStart"/>
      <w:proofErr w:type="gramStart"/>
      <w:r>
        <w:rPr>
          <w:rFonts w:ascii="Times New Roman" w:hAnsi="Times New Roman"/>
          <w:bCs/>
          <w:szCs w:val="22"/>
        </w:rPr>
        <w:t>A.Widi</w:t>
      </w:r>
      <w:proofErr w:type="spellEnd"/>
      <w:proofErr w:type="gramEnd"/>
      <w:r>
        <w:rPr>
          <w:rFonts w:ascii="Times New Roman" w:hAnsi="Times New Roman"/>
          <w:bCs/>
          <w:szCs w:val="22"/>
        </w:rPr>
        <w:t xml:space="preserve">. 2016. </w:t>
      </w:r>
      <w:proofErr w:type="spellStart"/>
      <w:r>
        <w:rPr>
          <w:rFonts w:ascii="Times New Roman" w:hAnsi="Times New Roman"/>
          <w:bCs/>
          <w:szCs w:val="22"/>
        </w:rPr>
        <w:t>Serbuk</w:t>
      </w:r>
      <w:proofErr w:type="spellEnd"/>
      <w:r>
        <w:rPr>
          <w:rFonts w:ascii="Times New Roman" w:hAnsi="Times New Roman"/>
          <w:bCs/>
          <w:szCs w:val="22"/>
        </w:rPr>
        <w:t xml:space="preserve"> Alumina </w:t>
      </w:r>
      <w:proofErr w:type="spellStart"/>
      <w:r>
        <w:rPr>
          <w:rFonts w:ascii="Times New Roman" w:hAnsi="Times New Roman"/>
          <w:bCs/>
          <w:szCs w:val="22"/>
        </w:rPr>
        <w:t>Sebagai</w:t>
      </w:r>
      <w:proofErr w:type="spellEnd"/>
      <w:r>
        <w:rPr>
          <w:rFonts w:ascii="Times New Roman" w:hAnsi="Times New Roman"/>
          <w:bCs/>
          <w:szCs w:val="22"/>
        </w:rPr>
        <w:t xml:space="preserve"> </w:t>
      </w:r>
      <w:proofErr w:type="spellStart"/>
      <w:r>
        <w:rPr>
          <w:rFonts w:ascii="Times New Roman" w:hAnsi="Times New Roman"/>
          <w:bCs/>
          <w:szCs w:val="22"/>
        </w:rPr>
        <w:t>Katalis</w:t>
      </w:r>
      <w:proofErr w:type="spellEnd"/>
      <w:r>
        <w:rPr>
          <w:rFonts w:ascii="Times New Roman" w:hAnsi="Times New Roman"/>
          <w:bCs/>
          <w:szCs w:val="22"/>
        </w:rPr>
        <w:t xml:space="preserve"> </w:t>
      </w:r>
      <w:proofErr w:type="spellStart"/>
      <w:r>
        <w:rPr>
          <w:rFonts w:ascii="Times New Roman" w:hAnsi="Times New Roman"/>
          <w:bCs/>
          <w:szCs w:val="22"/>
        </w:rPr>
        <w:t>Didalam</w:t>
      </w:r>
      <w:proofErr w:type="spellEnd"/>
      <w:r>
        <w:rPr>
          <w:rFonts w:ascii="Times New Roman" w:hAnsi="Times New Roman"/>
          <w:bCs/>
          <w:szCs w:val="22"/>
        </w:rPr>
        <w:t xml:space="preserve"> </w:t>
      </w:r>
      <w:proofErr w:type="spellStart"/>
      <w:r>
        <w:rPr>
          <w:rFonts w:ascii="Times New Roman" w:hAnsi="Times New Roman"/>
          <w:bCs/>
          <w:szCs w:val="22"/>
        </w:rPr>
        <w:t>Reaktor</w:t>
      </w:r>
      <w:proofErr w:type="spellEnd"/>
      <w:r>
        <w:rPr>
          <w:rFonts w:ascii="Times New Roman" w:hAnsi="Times New Roman"/>
          <w:bCs/>
          <w:szCs w:val="22"/>
        </w:rPr>
        <w:t xml:space="preserve"> Fluidised Bed. </w:t>
      </w:r>
      <w:proofErr w:type="spellStart"/>
      <w:r>
        <w:rPr>
          <w:rFonts w:ascii="Times New Roman" w:hAnsi="Times New Roman"/>
          <w:bCs/>
          <w:i/>
          <w:szCs w:val="22"/>
        </w:rPr>
        <w:t>Jurnal</w:t>
      </w:r>
      <w:proofErr w:type="spellEnd"/>
      <w:r>
        <w:rPr>
          <w:rFonts w:ascii="Times New Roman" w:hAnsi="Times New Roman"/>
          <w:bCs/>
          <w:i/>
          <w:szCs w:val="22"/>
        </w:rPr>
        <w:t xml:space="preserve"> Flywheel</w:t>
      </w:r>
      <w:r>
        <w:rPr>
          <w:rFonts w:ascii="Times New Roman" w:hAnsi="Times New Roman"/>
          <w:bCs/>
          <w:szCs w:val="22"/>
        </w:rPr>
        <w:t xml:space="preserve">. Volume 7, </w:t>
      </w:r>
      <w:proofErr w:type="spellStart"/>
      <w:r>
        <w:rPr>
          <w:rFonts w:ascii="Times New Roman" w:hAnsi="Times New Roman"/>
          <w:bCs/>
          <w:szCs w:val="22"/>
        </w:rPr>
        <w:t>Nomor</w:t>
      </w:r>
      <w:proofErr w:type="spellEnd"/>
      <w:r>
        <w:rPr>
          <w:rFonts w:ascii="Times New Roman" w:hAnsi="Times New Roman"/>
          <w:bCs/>
          <w:szCs w:val="22"/>
        </w:rPr>
        <w:t xml:space="preserve"> 1.</w:t>
      </w:r>
    </w:p>
    <w:p w:rsidR="008E3AF8" w:rsidRDefault="008E3AF8">
      <w:pPr>
        <w:pStyle w:val="nova-e-listitem"/>
      </w:pPr>
    </w:p>
    <w:p w:rsidR="008E3AF8" w:rsidRDefault="008E3AF8">
      <w:pPr>
        <w:pStyle w:val="BodyChar"/>
        <w:rPr>
          <w:rFonts w:ascii="Times New Roman" w:hAnsi="Times New Roman"/>
        </w:rPr>
      </w:pPr>
    </w:p>
    <w:sectPr w:rsidR="008E3AF8">
      <w:headerReference w:type="default" r:id="rId47"/>
      <w:footerReference w:type="default" r:id="rId48"/>
      <w:footnotePr>
        <w:pos w:val="beneathText"/>
      </w:footnotePr>
      <w:endnotePr>
        <w:numFmt w:val="chicago"/>
        <w:numStart w:val="4"/>
      </w:endnotePr>
      <w:pgSz w:w="11907" w:h="16840"/>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A53" w:rsidRDefault="00EF6A53">
      <w:r>
        <w:separator/>
      </w:r>
    </w:p>
  </w:endnote>
  <w:endnote w:type="continuationSeparator" w:id="0">
    <w:p w:rsidR="00EF6A53" w:rsidRDefault="00EF6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AF8" w:rsidRDefault="008E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A53" w:rsidRDefault="00EF6A53">
      <w:r>
        <w:separator/>
      </w:r>
    </w:p>
  </w:footnote>
  <w:footnote w:type="continuationSeparator" w:id="0">
    <w:p w:rsidR="00EF6A53" w:rsidRDefault="00EF6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AF8" w:rsidRDefault="008E3AF8">
    <w:pPr>
      <w:pStyle w:val="Header"/>
    </w:pPr>
  </w:p>
  <w:p w:rsidR="008E3AF8" w:rsidRDefault="008E3AF8">
    <w:pPr>
      <w:pStyle w:val="Header"/>
    </w:pPr>
  </w:p>
  <w:p w:rsidR="008E3AF8" w:rsidRDefault="008E3AF8">
    <w:pPr>
      <w:pStyle w:val="Header"/>
    </w:pPr>
  </w:p>
  <w:p w:rsidR="008E3AF8" w:rsidRDefault="008E3AF8">
    <w:pPr>
      <w:pStyle w:val="Header"/>
    </w:pPr>
  </w:p>
  <w:p w:rsidR="008E3AF8" w:rsidRDefault="008E3AF8">
    <w:pPr>
      <w:pStyle w:val="Header"/>
    </w:pPr>
  </w:p>
  <w:p w:rsidR="008E3AF8" w:rsidRDefault="008E3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761422B"/>
    <w:multiLevelType w:val="multilevel"/>
    <w:tmpl w:val="0761422B"/>
    <w:lvl w:ilvl="0">
      <w:start w:val="1"/>
      <w:numFmt w:val="decimal"/>
      <w:pStyle w:val="StylesectionBefore0pt"/>
      <w:lvlText w:val="%1."/>
      <w:lvlJc w:val="left"/>
      <w:pPr>
        <w:tabs>
          <w:tab w:val="left" w:pos="851"/>
        </w:tabs>
        <w:ind w:left="0" w:firstLine="0"/>
      </w:pPr>
      <w:rPr>
        <w:rFonts w:hint="default"/>
      </w:rPr>
    </w:lvl>
    <w:lvl w:ilvl="1">
      <w:start w:val="1"/>
      <w:numFmt w:val="decimal"/>
      <w:lvlText w:val="%1.%2."/>
      <w:lvlJc w:val="left"/>
      <w:pPr>
        <w:tabs>
          <w:tab w:val="left" w:pos="851"/>
        </w:tabs>
        <w:ind w:left="851" w:hanging="851"/>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1" w15:restartNumberingAfterBreak="0">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20A1719C"/>
    <w:multiLevelType w:val="multilevel"/>
    <w:tmpl w:val="20A1719C"/>
    <w:lvl w:ilvl="0">
      <w:start w:val="1"/>
      <w:numFmt w:val="upperRoman"/>
      <w:pStyle w:val="Heading1"/>
      <w:lvlText w:val="Article %1."/>
      <w:lvlJc w:val="left"/>
      <w:pPr>
        <w:tabs>
          <w:tab w:val="left" w:pos="1440"/>
        </w:tabs>
        <w:ind w:left="0" w:firstLine="0"/>
      </w:pPr>
    </w:lvl>
    <w:lvl w:ilvl="1">
      <w:start w:val="1"/>
      <w:numFmt w:val="decimalZero"/>
      <w:pStyle w:val="Heading2"/>
      <w:isLgl/>
      <w:lvlText w:val="Section %1.%2"/>
      <w:lvlJc w:val="left"/>
      <w:pPr>
        <w:tabs>
          <w:tab w:val="left" w:pos="108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abstractNum w:abstractNumId="13" w15:restartNumberingAfterBreak="0">
    <w:nsid w:val="63FF09B4"/>
    <w:multiLevelType w:val="multilevel"/>
    <w:tmpl w:val="63FF09B4"/>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4" w15:restartNumberingAfterBreak="0">
    <w:nsid w:val="7E025F0A"/>
    <w:multiLevelType w:val="multilevel"/>
    <w:tmpl w:val="7E025F0A"/>
    <w:lvl w:ilvl="0">
      <w:start w:val="1"/>
      <w:numFmt w:val="decimal"/>
      <w:pStyle w:val="Numbered"/>
      <w:lvlText w:val="%1."/>
      <w:lvlJc w:val="left"/>
      <w:pPr>
        <w:tabs>
          <w:tab w:val="left" w:pos="993"/>
        </w:tabs>
        <w:ind w:left="142" w:firstLine="0"/>
      </w:pPr>
      <w:rPr>
        <w:rFonts w:hint="default"/>
      </w:rPr>
    </w:lvl>
    <w:lvl w:ilvl="1">
      <w:start w:val="1"/>
      <w:numFmt w:val="decimal"/>
      <w:lvlText w:val="%1.%2."/>
      <w:lvlJc w:val="left"/>
      <w:pPr>
        <w:tabs>
          <w:tab w:val="left" w:pos="851"/>
        </w:tabs>
        <w:ind w:left="851" w:hanging="851"/>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drawingGridHorizontalOrigin w:val="1800"/>
  <w:drawingGridVerticalOrigin w:val="1440"/>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47C3A"/>
    <w:rsid w:val="0005020E"/>
    <w:rsid w:val="000B6F27"/>
    <w:rsid w:val="000C017B"/>
    <w:rsid w:val="0011437C"/>
    <w:rsid w:val="00137524"/>
    <w:rsid w:val="00165E82"/>
    <w:rsid w:val="0017062B"/>
    <w:rsid w:val="001A32F4"/>
    <w:rsid w:val="002A503F"/>
    <w:rsid w:val="002C0FB4"/>
    <w:rsid w:val="002E6744"/>
    <w:rsid w:val="00323EE0"/>
    <w:rsid w:val="003608F8"/>
    <w:rsid w:val="0043154C"/>
    <w:rsid w:val="00480A2E"/>
    <w:rsid w:val="00521A70"/>
    <w:rsid w:val="0053181C"/>
    <w:rsid w:val="005C24F9"/>
    <w:rsid w:val="005F03B4"/>
    <w:rsid w:val="005F2D2D"/>
    <w:rsid w:val="006E22E8"/>
    <w:rsid w:val="006E490A"/>
    <w:rsid w:val="00721922"/>
    <w:rsid w:val="00776BE9"/>
    <w:rsid w:val="007A5ED1"/>
    <w:rsid w:val="007C4B34"/>
    <w:rsid w:val="007E6960"/>
    <w:rsid w:val="00805816"/>
    <w:rsid w:val="00810335"/>
    <w:rsid w:val="00895A9D"/>
    <w:rsid w:val="008E20F8"/>
    <w:rsid w:val="008E3AF8"/>
    <w:rsid w:val="00935719"/>
    <w:rsid w:val="009406AF"/>
    <w:rsid w:val="00982A5D"/>
    <w:rsid w:val="00996CFC"/>
    <w:rsid w:val="009A169E"/>
    <w:rsid w:val="009B1EF8"/>
    <w:rsid w:val="009C5AB2"/>
    <w:rsid w:val="00A02FAE"/>
    <w:rsid w:val="00A46DD5"/>
    <w:rsid w:val="00AD123A"/>
    <w:rsid w:val="00B65351"/>
    <w:rsid w:val="00B80EB7"/>
    <w:rsid w:val="00BB03D9"/>
    <w:rsid w:val="00BC1D18"/>
    <w:rsid w:val="00CE57CF"/>
    <w:rsid w:val="00D21DD8"/>
    <w:rsid w:val="00D30CE7"/>
    <w:rsid w:val="00D81817"/>
    <w:rsid w:val="00E37283"/>
    <w:rsid w:val="00E77727"/>
    <w:rsid w:val="00EA3F4B"/>
    <w:rsid w:val="00EF6A53"/>
    <w:rsid w:val="00F357E1"/>
    <w:rsid w:val="00F93A39"/>
    <w:rsid w:val="00FA50B3"/>
    <w:rsid w:val="00FD3975"/>
    <w:rsid w:val="00FF0B4A"/>
    <w:rsid w:val="51200074"/>
    <w:rsid w:val="5C707B4F"/>
    <w:rsid w:val="670B17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9520D"/>
  <w15:docId w15:val="{1C9C430E-4DB2-40D4-A804-08A3372F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lsdException w:name="footer" w:semiHidden="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lsdException w:name="envelope return" w:semiHidden="1"/>
    <w:lsdException w:name="footnote reference" w:semiHidden="1"/>
    <w:lsdException w:name="annotation reference" w:semiHidden="1"/>
    <w:lsdException w:name="line number" w:semiHidden="1" w:qFormat="1"/>
    <w:lsdException w:name="page number" w:semiHidden="1" w:qFormat="1"/>
    <w:lsdException w:name="endnote reference" w:semiHidden="1"/>
    <w:lsdException w:name="endnote text" w:semiHidden="1"/>
    <w:lsdException w:name="table of authorities" w:semiHidden="1" w:uiPriority="99" w:unhideWhenUsed="1"/>
    <w:lsdException w:name="macro" w:semiHidden="1" w:uiPriority="99" w:unhideWhenUsed="1"/>
    <w:lsdException w:name="toa heading" w:semiHidden="1" w:uiPriority="99"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qFormat="1"/>
    <w:lsdException w:name="Body Text First Indent 2" w:semiHidden="1"/>
    <w:lsdException w:name="Note Heading" w:semiHidden="1"/>
    <w:lsdException w:name="Body Text 2" w:semiHidden="1" w:qFormat="1"/>
    <w:lsdException w:name="Body Text 3" w:semiHidden="1" w:qFormat="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uiPriority="99" w:unhideWhenUsed="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qFormat="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uiPriority="3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Sabon" w:hAnsi="Sabon"/>
      <w:sz w:val="22"/>
      <w:lang w:val="en-GB"/>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semiHidden/>
    <w:pPr>
      <w:spacing w:after="120"/>
      <w:ind w:left="1440" w:right="1440"/>
    </w:pPr>
  </w:style>
  <w:style w:type="paragraph" w:styleId="BodyText">
    <w:name w:val="Body Text"/>
    <w:basedOn w:val="Normal"/>
    <w:semiHidden/>
    <w:qFormat/>
    <w:pPr>
      <w:spacing w:after="120"/>
    </w:pPr>
  </w:style>
  <w:style w:type="paragraph" w:styleId="BodyText2">
    <w:name w:val="Body Text 2"/>
    <w:basedOn w:val="Normal"/>
    <w:semiHidden/>
    <w:qFormat/>
    <w:pPr>
      <w:spacing w:after="120" w:line="480" w:lineRule="auto"/>
    </w:pPr>
  </w:style>
  <w:style w:type="paragraph" w:styleId="BodyText3">
    <w:name w:val="Body Text 3"/>
    <w:basedOn w:val="Normal"/>
    <w:semiHidden/>
    <w:qFormat/>
    <w:pPr>
      <w:spacing w:after="120"/>
    </w:pPr>
    <w:rPr>
      <w:sz w:val="16"/>
      <w:szCs w:val="16"/>
    </w:rPr>
  </w:style>
  <w:style w:type="paragraph" w:styleId="BodyTextFirstIndent">
    <w:name w:val="Body Text First Indent"/>
    <w:basedOn w:val="BodyText"/>
    <w:semiHidden/>
    <w:qFormat/>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rFonts w:ascii="Times" w:hAnsi="Times"/>
      <w:sz w:val="20"/>
    </w:rPr>
  </w:style>
  <w:style w:type="paragraph" w:styleId="Header">
    <w:name w:val="header"/>
    <w:basedOn w:val="Normal"/>
    <w:semiHidden/>
    <w:pPr>
      <w:tabs>
        <w:tab w:val="center" w:pos="4320"/>
        <w:tab w:val="right" w:pos="8640"/>
      </w:tabs>
    </w:pPr>
  </w:style>
  <w:style w:type="paragraph" w:styleId="HTMLAddress">
    <w:name w:val="HTML Address"/>
    <w:basedOn w:val="Normal"/>
    <w:semiHidden/>
    <w:qFormat/>
    <w:rPr>
      <w:i/>
      <w:iCs/>
    </w:rPr>
  </w:style>
  <w:style w:type="paragraph" w:styleId="HTMLPreformatted">
    <w:name w:val="HTML Preformatted"/>
    <w:basedOn w:val="Normal"/>
    <w:semiHidden/>
    <w:rPr>
      <w:rFonts w:ascii="Courier New" w:hAnsi="Courier New" w:cs="Courier New"/>
      <w:sz w:val="20"/>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cs="Arial"/>
      <w:sz w:val="24"/>
      <w:szCs w:val="24"/>
    </w:rPr>
  </w:style>
  <w:style w:type="paragraph" w:styleId="Title">
    <w:name w:val="Title"/>
    <w:basedOn w:val="Normal"/>
    <w:qFormat/>
    <w:pPr>
      <w:spacing w:before="1588" w:after="567"/>
    </w:pPr>
    <w:rPr>
      <w:rFonts w:ascii="Times" w:hAnsi="Times"/>
      <w:b/>
      <w:sz w:val="34"/>
      <w:szCs w:val="34"/>
    </w:rPr>
  </w:style>
  <w:style w:type="character" w:styleId="CommentReference">
    <w:name w:val="annotation reference"/>
    <w:semiHidden/>
    <w:rPr>
      <w:sz w:val="16"/>
      <w:szCs w:val="16"/>
    </w:rPr>
  </w:style>
  <w:style w:type="character" w:styleId="Emphasis">
    <w:name w:val="Emphasis"/>
    <w:qFormat/>
    <w:rPr>
      <w:i/>
      <w:iCs/>
    </w:rPr>
  </w:style>
  <w:style w:type="character" w:styleId="EndnoteReference">
    <w:name w:val="endnote reference"/>
    <w:semiHidden/>
    <w:rPr>
      <w:vertAlign w:val="superscript"/>
    </w:rPr>
  </w:style>
  <w:style w:type="character" w:styleId="FollowedHyperlink">
    <w:name w:val="FollowedHyperlink"/>
    <w:semiHidden/>
    <w:rPr>
      <w:color w:val="800080"/>
      <w:u w:val="single"/>
    </w:rPr>
  </w:style>
  <w:style w:type="character" w:styleId="FootnoteReference">
    <w:name w:val="footnote reference"/>
    <w:semiHidden/>
    <w:rPr>
      <w:rFonts w:ascii="Times New Roman" w:hAnsi="Times New Roman"/>
      <w:sz w:val="22"/>
      <w:szCs w:val="22"/>
      <w:vertAlign w:val="superscript"/>
    </w:rPr>
  </w:style>
  <w:style w:type="character" w:styleId="HTMLAcronym">
    <w:name w:val="HTML Acronym"/>
    <w:basedOn w:val="DefaultParagraphFont"/>
    <w:semiHidden/>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qFormat/>
  </w:style>
  <w:style w:type="character" w:styleId="PageNumber">
    <w:name w:val="page number"/>
    <w:basedOn w:val="DefaultParagraphFont"/>
    <w:semiHidden/>
    <w:qFormat/>
  </w:style>
  <w:style w:type="character" w:styleId="Strong">
    <w:name w:val="Strong"/>
    <w:qFormat/>
    <w:rPr>
      <w:b/>
      <w:bCs/>
    </w:rPr>
  </w:style>
  <w:style w:type="table" w:styleId="Table3Deffects1">
    <w:name w:val="Table 3D effects 1"/>
    <w:basedOn w:val="TableNormal"/>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wfxRecipient">
    <w:name w:val="wfxRecipient"/>
    <w:basedOn w:val="Normal"/>
    <w:semiHidden/>
    <w:qFormat/>
  </w:style>
  <w:style w:type="paragraph" w:customStyle="1" w:styleId="wfxFaxNum">
    <w:name w:val="wfxFaxNum"/>
    <w:basedOn w:val="Normal"/>
    <w:semiHidden/>
    <w:qFormat/>
  </w:style>
  <w:style w:type="paragraph" w:customStyle="1" w:styleId="wfxDate">
    <w:name w:val="wfxDate"/>
    <w:basedOn w:val="Normal"/>
    <w:semiHidden/>
    <w:qFormat/>
  </w:style>
  <w:style w:type="paragraph" w:customStyle="1" w:styleId="wfxTime">
    <w:name w:val="wfxTime"/>
    <w:basedOn w:val="Normal"/>
    <w:semiHidden/>
    <w:qFormat/>
  </w:style>
  <w:style w:type="paragraph" w:customStyle="1" w:styleId="BodyIndent">
    <w:name w:val="BodyIndent"/>
    <w:basedOn w:val="Normal"/>
    <w:link w:val="BodyIndentChar"/>
    <w:qFormat/>
    <w:pPr>
      <w:tabs>
        <w:tab w:val="left" w:pos="567"/>
      </w:tabs>
      <w:jc w:val="both"/>
    </w:pPr>
    <w:rPr>
      <w:rFonts w:ascii="Times" w:hAnsi="Times"/>
      <w:color w:val="000000"/>
      <w:szCs w:val="22"/>
    </w:rPr>
  </w:style>
  <w:style w:type="paragraph" w:customStyle="1" w:styleId="Bulleted">
    <w:name w:val="Bulleted"/>
    <w:qFormat/>
    <w:pPr>
      <w:numPr>
        <w:numId w:val="12"/>
      </w:numPr>
      <w:jc w:val="both"/>
    </w:pPr>
    <w:rPr>
      <w:rFonts w:ascii="Times" w:hAnsi="Times"/>
      <w:color w:val="000000"/>
      <w:sz w:val="22"/>
      <w:szCs w:val="22"/>
      <w:lang w:val="en-GB"/>
    </w:rPr>
  </w:style>
  <w:style w:type="character" w:customStyle="1" w:styleId="BodyIndentChar">
    <w:name w:val="BodyIndent Char"/>
    <w:link w:val="BodyIndent"/>
    <w:qFormat/>
    <w:rPr>
      <w:rFonts w:ascii="Times" w:hAnsi="Times"/>
      <w:color w:val="000000"/>
      <w:sz w:val="22"/>
      <w:szCs w:val="22"/>
      <w:lang w:eastAsia="en-US"/>
    </w:rPr>
  </w:style>
  <w:style w:type="paragraph" w:customStyle="1" w:styleId="BodyChar">
    <w:name w:val="Body Char"/>
    <w:link w:val="BodyCharChar"/>
    <w:qFormat/>
    <w:pPr>
      <w:tabs>
        <w:tab w:val="left" w:pos="567"/>
      </w:tabs>
      <w:jc w:val="both"/>
    </w:pPr>
    <w:rPr>
      <w:rFonts w:ascii="Times" w:hAnsi="Times"/>
      <w:color w:val="000000"/>
      <w:sz w:val="22"/>
      <w:szCs w:val="22"/>
      <w:lang w:val="en-GB"/>
    </w:rPr>
  </w:style>
  <w:style w:type="paragraph" w:customStyle="1" w:styleId="StyleBodyCharNotBoldItalic">
    <w:name w:val="Style Body Char + Not Bold Italic"/>
    <w:link w:val="StyleBodyCharNotBoldItalicChar"/>
    <w:semiHidden/>
    <w:qFormat/>
    <w:rPr>
      <w:i/>
      <w:iCs/>
      <w:color w:val="000000"/>
      <w:sz w:val="22"/>
      <w:szCs w:val="22"/>
      <w:lang w:val="en-GB"/>
    </w:rPr>
  </w:style>
  <w:style w:type="character" w:customStyle="1" w:styleId="StyleBodyCharNotBoldItalicChar">
    <w:name w:val="Style Body Char + Not Bold Italic Char"/>
    <w:link w:val="StyleBodyCharNotBoldItalic"/>
    <w:qFormat/>
    <w:rPr>
      <w:i/>
      <w:iCs/>
      <w:color w:val="000000"/>
      <w:sz w:val="22"/>
      <w:szCs w:val="22"/>
      <w:lang w:val="en-GB" w:eastAsia="en-US" w:bidi="ar-SA"/>
    </w:rPr>
  </w:style>
  <w:style w:type="character" w:customStyle="1" w:styleId="MTEquationSection">
    <w:name w:val="MTEquationSection"/>
    <w:semiHidden/>
    <w:qFormat/>
    <w:rPr>
      <w:vanish/>
      <w:color w:val="FF0000"/>
      <w:lang w:val="en-US"/>
    </w:rPr>
  </w:style>
  <w:style w:type="paragraph" w:customStyle="1" w:styleId="MTDisplayEquation">
    <w:name w:val="MTDisplayEquation"/>
    <w:basedOn w:val="Normal"/>
    <w:semiHidden/>
    <w:qFormat/>
    <w:pPr>
      <w:tabs>
        <w:tab w:val="center" w:pos="4560"/>
        <w:tab w:val="right" w:pos="9120"/>
      </w:tabs>
    </w:pPr>
    <w:rPr>
      <w:lang w:val="en-US"/>
    </w:rPr>
  </w:style>
  <w:style w:type="character" w:customStyle="1" w:styleId="times">
    <w:name w:val="times"/>
    <w:basedOn w:val="DefaultParagraphFont"/>
    <w:semiHidden/>
    <w:qFormat/>
  </w:style>
  <w:style w:type="paragraph" w:customStyle="1" w:styleId="subsection">
    <w:name w:val="subsection"/>
    <w:qFormat/>
    <w:pPr>
      <w:numPr>
        <w:ilvl w:val="1"/>
        <w:numId w:val="13"/>
      </w:numPr>
      <w:tabs>
        <w:tab w:val="left" w:pos="567"/>
      </w:tabs>
      <w:spacing w:before="240"/>
    </w:pPr>
    <w:rPr>
      <w:rFonts w:ascii="Times" w:hAnsi="Times"/>
      <w:i/>
      <w:iCs/>
      <w:color w:val="000000"/>
      <w:sz w:val="22"/>
      <w:szCs w:val="22"/>
    </w:rPr>
  </w:style>
  <w:style w:type="paragraph" w:customStyle="1" w:styleId="section">
    <w:name w:val="section"/>
    <w:link w:val="sectionChar"/>
    <w:qFormat/>
    <w:pPr>
      <w:numPr>
        <w:numId w:val="13"/>
      </w:numPr>
      <w:tabs>
        <w:tab w:val="left" w:pos="567"/>
      </w:tabs>
      <w:spacing w:before="240"/>
    </w:pPr>
    <w:rPr>
      <w:rFonts w:ascii="Times" w:hAnsi="Times"/>
      <w:b/>
      <w:color w:val="000000"/>
      <w:sz w:val="22"/>
      <w:szCs w:val="22"/>
      <w:lang w:val="en-GB"/>
    </w:rPr>
  </w:style>
  <w:style w:type="paragraph" w:customStyle="1" w:styleId="subsubsection">
    <w:name w:val="subsubsection"/>
    <w:link w:val="subsubsectionChar"/>
    <w:qFormat/>
    <w:pPr>
      <w:numPr>
        <w:ilvl w:val="2"/>
        <w:numId w:val="13"/>
      </w:numPr>
      <w:tabs>
        <w:tab w:val="left" w:pos="567"/>
      </w:tabs>
      <w:spacing w:before="240"/>
      <w:ind w:left="0" w:firstLine="0"/>
      <w:jc w:val="both"/>
    </w:pPr>
    <w:rPr>
      <w:rFonts w:ascii="Times" w:hAnsi="Times"/>
      <w:i/>
      <w:iCs/>
      <w:color w:val="000000"/>
      <w:sz w:val="22"/>
      <w:szCs w:val="22"/>
    </w:rPr>
  </w:style>
  <w:style w:type="paragraph" w:customStyle="1" w:styleId="EQN">
    <w:name w:val="EQN"/>
    <w:basedOn w:val="BodyIndent"/>
    <w:qFormat/>
    <w:pPr>
      <w:tabs>
        <w:tab w:val="clear" w:pos="567"/>
        <w:tab w:val="center" w:pos="4820"/>
        <w:tab w:val="right" w:pos="9072"/>
      </w:tabs>
      <w:spacing w:before="120" w:after="120"/>
      <w:jc w:val="center"/>
    </w:pPr>
    <w:rPr>
      <w:lang w:val="en-US"/>
    </w:rPr>
  </w:style>
  <w:style w:type="paragraph" w:customStyle="1" w:styleId="Centred">
    <w:name w:val="Centred"/>
    <w:qFormat/>
    <w:pPr>
      <w:jc w:val="center"/>
    </w:pPr>
    <w:rPr>
      <w:rFonts w:ascii="Times" w:hAnsi="Times"/>
      <w:sz w:val="22"/>
      <w:lang w:val="en-GB"/>
    </w:rPr>
  </w:style>
  <w:style w:type="paragraph" w:customStyle="1" w:styleId="BulletedIndent">
    <w:name w:val="Bulleted.Indent"/>
    <w:pPr>
      <w:ind w:left="28"/>
      <w:jc w:val="both"/>
    </w:pPr>
    <w:rPr>
      <w:rFonts w:ascii="Times" w:hAnsi="Times"/>
      <w:sz w:val="22"/>
    </w:rPr>
  </w:style>
  <w:style w:type="character" w:customStyle="1" w:styleId="BodyCharChar">
    <w:name w:val="Body Char Char"/>
    <w:link w:val="BodyChar"/>
    <w:qFormat/>
    <w:rPr>
      <w:rFonts w:ascii="Times" w:hAnsi="Times"/>
      <w:color w:val="000000"/>
      <w:sz w:val="22"/>
      <w:szCs w:val="22"/>
      <w:lang w:val="en-GB" w:eastAsia="en-US" w:bidi="ar-SA"/>
    </w:rPr>
  </w:style>
  <w:style w:type="paragraph" w:customStyle="1" w:styleId="StyleTitleLeft005cm">
    <w:name w:val="Style Title + Left:  0.05 cm"/>
    <w:basedOn w:val="Title"/>
    <w:qFormat/>
    <w:rPr>
      <w:bCs/>
      <w:szCs w:val="20"/>
    </w:rPr>
  </w:style>
  <w:style w:type="paragraph" w:customStyle="1" w:styleId="Abstract">
    <w:name w:val="Abstract"/>
    <w:pPr>
      <w:spacing w:after="454"/>
      <w:ind w:left="1418"/>
      <w:jc w:val="both"/>
    </w:pPr>
    <w:rPr>
      <w:rFonts w:ascii="Times" w:hAnsi="Times"/>
      <w:color w:val="000000"/>
      <w:lang w:val="en-GB"/>
    </w:rPr>
  </w:style>
  <w:style w:type="paragraph" w:customStyle="1" w:styleId="FigureCaption">
    <w:name w:val="FigureCaption"/>
    <w:pPr>
      <w:spacing w:before="170"/>
      <w:ind w:left="28"/>
      <w:jc w:val="center"/>
    </w:pPr>
    <w:rPr>
      <w:rFonts w:ascii="Times" w:hAnsi="Times"/>
      <w:color w:val="000000"/>
      <w:sz w:val="22"/>
      <w:szCs w:val="22"/>
      <w:lang w:val="en-GB"/>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qFormat/>
    <w:pPr>
      <w:ind w:left="851"/>
    </w:pPr>
  </w:style>
  <w:style w:type="paragraph" w:customStyle="1" w:styleId="Authors">
    <w:name w:val="Authors"/>
    <w:pPr>
      <w:spacing w:after="113"/>
      <w:ind w:left="1418"/>
    </w:pPr>
    <w:rPr>
      <w:rFonts w:ascii="Times" w:hAnsi="Times"/>
      <w:b/>
      <w:sz w:val="22"/>
      <w:szCs w:val="22"/>
      <w:lang w:val="en-GB"/>
    </w:rPr>
  </w:style>
  <w:style w:type="paragraph" w:customStyle="1" w:styleId="Addresses">
    <w:name w:val="Addresses"/>
    <w:qFormat/>
    <w:pPr>
      <w:spacing w:after="454"/>
      <w:ind w:left="1418"/>
    </w:pPr>
    <w:rPr>
      <w:sz w:val="22"/>
      <w:szCs w:val="22"/>
      <w:lang w:val="en-GB"/>
    </w:rPr>
  </w:style>
  <w:style w:type="paragraph" w:customStyle="1" w:styleId="25mmIndent">
    <w:name w:val="25mmIndent"/>
    <w:qFormat/>
    <w:pPr>
      <w:ind w:left="1418"/>
    </w:pPr>
    <w:rPr>
      <w:rFonts w:ascii="Times" w:hAnsi="Times"/>
      <w:sz w:val="22"/>
      <w:szCs w:val="22"/>
    </w:rPr>
  </w:style>
  <w:style w:type="paragraph" w:customStyle="1" w:styleId="Numbered">
    <w:name w:val="Numbered"/>
    <w:pPr>
      <w:numPr>
        <w:numId w:val="14"/>
      </w:numPr>
      <w:tabs>
        <w:tab w:val="left" w:pos="567"/>
      </w:tabs>
      <w:ind w:left="567" w:hanging="567"/>
      <w:jc w:val="both"/>
    </w:pPr>
    <w:rPr>
      <w:rFonts w:ascii="Times" w:hAnsi="Times"/>
      <w:color w:val="000000"/>
      <w:sz w:val="22"/>
      <w:szCs w:val="22"/>
      <w:lang w:val="en-GB"/>
    </w:rPr>
  </w:style>
  <w:style w:type="paragraph" w:customStyle="1" w:styleId="TableCaption">
    <w:name w:val="Table.Caption"/>
    <w:pPr>
      <w:spacing w:after="120"/>
      <w:jc w:val="both"/>
    </w:pPr>
    <w:rPr>
      <w:rFonts w:ascii="Times" w:hAnsi="Times"/>
      <w:color w:val="000000"/>
      <w:sz w:val="22"/>
      <w:szCs w:val="22"/>
      <w:lang w:val="en-GB"/>
    </w:rPr>
  </w:style>
  <w:style w:type="paragraph" w:customStyle="1" w:styleId="TableCaptionCentred">
    <w:name w:val="Table.Caption.Centred"/>
    <w:basedOn w:val="TableCaption"/>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rPr>
      <w:i w:val="0"/>
      <w:szCs w:val="20"/>
    </w:rPr>
  </w:style>
  <w:style w:type="paragraph" w:customStyle="1" w:styleId="StylesubsubsectionNotItalic">
    <w:name w:val="Style subsubsection + Not Italic"/>
    <w:basedOn w:val="subsubsection"/>
    <w:rPr>
      <w:i w:val="0"/>
      <w:iCs w:val="0"/>
    </w:rPr>
  </w:style>
  <w:style w:type="paragraph" w:customStyle="1" w:styleId="StylesubsubsectionNotItalic1Char">
    <w:name w:val="Style subsubsection + Not Italic1 Char"/>
    <w:basedOn w:val="subsubsection"/>
    <w:link w:val="StylesubsubsectionNotItalic1CharChar"/>
    <w:rPr>
      <w:i w:val="0"/>
      <w:iCs w:val="0"/>
    </w:rPr>
  </w:style>
  <w:style w:type="character" w:customStyle="1" w:styleId="subsubsectionChar">
    <w:name w:val="subsubsection Char"/>
    <w:link w:val="subsubsection"/>
    <w:qFormat/>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qFormat/>
    <w:rPr>
      <w:rFonts w:ascii="Times" w:hAnsi="Times"/>
      <w:i w:val="0"/>
      <w:iCs w:val="0"/>
      <w:color w:val="000000"/>
      <w:sz w:val="22"/>
      <w:szCs w:val="22"/>
      <w:lang w:val="en-US" w:eastAsia="en-US"/>
    </w:rPr>
  </w:style>
  <w:style w:type="paragraph" w:customStyle="1" w:styleId="StylesectionBefore0pt">
    <w:name w:val="Style section + Before:  0 pt"/>
    <w:basedOn w:val="section"/>
    <w:pPr>
      <w:numPr>
        <w:numId w:val="15"/>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val="en-GB"/>
    </w:rPr>
  </w:style>
  <w:style w:type="paragraph" w:customStyle="1" w:styleId="Style25mmIndentBefore6ptAfter6pt">
    <w:name w:val="Style 25mmIndent + Before:  6 pt After:  6 pt"/>
    <w:basedOn w:val="25mmIndent"/>
    <w:pPr>
      <w:spacing w:before="120" w:after="120"/>
    </w:pPr>
    <w:rPr>
      <w:szCs w:val="20"/>
    </w:rPr>
  </w:style>
  <w:style w:type="paragraph" w:customStyle="1" w:styleId="Revision1">
    <w:name w:val="Revision1"/>
    <w:hidden/>
    <w:uiPriority w:val="99"/>
    <w:semiHidden/>
    <w:rPr>
      <w:rFonts w:ascii="Sabon" w:hAnsi="Sabon"/>
      <w:sz w:val="22"/>
      <w:lang w:val="en-GB"/>
    </w:rPr>
  </w:style>
  <w:style w:type="paragraph" w:customStyle="1" w:styleId="E-mail">
    <w:name w:val="E-mail"/>
    <w:next w:val="Abstract"/>
    <w:pPr>
      <w:spacing w:after="240"/>
      <w:ind w:left="1418"/>
    </w:pPr>
    <w:rPr>
      <w:rFonts w:ascii="Times" w:hAnsi="Times"/>
      <w:sz w:val="22"/>
      <w:szCs w:val="22"/>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Cs w:val="22"/>
      <w:lang w:val="en-US"/>
    </w:rPr>
  </w:style>
  <w:style w:type="paragraph" w:styleId="NoSpacing">
    <w:name w:val="No Spacing"/>
    <w:uiPriority w:val="1"/>
    <w:qFormat/>
    <w:pPr>
      <w:jc w:val="center"/>
    </w:pPr>
    <w:rPr>
      <w:rFonts w:eastAsiaTheme="minorHAnsi" w:cstheme="minorBidi"/>
      <w:sz w:val="24"/>
      <w:szCs w:val="22"/>
      <w:lang w:val="id-ID"/>
    </w:rPr>
  </w:style>
  <w:style w:type="character" w:customStyle="1" w:styleId="cit">
    <w:name w:val="cit"/>
    <w:basedOn w:val="DefaultParagraphFont"/>
  </w:style>
  <w:style w:type="character" w:customStyle="1" w:styleId="doi">
    <w:name w:val="doi"/>
    <w:basedOn w:val="DefaultParagraphFont"/>
  </w:style>
  <w:style w:type="character" w:customStyle="1" w:styleId="title-text">
    <w:name w:val="title-text"/>
    <w:basedOn w:val="DefaultParagraphFont"/>
  </w:style>
  <w:style w:type="character" w:customStyle="1" w:styleId="text">
    <w:name w:val="text"/>
    <w:basedOn w:val="DefaultParagraphFont"/>
  </w:style>
  <w:style w:type="paragraph" w:customStyle="1" w:styleId="nova-e-listitem">
    <w:name w:val="nova-e-list__item"/>
    <w:basedOn w:val="Normal"/>
    <w:pPr>
      <w:spacing w:before="100" w:beforeAutospacing="1" w:after="100" w:afterAutospacing="1"/>
    </w:pPr>
    <w:rPr>
      <w:rFonts w:ascii="Times New Roman" w:hAnsi="Times New Roman"/>
      <w:sz w:val="24"/>
      <w:szCs w:val="24"/>
      <w:lang w:val="en-US"/>
    </w:rPr>
  </w:style>
  <w:style w:type="paragraph" w:customStyle="1" w:styleId="Revision2">
    <w:name w:val="Revision2"/>
    <w:hidden/>
    <w:uiPriority w:val="99"/>
    <w:semiHidden/>
    <w:rPr>
      <w:rFonts w:ascii="Sabon" w:hAnsi="Sabo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ciencedirect.com/science/journal/03048853" TargetMode="External"/><Relationship Id="rId39" Type="http://schemas.openxmlformats.org/officeDocument/2006/relationships/hyperlink" Target="https://www.ncbi.nlm.nih.gov/pubmed/?term=Wang%20C%5BAuthor%5D&amp;cauthor=true&amp;cauthor_uid=30669339"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s://www.ncbi.nlm.nih.gov/pubmed/?term=Wang%20M%5BAuthor%5D&amp;cauthor=true&amp;cauthor_uid=30669339" TargetMode="External"/><Relationship Id="rId42" Type="http://schemas.openxmlformats.org/officeDocument/2006/relationships/hyperlink" Target="https://www.researchgate.net/profile/Esa_Haruman?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ciencedirect.com/science/article/abs/pii/S0304885316304991" TargetMode="External"/><Relationship Id="rId33" Type="http://schemas.openxmlformats.org/officeDocument/2006/relationships/hyperlink" Target="https://www.ncbi.nlm.nih.gov/pubmed/?term=Kang%20J%5BAuthor%5D&amp;cauthor=true&amp;cauthor_uid=30669339" TargetMode="External"/><Relationship Id="rId38" Type="http://schemas.openxmlformats.org/officeDocument/2006/relationships/hyperlink" Target="https://www.ncbi.nlm.nih.gov/pubmed/?term=She%20D%5BAuthor%5D&amp;cauthor=true&amp;cauthor_uid=30669339" TargetMode="External"/><Relationship Id="rId46" Type="http://schemas.openxmlformats.org/officeDocument/2006/relationships/hyperlink" Target="https://www.researchgate.net/deref/http%3A%2F%2Fdx.doi.org%2F10.4028%2Fwww.scientific.net%2FSSP.118.125?_sg%5B0%5D=46S7v8ALyweS7IzE9QOFqlhMHMpnoRwWp96F7gH4W8vjVlLZ9-GHcsKCI9KOUOOwWIG4kJHxlAKDY1DbTTJ6Zjjzaw.ZPxuEA0dvZZ_z9C4aVctML4qyz7Byybw6fZ92iwlHXDsR3DGvoYV1DvzaHH-XZDuNStanJbmI5B-7AQWagCny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javascript:;" TargetMode="External"/><Relationship Id="rId41" Type="http://schemas.openxmlformats.org/officeDocument/2006/relationships/hyperlink" Target="https://dx.doi.org/10.3390%2Fma120203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sciencedirect.com/science/article/abs/pii/S0304885316304991" TargetMode="External"/><Relationship Id="rId32" Type="http://schemas.openxmlformats.org/officeDocument/2006/relationships/hyperlink" Target="https://link.springer.com/journal/40962" TargetMode="External"/><Relationship Id="rId37" Type="http://schemas.openxmlformats.org/officeDocument/2006/relationships/hyperlink" Target="https://www.ncbi.nlm.nih.gov/pubmed/?term=Zhu%20L%5BAuthor%5D&amp;cauthor=true&amp;cauthor_uid=30669339" TargetMode="External"/><Relationship Id="rId40" Type="http://schemas.openxmlformats.org/officeDocument/2006/relationships/hyperlink" Target="https://www.ncbi.nlm.nih.gov/pmc/articles/PMC6356806/" TargetMode="External"/><Relationship Id="rId45" Type="http://schemas.openxmlformats.org/officeDocument/2006/relationships/hyperlink" Target="https://www.researchgate.net/profile/Komang_Widi6?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16/j.jmmm.2016.07.074" TargetMode="External"/><Relationship Id="rId36" Type="http://schemas.openxmlformats.org/officeDocument/2006/relationships/hyperlink" Target="https://www.ncbi.nlm.nih.gov/pubmed/?term=Fu%20Z%5BAuthor%5D&amp;cauthor=true&amp;cauthor_uid=30669339" TargetMode="Externa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hyperlink" Target="https://link.springer.com/article/10.1007/s40962-019-00404-2" TargetMode="External"/><Relationship Id="rId44" Type="http://schemas.openxmlformats.org/officeDocument/2006/relationships/hyperlink" Target="https://www.researchgate.net/profile/Hitendra_Malik?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4" Type="http://schemas.openxmlformats.org/officeDocument/2006/relationships/styles" Target="styles.xml"/><Relationship Id="rId9" Type="http://schemas.openxmlformats.org/officeDocument/2006/relationships/hyperlink" Target="mailto:aswidi@yahoo.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sciencedirect.com/science/journal/03048853/422/supp/C" TargetMode="External"/><Relationship Id="rId30" Type="http://schemas.openxmlformats.org/officeDocument/2006/relationships/hyperlink" Target="javascript:;" TargetMode="External"/><Relationship Id="rId35" Type="http://schemas.openxmlformats.org/officeDocument/2006/relationships/hyperlink" Target="https://www.ncbi.nlm.nih.gov/pubmed/?term=Yue%20W%5BAuthor%5D&amp;cauthor=true&amp;cauthor_uid=30669339" TargetMode="External"/><Relationship Id="rId43" Type="http://schemas.openxmlformats.org/officeDocument/2006/relationships/hyperlink" Target="https://www.researchgate.net/profile/Yong_Sun18?_sg%5B0%5D=Und7vjfSEFHz3-2957N-jdbVZgSY1LmbJ1-kVlv4Mmrh_L-4C200xTIuMqjFbhJmPHFy8m4.E702aCN3IYCfol5szsEkaBawxJAbO6Ap-fqrcERI37aqppHSwDiOpJA0473klPASbdfCpab9kmVihETf5zEEeg&amp;_sg%5B1%5D=CWheJ5UeD9txBolxe5rVPyAmOUE2mRSVbEEEHTeG2AgDtF1FNFUTdYuigRDBUYGn-h_MOQs.eEBP6WHV3Syb8kHOzspxUsJYXAE0c-obOW_NDGER0M-Gu55QQfGiygcFz3sECvuaDyPmqxOvaD8Sm_Ztrnm4AA" TargetMode="External"/><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Grey Cast Iron Without nitriding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Sheet1!$B$2:$B$6</c:f>
              <c:numCache>
                <c:formatCode>General</c:formatCode>
                <c:ptCount val="5"/>
                <c:pt idx="0">
                  <c:v>210.6</c:v>
                </c:pt>
                <c:pt idx="1">
                  <c:v>205.3</c:v>
                </c:pt>
                <c:pt idx="2">
                  <c:v>204.1</c:v>
                </c:pt>
                <c:pt idx="3">
                  <c:v>197</c:v>
                </c:pt>
                <c:pt idx="4">
                  <c:v>196.8</c:v>
                </c:pt>
              </c:numCache>
            </c:numRef>
          </c:val>
          <c:smooth val="0"/>
          <c:extLst>
            <c:ext xmlns:c16="http://schemas.microsoft.com/office/drawing/2014/chart" uri="{C3380CC4-5D6E-409C-BE32-E72D297353CC}">
              <c16:uniqueId val="{00000000-F26A-43DE-B554-56DD2EA59488}"/>
            </c:ext>
          </c:extLst>
        </c:ser>
        <c:ser>
          <c:idx val="1"/>
          <c:order val="1"/>
          <c:tx>
            <c:strRef>
              <c:f>Sheet1!$C$1</c:f>
              <c:strCache>
                <c:ptCount val="1"/>
                <c:pt idx="0">
                  <c:v>Grey Cast Iron 2 Hours Nitriding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Sheet1!$C$2:$C$6</c:f>
              <c:numCache>
                <c:formatCode>General</c:formatCode>
                <c:ptCount val="5"/>
                <c:pt idx="0">
                  <c:v>308.3</c:v>
                </c:pt>
                <c:pt idx="1">
                  <c:v>257.5</c:v>
                </c:pt>
                <c:pt idx="2">
                  <c:v>202.8</c:v>
                </c:pt>
                <c:pt idx="3">
                  <c:v>195.3</c:v>
                </c:pt>
                <c:pt idx="4">
                  <c:v>193.8</c:v>
                </c:pt>
              </c:numCache>
            </c:numRef>
          </c:val>
          <c:smooth val="0"/>
          <c:extLst>
            <c:ext xmlns:c16="http://schemas.microsoft.com/office/drawing/2014/chart" uri="{C3380CC4-5D6E-409C-BE32-E72D297353CC}">
              <c16:uniqueId val="{00000001-F26A-43DE-B554-56DD2EA59488}"/>
            </c:ext>
          </c:extLst>
        </c:ser>
        <c:ser>
          <c:idx val="2"/>
          <c:order val="2"/>
          <c:tx>
            <c:strRef>
              <c:f>Sheet1!$D$1</c:f>
              <c:strCache>
                <c:ptCount val="1"/>
                <c:pt idx="0">
                  <c:v>Grey Cast Iron 4 Hours Nitriding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Sheet1!$D$2:$D$6</c:f>
              <c:numCache>
                <c:formatCode>General</c:formatCode>
                <c:ptCount val="5"/>
                <c:pt idx="0">
                  <c:v>331.8</c:v>
                </c:pt>
                <c:pt idx="1">
                  <c:v>262.60000000000002</c:v>
                </c:pt>
                <c:pt idx="2">
                  <c:v>208.4</c:v>
                </c:pt>
                <c:pt idx="3">
                  <c:v>198.9</c:v>
                </c:pt>
                <c:pt idx="4">
                  <c:v>189.4</c:v>
                </c:pt>
              </c:numCache>
            </c:numRef>
          </c:val>
          <c:smooth val="0"/>
          <c:extLst>
            <c:ext xmlns:c16="http://schemas.microsoft.com/office/drawing/2014/chart" uri="{C3380CC4-5D6E-409C-BE32-E72D297353CC}">
              <c16:uniqueId val="{00000002-F26A-43DE-B554-56DD2EA59488}"/>
            </c:ext>
          </c:extLst>
        </c:ser>
        <c:ser>
          <c:idx val="3"/>
          <c:order val="3"/>
          <c:tx>
            <c:strRef>
              <c:f>Sheet1!$E$1</c:f>
              <c:strCache>
                <c:ptCount val="1"/>
                <c:pt idx="0">
                  <c:v>Grey Cast Iron 6 Hours Nitriding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Sheet1!$E$2:$E$6</c:f>
              <c:numCache>
                <c:formatCode>General</c:formatCode>
                <c:ptCount val="5"/>
                <c:pt idx="0">
                  <c:v>327.5</c:v>
                </c:pt>
                <c:pt idx="1">
                  <c:v>274.3</c:v>
                </c:pt>
                <c:pt idx="2">
                  <c:v>206.9</c:v>
                </c:pt>
                <c:pt idx="3">
                  <c:v>199.1</c:v>
                </c:pt>
                <c:pt idx="4">
                  <c:v>196.2</c:v>
                </c:pt>
              </c:numCache>
            </c:numRef>
          </c:val>
          <c:smooth val="0"/>
          <c:extLst>
            <c:ext xmlns:c16="http://schemas.microsoft.com/office/drawing/2014/chart" uri="{C3380CC4-5D6E-409C-BE32-E72D297353CC}">
              <c16:uniqueId val="{00000003-F26A-43DE-B554-56DD2EA59488}"/>
            </c:ext>
          </c:extLst>
        </c:ser>
        <c:ser>
          <c:idx val="4"/>
          <c:order val="4"/>
          <c:tx>
            <c:strRef>
              <c:f>Sheet1!$F$1</c:f>
              <c:strCache>
                <c:ptCount val="1"/>
                <c:pt idx="0">
                  <c:v>Nodular Cast Iron Without Nitriding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Sheet1!$F$2:$F$6</c:f>
              <c:numCache>
                <c:formatCode>General</c:formatCode>
                <c:ptCount val="5"/>
                <c:pt idx="0">
                  <c:v>185</c:v>
                </c:pt>
                <c:pt idx="1">
                  <c:v>200</c:v>
                </c:pt>
                <c:pt idx="2">
                  <c:v>190</c:v>
                </c:pt>
                <c:pt idx="3">
                  <c:v>200</c:v>
                </c:pt>
                <c:pt idx="4">
                  <c:v>200</c:v>
                </c:pt>
              </c:numCache>
            </c:numRef>
          </c:val>
          <c:smooth val="0"/>
          <c:extLst>
            <c:ext xmlns:c16="http://schemas.microsoft.com/office/drawing/2014/chart" uri="{C3380CC4-5D6E-409C-BE32-E72D297353CC}">
              <c16:uniqueId val="{00000004-F26A-43DE-B554-56DD2EA59488}"/>
            </c:ext>
          </c:extLst>
        </c:ser>
        <c:ser>
          <c:idx val="5"/>
          <c:order val="5"/>
          <c:tx>
            <c:strRef>
              <c:f>Sheet1!$G$1</c:f>
              <c:strCache>
                <c:ptCount val="1"/>
                <c:pt idx="0">
                  <c:v>Nodular Cast Iron 2 Hours nitriding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Sheet1!$G$2:$G$6</c:f>
              <c:numCache>
                <c:formatCode>General</c:formatCode>
                <c:ptCount val="5"/>
                <c:pt idx="0">
                  <c:v>325.10000000000002</c:v>
                </c:pt>
                <c:pt idx="1">
                  <c:v>247.7</c:v>
                </c:pt>
                <c:pt idx="2">
                  <c:v>193.4</c:v>
                </c:pt>
                <c:pt idx="3">
                  <c:v>193.3</c:v>
                </c:pt>
                <c:pt idx="4">
                  <c:v>190.6</c:v>
                </c:pt>
              </c:numCache>
            </c:numRef>
          </c:val>
          <c:smooth val="0"/>
          <c:extLst>
            <c:ext xmlns:c16="http://schemas.microsoft.com/office/drawing/2014/chart" uri="{C3380CC4-5D6E-409C-BE32-E72D297353CC}">
              <c16:uniqueId val="{00000005-F26A-43DE-B554-56DD2EA59488}"/>
            </c:ext>
          </c:extLst>
        </c:ser>
        <c:ser>
          <c:idx val="6"/>
          <c:order val="6"/>
          <c:tx>
            <c:strRef>
              <c:f>Sheet1!$H$1</c:f>
              <c:strCache>
                <c:ptCount val="1"/>
                <c:pt idx="0">
                  <c:v>Nodular Cast Iron 4 Hours nitriding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Sheet1!$H$2:$H$6</c:f>
              <c:numCache>
                <c:formatCode>General</c:formatCode>
                <c:ptCount val="5"/>
                <c:pt idx="0">
                  <c:v>394.1</c:v>
                </c:pt>
                <c:pt idx="1">
                  <c:v>295.10000000000002</c:v>
                </c:pt>
                <c:pt idx="2">
                  <c:v>236.3</c:v>
                </c:pt>
                <c:pt idx="3">
                  <c:v>208.8</c:v>
                </c:pt>
                <c:pt idx="4">
                  <c:v>194.3</c:v>
                </c:pt>
              </c:numCache>
            </c:numRef>
          </c:val>
          <c:smooth val="0"/>
          <c:extLst>
            <c:ext xmlns:c16="http://schemas.microsoft.com/office/drawing/2014/chart" uri="{C3380CC4-5D6E-409C-BE32-E72D297353CC}">
              <c16:uniqueId val="{00000006-F26A-43DE-B554-56DD2EA59488}"/>
            </c:ext>
          </c:extLst>
        </c:ser>
        <c:ser>
          <c:idx val="7"/>
          <c:order val="7"/>
          <c:tx>
            <c:strRef>
              <c:f>Sheet1!$I$1</c:f>
              <c:strCache>
                <c:ptCount val="1"/>
                <c:pt idx="0">
                  <c:v>Nodular Cast Iron 6 Hours nitriding</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Sheet1!$A$2:$A$6</c:f>
              <c:numCache>
                <c:formatCode>General</c:formatCode>
                <c:ptCount val="5"/>
                <c:pt idx="0">
                  <c:v>10</c:v>
                </c:pt>
                <c:pt idx="1">
                  <c:v>20</c:v>
                </c:pt>
                <c:pt idx="2">
                  <c:v>30</c:v>
                </c:pt>
                <c:pt idx="3">
                  <c:v>40</c:v>
                </c:pt>
                <c:pt idx="4">
                  <c:v>50</c:v>
                </c:pt>
              </c:numCache>
            </c:numRef>
          </c:cat>
          <c:val>
            <c:numRef>
              <c:f>Sheet1!$I$2:$I$6</c:f>
              <c:numCache>
                <c:formatCode>General</c:formatCode>
                <c:ptCount val="5"/>
                <c:pt idx="0">
                  <c:v>413.3</c:v>
                </c:pt>
                <c:pt idx="1">
                  <c:v>345</c:v>
                </c:pt>
                <c:pt idx="2">
                  <c:v>185</c:v>
                </c:pt>
                <c:pt idx="3">
                  <c:v>181.9</c:v>
                </c:pt>
                <c:pt idx="4">
                  <c:v>164.9</c:v>
                </c:pt>
              </c:numCache>
            </c:numRef>
          </c:val>
          <c:smooth val="0"/>
          <c:extLst>
            <c:ext xmlns:c16="http://schemas.microsoft.com/office/drawing/2014/chart" uri="{C3380CC4-5D6E-409C-BE32-E72D297353CC}">
              <c16:uniqueId val="{00000007-F26A-43DE-B554-56DD2EA59488}"/>
            </c:ext>
          </c:extLst>
        </c:ser>
        <c:dLbls>
          <c:showLegendKey val="0"/>
          <c:showVal val="0"/>
          <c:showCatName val="0"/>
          <c:showSerName val="0"/>
          <c:showPercent val="0"/>
          <c:showBubbleSize val="0"/>
        </c:dLbls>
        <c:marker val="1"/>
        <c:smooth val="0"/>
        <c:axId val="154971136"/>
        <c:axId val="158856704"/>
      </c:lineChart>
      <c:catAx>
        <c:axId val="15497113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Case</a:t>
                </a:r>
                <a:r>
                  <a:rPr lang="en-US" baseline="0"/>
                  <a:t> Depth (micron Meters)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8856704"/>
        <c:crosses val="autoZero"/>
        <c:auto val="1"/>
        <c:lblAlgn val="ctr"/>
        <c:lblOffset val="100"/>
        <c:noMultiLvlLbl val="0"/>
      </c:catAx>
      <c:valAx>
        <c:axId val="1588567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Hardness</a:t>
                </a:r>
                <a:r>
                  <a:rPr lang="en-US" baseline="0"/>
                  <a:t> Vickers (HV)</a:t>
                </a:r>
                <a:endParaRPr 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4971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C47CA0-06C4-47D1-A3B0-83147618E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2687</Words>
  <Characters>15320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komang</cp:lastModifiedBy>
  <cp:revision>7</cp:revision>
  <cp:lastPrinted>2007-03-22T16:16:00Z</cp:lastPrinted>
  <dcterms:created xsi:type="dcterms:W3CDTF">2020-11-01T08:53:00Z</dcterms:created>
  <dcterms:modified xsi:type="dcterms:W3CDTF">2020-11-01T13:10:00Z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1057-11.2.0.9718</vt:lpwstr>
  </property>
</Properties>
</file>