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DE488E">
      <w:pPr>
        <w:pStyle w:val="papertitle"/>
        <w:rPr>
          <w:rFonts w:eastAsia="MS Mincho"/>
        </w:rPr>
      </w:pPr>
      <w:r w:rsidRPr="00DE488E">
        <w:rPr>
          <w:rFonts w:eastAsia="MS Mincho"/>
        </w:rPr>
        <w:t>Business-Map Learning Media: Application-based Business Planning Media</w:t>
      </w:r>
    </w:p>
    <w:p w:rsidR="00DE488E" w:rsidRDefault="00DE488E" w:rsidP="00DE488E">
      <w:pPr>
        <w:rPr>
          <w:rFonts w:eastAsia="MS Mincho"/>
        </w:rPr>
      </w:pPr>
    </w:p>
    <w:p w:rsidR="00DE488E" w:rsidRPr="00DE488E" w:rsidRDefault="00DE488E" w:rsidP="00DE488E">
      <w:pPr>
        <w:rPr>
          <w:rFonts w:eastAsia="MS Mincho"/>
          <w:sz w:val="24"/>
          <w:szCs w:val="24"/>
        </w:rPr>
      </w:pPr>
      <w:proofErr w:type="spellStart"/>
      <w:r w:rsidRPr="00DE488E">
        <w:rPr>
          <w:rFonts w:eastAsia="MS Mincho"/>
          <w:sz w:val="24"/>
          <w:szCs w:val="24"/>
        </w:rPr>
        <w:t>Udik</w:t>
      </w:r>
      <w:proofErr w:type="spellEnd"/>
      <w:r w:rsidRPr="00DE488E">
        <w:rPr>
          <w:rFonts w:eastAsia="MS Mincho"/>
          <w:sz w:val="24"/>
          <w:szCs w:val="24"/>
        </w:rPr>
        <w:t xml:space="preserve"> </w:t>
      </w:r>
      <w:proofErr w:type="spellStart"/>
      <w:r w:rsidRPr="00DE488E">
        <w:rPr>
          <w:rFonts w:eastAsia="MS Mincho"/>
          <w:sz w:val="24"/>
          <w:szCs w:val="24"/>
        </w:rPr>
        <w:t>Yudiono</w:t>
      </w:r>
      <w:proofErr w:type="spellEnd"/>
    </w:p>
    <w:p w:rsidR="00DE488E" w:rsidRPr="00DE488E" w:rsidRDefault="00DE488E" w:rsidP="00DE488E">
      <w:pPr>
        <w:rPr>
          <w:rFonts w:eastAsia="MS Mincho"/>
        </w:rPr>
      </w:pPr>
      <w:r w:rsidRPr="00DE488E">
        <w:rPr>
          <w:rFonts w:eastAsia="MS Mincho"/>
        </w:rPr>
        <w:t>Economic Education Study Program</w:t>
      </w:r>
    </w:p>
    <w:p w:rsidR="00DE488E" w:rsidRPr="00DE488E" w:rsidRDefault="00961C68" w:rsidP="00DE488E">
      <w:pPr>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Kanjuruhan</w:t>
      </w:r>
      <w:proofErr w:type="spellEnd"/>
      <w:r>
        <w:rPr>
          <w:rFonts w:eastAsia="MS Mincho"/>
        </w:rPr>
        <w:t xml:space="preserve"> </w:t>
      </w:r>
      <w:r w:rsidR="00DE488E" w:rsidRPr="00DE488E">
        <w:rPr>
          <w:rFonts w:eastAsia="MS Mincho"/>
        </w:rPr>
        <w:t>Malang</w:t>
      </w:r>
    </w:p>
    <w:p w:rsidR="00DE488E" w:rsidRPr="00DE488E" w:rsidRDefault="00DE488E" w:rsidP="00DE488E">
      <w:pPr>
        <w:rPr>
          <w:rFonts w:eastAsia="MS Mincho"/>
        </w:rPr>
      </w:pPr>
      <w:r w:rsidRPr="00DE488E">
        <w:rPr>
          <w:rFonts w:eastAsia="MS Mincho"/>
        </w:rPr>
        <w:t>Malang, Indonesia</w:t>
      </w:r>
    </w:p>
    <w:p w:rsidR="008A55B5" w:rsidRDefault="00DE488E" w:rsidP="00DE488E">
      <w:pPr>
        <w:rPr>
          <w:rFonts w:eastAsia="MS Mincho"/>
        </w:rPr>
      </w:pPr>
      <w:r w:rsidRPr="00DE488E">
        <w:rPr>
          <w:rFonts w:eastAsia="MS Mincho"/>
        </w:rPr>
        <w:t>u_yudiono@unikama.ac.id</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DE488E" w:rsidRDefault="00DE488E">
      <w:pPr>
        <w:rPr>
          <w:rFonts w:eastAsia="MS Mincho"/>
        </w:rPr>
      </w:pPr>
    </w:p>
    <w:p w:rsidR="00DE488E" w:rsidRDefault="00DE488E">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DE488E" w:rsidRDefault="008A55B5" w:rsidP="00DE488E">
      <w:pPr>
        <w:pStyle w:val="Abstract"/>
      </w:pPr>
      <w:r>
        <w:rPr>
          <w:rFonts w:eastAsia="MS Mincho"/>
          <w:i/>
          <w:iCs/>
        </w:rPr>
        <w:lastRenderedPageBreak/>
        <w:t>Abstract</w:t>
      </w:r>
      <w:r>
        <w:rPr>
          <w:rFonts w:eastAsia="MS Mincho"/>
        </w:rPr>
        <w:t xml:space="preserve">- </w:t>
      </w:r>
      <w:proofErr w:type="gramStart"/>
      <w:r>
        <w:rPr>
          <w:rFonts w:eastAsia="MS Mincho"/>
        </w:rPr>
        <w:t>The</w:t>
      </w:r>
      <w:proofErr w:type="gramEnd"/>
      <w:r>
        <w:rPr>
          <w:rFonts w:eastAsia="MS Mincho"/>
        </w:rPr>
        <w:t xml:space="preserve"> Entrepreneurship Program at </w:t>
      </w:r>
      <w:r w:rsidR="006252C8">
        <w:t xml:space="preserve">Vocational High School </w:t>
      </w:r>
      <w:bookmarkStart w:id="0" w:name="_GoBack"/>
      <w:bookmarkEnd w:id="0"/>
      <w:r>
        <w:rPr>
          <w:rFonts w:eastAsia="MS Mincho"/>
        </w:rPr>
        <w:t xml:space="preserve">has fully received the attention of the Government. Teachers of Creative Products and Entrepreneurship (PKK) are required to be able to develop creative, adaptive and practice-based learning media so that students have sufficient learning experience to foster self-confidence and competence. The purpose of this research is to develop a business-map learning media using the </w:t>
      </w:r>
      <w:proofErr w:type="spellStart"/>
      <w:r>
        <w:rPr>
          <w:rFonts w:eastAsia="MS Mincho"/>
        </w:rPr>
        <w:t>iMindMap</w:t>
      </w:r>
      <w:proofErr w:type="spellEnd"/>
      <w:r>
        <w:rPr>
          <w:rFonts w:eastAsia="MS Mincho"/>
        </w:rPr>
        <w:t xml:space="preserve"> application. The product specifications from this study were business-map media tools includ</w:t>
      </w:r>
      <w:r w:rsidR="000209F9">
        <w:rPr>
          <w:rFonts w:eastAsia="MS Mincho"/>
        </w:rPr>
        <w:t>ing</w:t>
      </w:r>
      <w:r>
        <w:rPr>
          <w:rFonts w:eastAsia="MS Mincho"/>
        </w:rPr>
        <w:t xml:space="preserve"> lesson p</w:t>
      </w:r>
      <w:r w:rsidR="000209F9">
        <w:rPr>
          <w:rFonts w:eastAsia="MS Mincho"/>
        </w:rPr>
        <w:t xml:space="preserve">lans and learning scenarios, </w:t>
      </w:r>
      <w:r>
        <w:rPr>
          <w:rFonts w:eastAsia="MS Mincho"/>
        </w:rPr>
        <w:t>student worksheets in the form of a business-map. This development uses the Borg and Ga</w:t>
      </w:r>
      <w:r w:rsidR="000209F9">
        <w:rPr>
          <w:rFonts w:eastAsia="MS Mincho"/>
        </w:rPr>
        <w:t xml:space="preserve">ll approach with the stages of </w:t>
      </w:r>
      <w:r>
        <w:rPr>
          <w:rFonts w:eastAsia="MS Mincho"/>
        </w:rPr>
        <w:t>research</w:t>
      </w:r>
      <w:r w:rsidR="000209F9">
        <w:rPr>
          <w:rFonts w:eastAsia="MS Mincho"/>
        </w:rPr>
        <w:t xml:space="preserve"> and information collecting, planning, </w:t>
      </w:r>
      <w:proofErr w:type="gramStart"/>
      <w:r>
        <w:rPr>
          <w:rFonts w:eastAsia="MS Mincho"/>
        </w:rPr>
        <w:t>developing</w:t>
      </w:r>
      <w:proofErr w:type="gramEnd"/>
      <w:r>
        <w:rPr>
          <w:rFonts w:eastAsia="MS Mincho"/>
        </w:rPr>
        <w:t xml:space="preserve"> preliminary forms of prod</w:t>
      </w:r>
      <w:r w:rsidR="000209F9">
        <w:rPr>
          <w:rFonts w:eastAsia="MS Mincho"/>
        </w:rPr>
        <w:t xml:space="preserve">uct, </w:t>
      </w:r>
      <w:r>
        <w:rPr>
          <w:rFonts w:eastAsia="MS Mincho"/>
        </w:rPr>
        <w:t>expert validation. Based on the validation of material experts on the presentation of material, lesson plans, and worksheets as well as validation of learning technology experts on business-map media, it is in the range of 80-100% assessment which is generally good and suitable for use without revision. The results showed the importance of maximizing student competence in entrepreneurship, especially in making a business plan using a business-map because through the business map that has been made, students will learn to design a complex and real busines</w:t>
      </w:r>
      <w:r w:rsidR="000209F9">
        <w:rPr>
          <w:rFonts w:eastAsia="MS Mincho"/>
        </w:rPr>
        <w:t>s.</w:t>
      </w:r>
    </w:p>
    <w:p w:rsidR="008A55B5" w:rsidRDefault="0072064C" w:rsidP="00605675">
      <w:pPr>
        <w:pStyle w:val="keywords"/>
        <w:ind w:firstLine="272"/>
        <w:rPr>
          <w:rFonts w:eastAsia="MS Mincho"/>
        </w:rPr>
      </w:pPr>
      <w:r>
        <w:rPr>
          <w:rFonts w:eastAsia="MS Mincho"/>
        </w:rPr>
        <w:t>Keywords— Learning media; Business-map; Entrepreneurship</w:t>
      </w:r>
    </w:p>
    <w:p w:rsidR="008A55B5" w:rsidRDefault="008A55B5" w:rsidP="00605675">
      <w:pPr>
        <w:pStyle w:val="Heading1"/>
      </w:pPr>
      <w:r>
        <w:t xml:space="preserve"> Introduction </w:t>
      </w:r>
    </w:p>
    <w:p w:rsidR="006F4439" w:rsidRDefault="006F4439" w:rsidP="006F4439">
      <w:pPr>
        <w:ind w:firstLine="720"/>
        <w:jc w:val="both"/>
      </w:pPr>
      <w:r>
        <w:t>The Open Unemployment Rate (T</w:t>
      </w:r>
      <w:r w:rsidR="006252C8">
        <w:t>PT) for Vocational High Schools</w:t>
      </w:r>
      <w:r>
        <w:t xml:space="preserve"> is the highest compared to other education levels, amounting to 1.42</w:t>
      </w:r>
      <w:r w:rsidR="00C74649">
        <w:t xml:space="preserve"> million people at around 8.92% </w:t>
      </w:r>
      <w:r w:rsidR="00C74649">
        <w:fldChar w:fldCharType="begin" w:fldLock="1"/>
      </w:r>
      <w:r w:rsidR="00C74649">
        <w:instrText>ADDIN CSL_CITATION {"citationItems":[{"id":"ITEM-1","itemData":{"author":[{"dropping-particle":"","family":"Indonesia","given":"Keadaan Ketenagakerjaan","non-dropping-particle":"","parse-names":false,"suffix":""}],"id":"ITEM-1","issue":"41","issued":{"date-parts":[["2019"]]},"page":"1-16","title":"STATISTIK","type":"article-journal"},"uris":["http://www.mendeley.com/documents/?uuid=092d95e7-2e07-446c-a420-1bfb1879e313"]}],"mendeley":{"formattedCitation":"[1]","plainTextFormattedCitation":"[1]","previouslyFormattedCitation":"[1]"},"properties":{"noteIndex":0},"schema":"https://github.com/citation-style-language/schema/raw/master/csl-citation.json"}</w:instrText>
      </w:r>
      <w:r w:rsidR="00C74649">
        <w:fldChar w:fldCharType="separate"/>
      </w:r>
      <w:r w:rsidR="00C74649" w:rsidRPr="00C74649">
        <w:rPr>
          <w:noProof/>
        </w:rPr>
        <w:t>[1]</w:t>
      </w:r>
      <w:r w:rsidR="00C74649">
        <w:fldChar w:fldCharType="end"/>
      </w:r>
      <w:r>
        <w:t xml:space="preserve">. This has consequences on the importance of improving the quality of human resources and providing productive employment for them. In addition, due to limited employment opportunities, which can be seen from the decline in employment, </w:t>
      </w:r>
      <w:r w:rsidR="006252C8">
        <w:t>Vocational High Schools</w:t>
      </w:r>
      <w:r w:rsidR="006252C8">
        <w:t xml:space="preserve"> </w:t>
      </w:r>
      <w:r>
        <w:t xml:space="preserve">graduates are also faced with competition from adult job seekers </w:t>
      </w:r>
      <w:r w:rsidR="00C74649">
        <w:fldChar w:fldCharType="begin" w:fldLock="1"/>
      </w:r>
      <w:r w:rsidR="00C74649">
        <w:instrText>ADDIN CSL_CITATION {"citationItems":[{"id":"ITEM-1","itemData":{"DOI":"10.1108/14626000710746637","ISSN":"14626004","abstract":"Purpose This paper seeks to provide an analytical overview of the current state of entrepreneurship education in the USA for the years 2004-2005. Design/methodology/approach The author performed an extensive review of the literature in entrepreneurship education and enhanced the review by conducting a national survey of two and four-year colleges and universities. This survey was the sixth since 1979 conducted by the author to examine trends and the “current state of entrepreneurship education.” Findings The 2004-2005 survey indicates that the trends, especially in the use of technology initially examined in prior national studies of entrepreneurship, have continued in a similar direction and in some areas, for example, the use of technology has increased dramatically. Also, new findings confirm that the traditional teaching method of requiring students to create a business plan is still used and is popular. Finally, the data show that entrepreneurship educators are increasingly using guest speakers and class discussions more frequently than the traditional approach of class lectures. Research limitations/implications The national survey resulted in 270 schools responding. The survey findings cannot be generalized to all schools in the USA, although there are no other samples of this size. The evaluation and interpretation of some of the findings represent the author's own perceptions and experiences, and should, therefore, be viewed with caution. Originality/value Provides an evaluation of the state-of-the-art of entrepreneurship education in the USA. © 2007, Emerald Group Publishing Limited","author":[{"dropping-particle":"","family":"Solomon","given":"George","non-dropping-particle":"","parse-names":false,"suffix":""}],"container-title":"Journal of Small Business and Enterprise Development","id":"ITEM-1","issue":"2","issued":{"date-parts":[["2007"]]},"page":"168-182","title":"An examination of entrepreneurship education in the United States","type":"article-journal","volume":"14"},"uris":["http://www.mendeley.com/documents/?uuid=3190b173-304b-44fb-b326-28d1adc218ef"]}],"mendeley":{"formattedCitation":"[2]","plainTextFormattedCitation":"[2]","previouslyFormattedCitation":"[2]"},"properties":{"noteIndex":0},"schema":"https://github.com/citation-style-language/schema/raw/master/csl-citation.json"}</w:instrText>
      </w:r>
      <w:r w:rsidR="00C74649">
        <w:fldChar w:fldCharType="separate"/>
      </w:r>
      <w:r w:rsidR="00C74649" w:rsidRPr="00C74649">
        <w:rPr>
          <w:noProof/>
        </w:rPr>
        <w:t>[2]</w:t>
      </w:r>
      <w:r w:rsidR="00C74649">
        <w:fldChar w:fldCharType="end"/>
      </w:r>
      <w:r w:rsidR="00C74649">
        <w:t xml:space="preserve"> </w:t>
      </w:r>
      <w:r>
        <w:t>who are considered to have readiness and experience</w:t>
      </w:r>
      <w:r w:rsidR="00C74649">
        <w:t xml:space="preserve"> </w:t>
      </w:r>
      <w:r w:rsidR="00C74649">
        <w:fldChar w:fldCharType="begin" w:fldLock="1"/>
      </w:r>
      <w:r w:rsidR="00C74649">
        <w:instrText>ADDIN CSL_CITATION {"citationItems":[{"id":"ITEM-1","itemData":{"author":[{"dropping-particle":"","family":"Hujer","given":"B Y Reinhard","non-dropping-particle":"","parse-names":false,"suffix":""},{"dropping-particle":"","family":"Thomsen","given":"Stephan L","non-dropping-particle":"","parse-names":false,"suffix":""},{"dropping-particle":"","family":"Zeiss","given":"Christopher","non-dropping-particle":"","parse-names":false,"suffix":""}],"id":"ITEM-1","issue":"2001","issued":{"date-parts":[["2006"]]},"page":"299-321","title":"T h e effects of vocational training p r o g r a m m e s on the duration of u n e m p l o y m e n t in Eastern Germany *","type":"article-journal","volume":"321"},"uris":["http://www.mendeley.com/documents/?uuid=267ef416-2540-436a-a168-427a4881e73e"]}],"mendeley":{"formattedCitation":"[3]","plainTextFormattedCitation":"[3]","previouslyFormattedCitation":"[3]"},"properties":{"noteIndex":0},"schema":"https://github.com/citation-style-language/schema/raw/master/csl-citation.json"}</w:instrText>
      </w:r>
      <w:r w:rsidR="00C74649">
        <w:fldChar w:fldCharType="separate"/>
      </w:r>
      <w:r w:rsidR="00C74649" w:rsidRPr="00C74649">
        <w:rPr>
          <w:noProof/>
        </w:rPr>
        <w:t>[3]</w:t>
      </w:r>
      <w:r w:rsidR="00C74649">
        <w:fldChar w:fldCharType="end"/>
      </w:r>
      <w:r>
        <w:t>. This is what requires them to create their own jobs by doing entrepreneurship with the knowledge of entrepreneurship taught in schools.</w:t>
      </w:r>
    </w:p>
    <w:p w:rsidR="00CD4B47" w:rsidRDefault="00CD4B47" w:rsidP="00CD4B47">
      <w:pPr>
        <w:ind w:firstLine="720"/>
        <w:jc w:val="both"/>
      </w:pPr>
      <w:r>
        <w:t xml:space="preserve">In the </w:t>
      </w:r>
      <w:r w:rsidR="006252C8">
        <w:t>Vocational High Schools</w:t>
      </w:r>
      <w:r w:rsidR="006252C8">
        <w:t xml:space="preserve"> </w:t>
      </w:r>
      <w:r>
        <w:t>curriculum, craft and entrepreneurship educa</w:t>
      </w:r>
      <w:r w:rsidR="00C74649">
        <w:t xml:space="preserve">tion is taught to all students </w:t>
      </w:r>
      <w:r w:rsidR="00C74649">
        <w:fldChar w:fldCharType="begin" w:fldLock="1"/>
      </w:r>
      <w:r w:rsidR="00C74649">
        <w:instrText>ADDIN CSL_CITATION {"citationItems":[{"id":"ITEM-1","itemData":{"DOI":"10.1080/13636820.2012.691538","ISSN":"13636820","abstract":"2009 Very little research has been conducted on the teaching of entrepreneurship, in particular in vocational education. Entrepreneurship is included in the national curriculum of many European countries, but there is concern over the competence of its teachers and their training in entrepreneurship (European Commission 2009 , 14). This article explores entrepreneurship education from teachers’ viewpoints eliciting their views on its aims, methods and content. The article investigates the planning behind entrepreneurship studies in a region of Northern Finland and is informed by a literature review of entrepreneurial learning and input from teachers. The analysis indicates that entrepreneurship education should be assessed and applied from the perspective of field and region. The study suggests how vocational field, region and entrepreneurial learning can be brought together when planning the content and methods of practical studies, for example in work-based learning.","author":[{"dropping-particle":"","family":"Järvi","given":"Taina","non-dropping-particle":"","parse-names":false,"suffix":""}],"container-title":"Journal of Vocational Education and Training","id":"ITEM-1","issue":"3","issued":{"date-parts":[["2012"]]},"page":"365-377","title":"Teaching entrepreneurship in vocational education viewed from the regional and field perspectives","type":"article-journal","volume":"64"},"uris":["http://www.mendeley.com/documents/?uuid=8a320d36-8b9c-45d9-ac57-00d1be34bbb6"]}],"mendeley":{"formattedCitation":"[4]","plainTextFormattedCitation":"[4]","previouslyFormattedCitation":"[4]"},"properties":{"noteIndex":0},"schema":"https://github.com/citation-style-language/schema/raw/master/csl-citation.json"}</w:instrText>
      </w:r>
      <w:r w:rsidR="00C74649">
        <w:fldChar w:fldCharType="separate"/>
      </w:r>
      <w:r w:rsidR="00C74649" w:rsidRPr="00C74649">
        <w:rPr>
          <w:noProof/>
        </w:rPr>
        <w:t>[4]</w:t>
      </w:r>
      <w:r w:rsidR="00C74649">
        <w:fldChar w:fldCharType="end"/>
      </w:r>
      <w:r w:rsidR="00C74649">
        <w:t xml:space="preserve">. </w:t>
      </w:r>
      <w:r>
        <w:t>The provision of this material is intended to foster an entrepren</w:t>
      </w:r>
      <w:r w:rsidR="00C74649">
        <w:t xml:space="preserve">eurial spirit from an early age. </w:t>
      </w:r>
      <w:r>
        <w:t xml:space="preserve"> Entrepreneurship education that is given at </w:t>
      </w:r>
      <w:r w:rsidR="006252C8">
        <w:t>Vocational High Schools</w:t>
      </w:r>
      <w:r>
        <w:t>, will form the mindset and paradigm of students who initially are "graduating from school looking for work, being grad</w:t>
      </w:r>
      <w:r w:rsidR="00C74649">
        <w:t xml:space="preserve">uated </w:t>
      </w:r>
      <w:r w:rsidR="00C74649">
        <w:lastRenderedPageBreak/>
        <w:t xml:space="preserve">from school creates jobs" </w:t>
      </w:r>
      <w:r w:rsidR="00C74649">
        <w:fldChar w:fldCharType="begin" w:fldLock="1"/>
      </w:r>
      <w:r w:rsidR="00C74649">
        <w:instrText>ADDIN CSL_CITATION {"citationItems":[{"id":"ITEM-1","itemData":{"ISSN":"2222-1735, 2222-1735","abstract":"This study examines the problems of entrepreneurship education at Vocational High School based on the perspective of teachers and school management characteristics related to the implementation of the curriculum in 2013 and trials of character-based education model. The research and development survey was conducted on a Vocational High Schools in East Java. Analysis description, experimental and entrepreneurial attitude tests were used to assess the findings of the field. The study was conducted for 2 (two) years. The results showed that more entrepreneurial teachers teach \"the theory of entrepreneurship\" than forming values and skills, related curriculum in 2013 (K-13). The teachers have difficulty in implementation, the experience of teachers to business practices and network with minimal business world. K-13 tends to lower and decrease the entrepreneurial spirit of students because of the lack of material changes in attitude, the school management does not undertake any major policy changes related to the implementation of this new curriculum. Model of learning by giving the module containing the business motivations of character-based and case studies are structured through the guidance of teachers can improve attitudes related aspects of confidence and motivation for entrepreneurship. Aspects of creativity, attitudes towards risk, initiative, responsibility and leadership is still low.","author":[{"dropping-particle":"","family":"Winarno","given":"Agung","non-dropping-particle":"","parse-names":false,"suffix":""}],"container-title":"Journal of Education and Practice","id":"ITEM-1","issue":"9","issued":{"date-parts":[["2016"]]},"page":"122-127","title":"Entrepreneurship Education in Vocational Schools: Characteristics of Teachers, Schools and Risk Implementation of the Curriculum 2013 in Indonesia","type":"article-journal","volume":"7"},"uris":["http://www.mendeley.com/documents/?uuid=9643c8d6-01f2-4252-a703-bf8a0cc2d07e"]}],"mendeley":{"formattedCitation":"[5]","plainTextFormattedCitation":"[5]","previouslyFormattedCitation":"[5]"},"properties":{"noteIndex":0},"schema":"https://github.com/citation-style-language/schema/raw/master/csl-citation.json"}</w:instrText>
      </w:r>
      <w:r w:rsidR="00C74649">
        <w:fldChar w:fldCharType="separate"/>
      </w:r>
      <w:r w:rsidR="00C74649" w:rsidRPr="00C74649">
        <w:rPr>
          <w:noProof/>
        </w:rPr>
        <w:t>[5]</w:t>
      </w:r>
      <w:r w:rsidR="00C74649">
        <w:fldChar w:fldCharType="end"/>
      </w:r>
      <w:r w:rsidR="00C74649">
        <w:t>.</w:t>
      </w:r>
      <w:r>
        <w:t xml:space="preserve"> With the presence of entrepreneurship education at </w:t>
      </w:r>
      <w:r w:rsidR="006252C8">
        <w:t>Vocational High Schools</w:t>
      </w:r>
      <w:r>
        <w:t>, it is hoped that graduates will be able to create jobs as a result of an attitude and mentality of independence which will later benefit themselves, others, and especially in improving national development in order to minimize the unemployment r</w:t>
      </w:r>
      <w:r w:rsidR="00C74649">
        <w:t xml:space="preserve">ate caused by the depletion of jobs </w:t>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t xml:space="preserve">. </w:t>
      </w:r>
    </w:p>
    <w:p w:rsidR="00C41A48" w:rsidRDefault="00C41A48" w:rsidP="00C41A48">
      <w:pPr>
        <w:ind w:firstLine="720"/>
        <w:jc w:val="both"/>
      </w:pPr>
      <w:r>
        <w:t>In entrepreneurship learning, of course, teachers must have a powerful learning media strategy so that their students are able to a</w:t>
      </w:r>
      <w:r w:rsidR="00C74649">
        <w:t xml:space="preserve">bsorb entrepreneurship subjects </w:t>
      </w:r>
      <w:r w:rsidR="00C74649">
        <w:fldChar w:fldCharType="begin" w:fldLock="1"/>
      </w:r>
      <w:r w:rsidR="00C74649">
        <w:instrText>ADDIN CSL_CITATION {"citationItems":[{"id":"ITEM-1","itemData":{"abstract":"Given the importance of globalization as well as the need to train skilled and knowledgeable employees for the 21 st century workforce, higher education needs to take a more critical look at the educational practices and instructional methods which lead to improvements in students' essential skills such as self-directed learning. This study sought to examine the effects of project-based learning (PoBL) strategy on students' self-directed learning skills in a system-based education course offered in the educational technology department of Arak University in Iran. In order to achieve this end, a sample of 78 students in the field of educational technology who enrolled in the system-based education course was selected. Subjects were randomly assigned to one of the two groups: the experimental group (PoBL strategy) and control group (conventional teaching strategy). The self-directed learning readiness scale (SDLRS) was administrated three times (i.e. pretest, post-test one, and post-test two). The experimental group received the PoBL strategy and the control group was exposed to conventional teaching (CT) methods. The results of two-way repeated measure ANOVA tests revealed that students who were taught using PoBL strategy performed significantly better in terms of self-directed learning skills than did students who were taught using CT strategy.","author":[{"dropping-particle":"","family":"Bagheri","given":"Mohsen","non-dropping-particle":"","parse-names":false,"suffix":""},{"dropping-particle":"","family":"Zah","given":"Wan","non-dropping-particle":"","parse-names":false,"suffix":""},{"dropping-particle":"","family":"Ali","given":"Wan","non-dropping-particle":"","parse-names":false,"suffix":""},{"dropping-particle":"","family":"Chong","given":"Maria","non-dropping-particle":"","parse-names":false,"suffix":""},{"dropping-particle":"","family":"Abdullah","given":"Binti","non-dropping-particle":"","parse-names":false,"suffix":""},{"dropping-particle":"","family":"Daud","given":"Shaffe Mohd","non-dropping-particle":"","parse-names":false,"suffix":""}],"container-title":"Contemporary Educational Technology","id":"ITEM-1","issue":"1","issued":{"date-parts":[["2013"]]},"page":"15-29","title":"Effects of Project-based Learning Strategy on Self-directed Learning Skills of Educational Technology Students","type":"article-journal","volume":"4"},"uris":["http://www.mendeley.com/documents/?uuid=94912c7a-cce7-4e00-9d83-de5268e2c84b"]}],"mendeley":{"formattedCitation":"[8]","plainTextFormattedCitation":"[8]","previouslyFormattedCitation":"[8]"},"properties":{"noteIndex":0},"schema":"https://github.com/citation-style-language/schema/raw/master/csl-citation.json"}</w:instrText>
      </w:r>
      <w:r w:rsidR="00C74649">
        <w:fldChar w:fldCharType="separate"/>
      </w:r>
      <w:r w:rsidR="00C74649" w:rsidRPr="00C74649">
        <w:rPr>
          <w:noProof/>
        </w:rPr>
        <w:t>[8]</w:t>
      </w:r>
      <w:r w:rsidR="00C74649">
        <w:fldChar w:fldCharType="end"/>
      </w:r>
      <w:r w:rsidR="00C74649">
        <w:t>.</w:t>
      </w:r>
      <w:r>
        <w:t xml:space="preserve"> The success of entrepreneurship learning is determined by the learning me</w:t>
      </w:r>
      <w:r w:rsidR="00C74649">
        <w:t xml:space="preserve">dia made by teachers in schools </w:t>
      </w:r>
      <w:r w:rsidR="00C74649">
        <w:fldChar w:fldCharType="begin" w:fldLock="1"/>
      </w:r>
      <w:r w:rsidR="00C74649">
        <w:instrText>ADDIN CSL_CITATION {"citationItems":[{"id":"ITEM-1","itemData":{"DOI":"10.1080/00220671.2013.878301","ISSN":"19400675","abstract":"© 2015 Taylor &amp; Francis Group, LLC. Different approaches and methodologies for entrepreneurship education have been introduced for schools. However, a better theoretical and empirical understanding of the antecedents of entrepreneurship education is needed. The authors analyze what entrepreneurship education practices are used in schools and what role the school and the teacher are playing in determining the entrepreneurship education practices. The data cover school levels from basic to upper secondary education. The findings indicate that the training teachers have received in entrepreneurship seems to be the main factor determining the observable entrepreneurship education provided by the teachers. Further studies on the antecedents of entrepreneurship education are encouraged.","author":[{"dropping-particle":"","family":"Ruskovaara","given":"Elena","non-dropping-particle":"","parse-names":false,"suffix":""},{"dropping-particle":"","family":"Pihkala","given":"Timo","non-dropping-particle":"","parse-names":false,"suffix":""}],"container-title":"Journal of Educational Research","id":"ITEM-1","issue":"3","issued":{"date-parts":[["2015"]]},"page":"236-249","title":"Entrepreneurship education in schools: Empirical evidence on the teacher's role","type":"article-journal","volume":"108"},"uris":["http://www.mendeley.com/documents/?uuid=13f375b5-d794-44da-a177-6f280c3d517e"]}],"mendeley":{"formattedCitation":"[9]","plainTextFormattedCitation":"[9]","previouslyFormattedCitation":"[9]"},"properties":{"noteIndex":0},"schema":"https://github.com/citation-style-language/schema/raw/master/csl-citation.json"}</w:instrText>
      </w:r>
      <w:r w:rsidR="00C74649">
        <w:fldChar w:fldCharType="separate"/>
      </w:r>
      <w:r w:rsidR="00C74649" w:rsidRPr="00C74649">
        <w:rPr>
          <w:noProof/>
        </w:rPr>
        <w:t>[9]</w:t>
      </w:r>
      <w:r w:rsidR="00C74649">
        <w:fldChar w:fldCharType="end"/>
      </w:r>
      <w:r w:rsidR="00C74649">
        <w:fldChar w:fldCharType="begin" w:fldLock="1"/>
      </w:r>
      <w:r w:rsidR="00C74649">
        <w:instrText>ADDIN CSL_CITATION {"citationItems":[{"id":"ITEM-1","itemData":{"DOI":"10.1080/16823206.2010.522059","ISSN":"19479417","abstract":"This paper discusses the development and execution of an entrepreneurship exhibition project held in South Africa, in which 1 500 undergraduate first-year students took part. The current teaching practices in the course, resulting from project-based learning practices, have been developed out of an extensive review of entrepreneurship education literature and frameworks. The results of the assessment, conducted to measure student satisfaction with and opinions of the course, are included along with a summary of the experience gained while taking part in the project. In addition to the assessment, the results of the students' perceptions of entrepreneurial skills gained after the project are presented. Factor analysis took place and several statistical tests were performed to provide significant findings. This paper aims to share implementation – and assessment – of such a project as an opportunity for entrepreneurship educators to learn from others' experiences, and to contribute to the entrepreneurship education literature.","author":[{"dropping-particle":"","family":"Botha","given":"Melodi","non-dropping-particle":"","parse-names":false,"suffix":""}],"container-title":"Education as Change","id":"ITEM-1","issue":"2","issued":{"date-parts":[["2010"]]},"page":"213-232","title":"A project-based learning approach as a method of teaching entrepreneurship to a large group of undergraduate students in South Africa","type":"article-journal","volume":"14"},"uris":["http://www.mendeley.com/documents/?uuid=0693bd54-9dfb-4ee9-872a-08412f2baab1"]}],"mendeley":{"formattedCitation":"[10]","plainTextFormattedCitation":"[10]","previouslyFormattedCitation":"[10]"},"properties":{"noteIndex":0},"schema":"https://github.com/citation-style-language/schema/raw/master/csl-citation.json"}</w:instrText>
      </w:r>
      <w:r w:rsidR="00C74649">
        <w:fldChar w:fldCharType="separate"/>
      </w:r>
      <w:r w:rsidR="00C74649" w:rsidRPr="00C74649">
        <w:rPr>
          <w:noProof/>
        </w:rPr>
        <w:t>[10]</w:t>
      </w:r>
      <w:r w:rsidR="00C74649">
        <w:fldChar w:fldCharType="end"/>
      </w:r>
      <w:r w:rsidR="00C74649">
        <w:t>.</w:t>
      </w:r>
      <w:r>
        <w:t xml:space="preserve"> The knowledge and skills of students obtained through learning media while studying in school are the basic assets that c</w:t>
      </w:r>
      <w:r w:rsidR="00C74649">
        <w:t xml:space="preserve">an be used for entrepreneurship </w:t>
      </w:r>
      <w:r w:rsidR="00C74649">
        <w:fldChar w:fldCharType="begin" w:fldLock="1"/>
      </w:r>
      <w:r w:rsidR="00C74649">
        <w:instrText>ADDIN CSL_CITATION {"citationItems":[{"id":"ITEM-1","itemData":{"author":[{"dropping-particle":"","family":"Putri","given":"Rizkydwi","non-dropping-particle":"","parse-names":false,"suffix":""},{"dropping-particle":"","family":"Wahyono","given":"Hari","non-dropping-particle":"","parse-names":false,"suffix":""},{"dropping-particle":"","family":"Pranowo","given":"D A N Bambang","non-dropping-particle":"","parse-names":false,"suffix":""}],"id":"ITEM-1","issued":{"date-parts":[["0"]]},"title":"PENGEMBANGAN MODEL PEMBELAJARAN EKONOMI THE MONEY ADVENTURE ( TMA )","type":"article-journal"},"uris":["http://www.mendeley.com/documents/?uuid=374a5fa9-1bff-4dad-a39b-f3a41472f964"]}],"mendeley":{"formattedCitation":"[11]","plainTextFormattedCitation":"[11]"},"properties":{"noteIndex":0},"schema":"https://github.com/citation-style-language/schema/raw/master/csl-citation.json"}</w:instrText>
      </w:r>
      <w:r w:rsidR="00C74649">
        <w:fldChar w:fldCharType="separate"/>
      </w:r>
      <w:r w:rsidR="00C74649" w:rsidRPr="00C74649">
        <w:rPr>
          <w:noProof/>
        </w:rPr>
        <w:t>[11]</w:t>
      </w:r>
      <w:r w:rsidR="00C74649">
        <w:fldChar w:fldCharType="end"/>
      </w:r>
      <w:r>
        <w:t xml:space="preserve"> Knowledge, skills, industrial work experience and work abilities possessed by students can encourage the growth of interest i</w:t>
      </w:r>
      <w:r w:rsidR="00C74649">
        <w:t xml:space="preserve">n entrepreneurship </w:t>
      </w:r>
      <w:r w:rsidR="00C74649">
        <w:fldChar w:fldCharType="begin" w:fldLock="1"/>
      </w:r>
      <w:r w:rsidR="00C74649">
        <w:instrText>ADDIN CSL_CITATION {"citationItems":[{"id":"ITEM-1","itemData":{"DOI":"10.2139/ssrn.996807","abstract":"In this paper entrepreneurs are defined as agents who bring about economic change by combining their own effort with other factors of production in search of economic rents. The institutional setup is argued to determine both the supply and direction of entrepreneurial activity. Four key institutions are explored more closely: property rights protection, savings policies, taxation and the regulation of labor markets. Institutions have far-reaching effects on entrepreneurship, and they largely determine whether or not entrepreneurial activity will be socially productive. Due to the responsiveness of entrepreneurship to the institutional setup it is maintained that in-depth analyses of specific institutions are required in order to further our understanding of the determinants of entrepreneurial behavior and the economic effects of entrepreneurship. The paper also demonstrates that it is problematic to use self-employment as an empirical proxy for productive entrepreneurship.","author":[{"dropping-particle":"","family":"Henrekson","given":"Magnus","non-dropping-particle":"","parse-names":false,"suffix":""}],"container-title":"Ssrn","id":"ITEM-1","issue":"1","issued":{"date-parts":[["2007"]]},"page":"74-89","title":"Entrepreneurship and Institutions","type":"article-journal","volume":"2"},"uris":["http://www.mendeley.com/documents/?uuid=ff34f6b5-b245-4fb7-a9f8-62a7500b0e33"]}],"mendeley":{"formattedCitation":"[12]","plainTextFormattedCitation":"[12]","previouslyFormattedCitation":"[11]"},"properties":{"noteIndex":0},"schema":"https://github.com/citation-style-language/schema/raw/master/csl-citation.json"}</w:instrText>
      </w:r>
      <w:r w:rsidR="00C74649">
        <w:fldChar w:fldCharType="separate"/>
      </w:r>
      <w:r w:rsidR="00C74649" w:rsidRPr="00C74649">
        <w:rPr>
          <w:noProof/>
        </w:rPr>
        <w:t>[12]</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t>.</w:t>
      </w:r>
    </w:p>
    <w:p w:rsidR="00C41A48" w:rsidRDefault="00C41A48" w:rsidP="00C41A48">
      <w:pPr>
        <w:ind w:firstLine="720"/>
        <w:jc w:val="both"/>
      </w:pPr>
      <w:r>
        <w:t>The application of ICT, especially in entrepreneurship subjects, is expected to be able to fully contribute to students in gaining insights and skills as well as</w:t>
      </w:r>
      <w:r w:rsidR="00C74649">
        <w:t xml:space="preserve"> a forum for student creativity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DOI":"10.1111/jsbm.12514","author":[{"dropping-particle":"","family":"Kleine","given":"Kari","non-dropping-particle":"","parse-names":false,"suffix":""}],"id":"ITEM-1","issue":"00","issued":{"date-parts":[["2019"]]},"page":"1-17","title":"The Learning Process in Technology from an Engineering Degree *","type":"article-journal","volume":"00"},"uris":["http://www.mendeley.com/documents/?uuid=d1a8ff3d-eb8a-4eb2-8274-5e300306f773"]}],"mendeley":{"formattedCitation":"[14]","plainTextFormattedCitation":"[14]","previouslyFormattedCitation":"[13]"},"properties":{"noteIndex":0},"schema":"https://github.com/citation-style-language/schema/raw/master/csl-citation.json"}</w:instrText>
      </w:r>
      <w:r w:rsidR="00C74649">
        <w:fldChar w:fldCharType="separate"/>
      </w:r>
      <w:r w:rsidR="00C74649" w:rsidRPr="00C74649">
        <w:rPr>
          <w:noProof/>
        </w:rPr>
        <w:t>[14]</w:t>
      </w:r>
      <w:r w:rsidR="00C74649">
        <w:fldChar w:fldCharType="end"/>
      </w:r>
      <w:r w:rsidR="00C74649">
        <w:t>.</w:t>
      </w:r>
      <w:r>
        <w:t xml:space="preserve"> The existence of information and communication technology as a medium in managing entrepreneurship learning will make students more creative, innovati</w:t>
      </w:r>
      <w:r w:rsidR="00C74649">
        <w:t xml:space="preserve">ve, and keep up with the times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author":[{"dropping-particle":"","family":"Aini","given":"Qurotul","non-dropping-particle":"","parse-names":false,"suffix":""},{"dropping-particle":"","family":"Dhaniarti","given":"Iswachyu","non-dropping-particle":"","parse-names":false,"suffix":""},{"dropping-particle":"","family":"Khoirunisa","given":"Alfiah","non-dropping-particle":"","parse-names":false,"suffix":""}],"id":"ITEM-1","issue":"1","issued":{"date-parts":[["2019"]]},"page":"1-12","title":"Effects of iLearning Media on Student Learning Motivation","type":"article-journal","volume":"3"},"uris":["http://www.mendeley.com/documents/?uuid=ccbebd7b-9c2e-422d-b1ec-6a745db79d09"]}],"mendeley":{"formattedCitation":"[15]","plainTextFormattedCitation":"[15]","previouslyFormattedCitation":"[14]"},"properties":{"noteIndex":0},"schema":"https://github.com/citation-style-language/schema/raw/master/csl-citation.json"}</w:instrText>
      </w:r>
      <w:r w:rsidR="00C74649">
        <w:fldChar w:fldCharType="separate"/>
      </w:r>
      <w:r w:rsidR="00C74649" w:rsidRPr="00C74649">
        <w:rPr>
          <w:noProof/>
        </w:rPr>
        <w:t>[15]</w:t>
      </w:r>
      <w:r w:rsidR="00C74649">
        <w:fldChar w:fldCharType="end"/>
      </w:r>
      <w:r w:rsidR="00C74649">
        <w:t xml:space="preserve">. </w:t>
      </w:r>
      <w:proofErr w:type="gramStart"/>
      <w:r>
        <w:t xml:space="preserve">Given that </w:t>
      </w:r>
      <w:r w:rsidR="006252C8">
        <w:t>Vocational High Schools</w:t>
      </w:r>
      <w:r w:rsidR="006252C8">
        <w:t xml:space="preserve"> </w:t>
      </w:r>
      <w:r>
        <w:t>is a vocational-oriented school, where schools prepare students to engage in the world of work both i</w:t>
      </w:r>
      <w:r w:rsidR="00C74649">
        <w:t>n industry and entrepreneurship.</w:t>
      </w:r>
      <w:proofErr w:type="gramEnd"/>
      <w:r w:rsidR="00C74649">
        <w:t xml:space="preserve"> </w:t>
      </w:r>
    </w:p>
    <w:p w:rsidR="00CD4B47" w:rsidRDefault="006F4439" w:rsidP="006F4439">
      <w:pPr>
        <w:ind w:firstLine="720"/>
        <w:jc w:val="both"/>
      </w:pPr>
      <w:r w:rsidRPr="006F4439">
        <w:t xml:space="preserve">However, from observations in the framework of a preliminary study at one of the </w:t>
      </w:r>
      <w:r w:rsidR="006252C8">
        <w:t>Vocational High Schools</w:t>
      </w:r>
      <w:r w:rsidR="006252C8" w:rsidRPr="006F4439">
        <w:t xml:space="preserve"> </w:t>
      </w:r>
      <w:r w:rsidRPr="006F4439">
        <w:t xml:space="preserve">in Malang Regency which is an accredited flagship Vocational High School, it can be seen that entrepreneurship theory teachers in Creative Products and Entrepreneurship (PKK) subjects have been using classical learning models characterized by the lecture method so that the learning object </w:t>
      </w:r>
      <w:proofErr w:type="gramStart"/>
      <w:r w:rsidRPr="006F4439">
        <w:t>that</w:t>
      </w:r>
      <w:proofErr w:type="gramEnd"/>
      <w:r w:rsidRPr="006F4439">
        <w:t xml:space="preserve"> is achieved is only the cognitive aspect, while the affective and psychomotor aspects have not been achieved. Teachers are only fixated on delivering material in textbooks and students have not been introduced to technology-based entrepreneurship learning media and have not been directed to build their own knowledge about the potential that can be utilized and of sale value so that the essence of entrepreneurship is not achieved which results in low student interest in PKK learning. Even in planning the products to be </w:t>
      </w:r>
      <w:r w:rsidRPr="006F4439">
        <w:lastRenderedPageBreak/>
        <w:t>produced, students' ideas are still dictated by the teacher, and write them down in notebooks so that the description of the product / business pattern to be carried out by students is still abstract and very simple. Based on these problems, the authors developed application-based business map learning media as an effort to maximize student competence in entrepreneurship, especially in making business plans using a business-map because through the business map that has been created, students will learn to design a complex and real business.</w:t>
      </w:r>
    </w:p>
    <w:p w:rsidR="006F4439" w:rsidRPr="006F4439" w:rsidRDefault="006F4439" w:rsidP="00D81834">
      <w:pPr>
        <w:jc w:val="both"/>
      </w:pPr>
    </w:p>
    <w:p w:rsidR="008A55B5" w:rsidRDefault="00D81834" w:rsidP="00CB1404">
      <w:pPr>
        <w:pStyle w:val="Heading1"/>
      </w:pPr>
      <w:r>
        <w:t>method</w:t>
      </w:r>
    </w:p>
    <w:p w:rsidR="00D81834" w:rsidRDefault="00D81834" w:rsidP="00D81834">
      <w:pPr>
        <w:ind w:firstLine="720"/>
        <w:jc w:val="both"/>
      </w:pPr>
      <w:r w:rsidRPr="00D81834">
        <w:t xml:space="preserve">The research design used in this study is Research and development (R&amp;D). This study was adapted and modified from the Borg and Gall model </w:t>
      </w:r>
      <w:r w:rsidR="00C74649">
        <w:fldChar w:fldCharType="begin" w:fldLock="1"/>
      </w:r>
      <w:r w:rsidR="00C74649">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f55bd979-973a-4652-9d7e-a1c8a0685bf2"]}],"mendeley":{"formattedCitation":"[16]","plainTextFormattedCitation":"[16]","previouslyFormattedCitation":"[15]"},"properties":{"noteIndex":0},"schema":"https://github.com/citation-style-language/schema/raw/master/csl-citation.json"}</w:instrText>
      </w:r>
      <w:r w:rsidR="00C74649">
        <w:fldChar w:fldCharType="separate"/>
      </w:r>
      <w:r w:rsidR="00C74649" w:rsidRPr="00C74649">
        <w:rPr>
          <w:noProof/>
        </w:rPr>
        <w:t>[16]</w:t>
      </w:r>
      <w:r w:rsidR="00C74649">
        <w:fldChar w:fldCharType="end"/>
      </w:r>
      <w:r w:rsidR="00C74649">
        <w:t xml:space="preserve"> </w:t>
      </w:r>
      <w:r w:rsidRPr="00D81834">
        <w:t>adapted to the characteristics of the learner, the characteristics of the objectives and the type of content in the field of study, and the learning background. The stages of research and development carried out are: (1) research and information collecting by conducting preliminary observations and interviews; (2) planning to formulate a product design then developing (3) developing a preliminary form of product, namely developing a product for media where there are two categories of product components developed at this stage, namely lesson plans and learning scenarios, and student work</w:t>
      </w:r>
      <w:r w:rsidR="00C74649">
        <w:t>sheets in the form of business ma</w:t>
      </w:r>
      <w:r w:rsidR="000209F9">
        <w:t>p</w:t>
      </w:r>
      <w:r w:rsidRPr="00D81834">
        <w:t xml:space="preserve"> (4) expert validation, after product development is carried out, an expert test is carried out.</w:t>
      </w:r>
    </w:p>
    <w:p w:rsidR="00D81834" w:rsidRPr="00D81834" w:rsidRDefault="00D81834" w:rsidP="000209F9">
      <w:pPr>
        <w:ind w:firstLine="720"/>
        <w:jc w:val="both"/>
        <w:rPr>
          <w:rFonts w:eastAsia="Calibri"/>
        </w:rPr>
      </w:pPr>
      <w:r>
        <w:t xml:space="preserve">Processing of questionnaire data obtained from experts (both experts and teachers of economics subjects). </w:t>
      </w:r>
    </w:p>
    <w:p w:rsidR="00D81834" w:rsidRDefault="00D81834" w:rsidP="00D81834">
      <w:pPr>
        <w:jc w:val="both"/>
      </w:pPr>
      <w:r>
        <w:t>After the calculation for all questionnaire data has been carried out, the percentages obtained are grouped on certain criteria so that the feasibility level of the product can be determined. The percentage of eligibility criteria can be grouped as follows:</w:t>
      </w:r>
    </w:p>
    <w:p w:rsidR="000209F9" w:rsidRDefault="000209F9" w:rsidP="00D81834">
      <w:pPr>
        <w:jc w:val="both"/>
      </w:pPr>
    </w:p>
    <w:p w:rsidR="00D81834" w:rsidRPr="00D81834" w:rsidRDefault="00D81834" w:rsidP="00D81834">
      <w:pPr>
        <w:contextualSpacing/>
        <w:rPr>
          <w:rFonts w:eastAsia="Calibri"/>
          <w:b/>
          <w:lang w:val="id-ID"/>
        </w:rPr>
      </w:pPr>
      <w:proofErr w:type="gramStart"/>
      <w:r>
        <w:rPr>
          <w:rFonts w:eastAsia="Calibri"/>
          <w:b/>
        </w:rPr>
        <w:t>Table 1.</w:t>
      </w:r>
      <w:proofErr w:type="gramEnd"/>
      <w:r>
        <w:rPr>
          <w:rFonts w:eastAsia="Calibri"/>
          <w:b/>
        </w:rPr>
        <w:t xml:space="preserve"> Percentage of product eligibility</w: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221"/>
        <w:gridCol w:w="1272"/>
        <w:gridCol w:w="1181"/>
      </w:tblGrid>
      <w:tr w:rsidR="00D81834" w:rsidRPr="00D81834" w:rsidTr="00D81834">
        <w:tc>
          <w:tcPr>
            <w:tcW w:w="3408" w:type="dxa"/>
            <w:gridSpan w:val="3"/>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Test results</w:t>
            </w:r>
          </w:p>
        </w:tc>
        <w:tc>
          <w:tcPr>
            <w:tcW w:w="1181" w:type="dxa"/>
            <w:vMerge w:val="restart"/>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Follow-up</w:t>
            </w:r>
          </w:p>
        </w:tc>
      </w:tr>
      <w:tr w:rsidR="00D81834" w:rsidRPr="00D81834" w:rsidTr="00D81834">
        <w:tc>
          <w:tcPr>
            <w:tcW w:w="954"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Score Category</w:t>
            </w:r>
          </w:p>
        </w:tc>
        <w:tc>
          <w:tcPr>
            <w:tcW w:w="1221"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Percentage</w:t>
            </w:r>
          </w:p>
        </w:tc>
        <w:tc>
          <w:tcPr>
            <w:tcW w:w="1233"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Qualification</w:t>
            </w:r>
          </w:p>
        </w:tc>
        <w:tc>
          <w:tcPr>
            <w:tcW w:w="0" w:type="auto"/>
            <w:vMerge/>
            <w:tcBorders>
              <w:bottom w:val="single" w:sz="4" w:space="0" w:color="auto"/>
            </w:tcBorders>
            <w:vAlign w:val="center"/>
            <w:hideMark/>
          </w:tcPr>
          <w:p w:rsidR="00D81834" w:rsidRPr="00D81834" w:rsidRDefault="00D81834" w:rsidP="00D81834">
            <w:pPr>
              <w:jc w:val="left"/>
              <w:rPr>
                <w:sz w:val="20"/>
                <w:szCs w:val="20"/>
              </w:rPr>
            </w:pP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4</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85% - 100%</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Very good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3</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75% - 84%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Good</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2</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55% - 74%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Enough</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1</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&lt;55%</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Less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bl>
    <w:p w:rsidR="00D81834" w:rsidRPr="00D81834" w:rsidRDefault="00D81834" w:rsidP="00D81834">
      <w:pPr>
        <w:jc w:val="both"/>
      </w:pPr>
      <w:r w:rsidRPr="00D81834">
        <w:rPr>
          <w:rFonts w:eastAsia="Calibri"/>
          <w:lang w:val="id-ID"/>
        </w:rPr>
        <w:t>Source: Sugiyono, 2010</w:t>
      </w:r>
    </w:p>
    <w:p w:rsidR="008A55B5" w:rsidRPr="00CB1404" w:rsidRDefault="00D81834" w:rsidP="00CB1404">
      <w:pPr>
        <w:pStyle w:val="Heading1"/>
      </w:pPr>
      <w:r>
        <w:t>RESULT AND DISCUSION</w:t>
      </w:r>
    </w:p>
    <w:p w:rsidR="008A55B5" w:rsidRPr="00C74649" w:rsidRDefault="000209F9" w:rsidP="004A7ADC">
      <w:pPr>
        <w:pStyle w:val="BodyText"/>
        <w:numPr>
          <w:ilvl w:val="0"/>
          <w:numId w:val="13"/>
        </w:numPr>
        <w:ind w:left="270" w:hanging="270"/>
        <w:rPr>
          <w:i/>
        </w:rPr>
      </w:pPr>
      <w:r>
        <w:rPr>
          <w:i/>
        </w:rPr>
        <w:t>Field Description</w:t>
      </w:r>
    </w:p>
    <w:p w:rsidR="00F40828" w:rsidRDefault="00F40828" w:rsidP="00EC14E9">
      <w:pPr>
        <w:pStyle w:val="BodyText"/>
        <w:spacing w:after="0"/>
      </w:pPr>
      <w:r w:rsidRPr="00F40828">
        <w:t xml:space="preserve">This research and information gathering constitutes a preliminary research stage which is carried out by means of a needs assessment. The research stage and information collection on Creative Products and Entrepreneurship (PKK) learning are a process of exploring information about the learning process, starting with tracking information and analyzing student characteristics and teacher and student needs. Based on the results of the interview, the PKK teacher stated that the teacher had difficulty creating a pleasant atmosphere </w:t>
      </w:r>
      <w:r w:rsidRPr="00F40828">
        <w:lastRenderedPageBreak/>
        <w:t>for entrepreneurial learning, the exposure of material in the book was limited so that students easily got bored and considered the material presented easily, besides the production idea, so far it was still centered on the teacher's initiative, not students</w:t>
      </w:r>
    </w:p>
    <w:p w:rsidR="000209F9" w:rsidRDefault="00F40828" w:rsidP="000209F9">
      <w:pPr>
        <w:pStyle w:val="BodyText"/>
        <w:spacing w:after="0"/>
      </w:pPr>
      <w:r>
        <w:t>This is confirmed by the opinion of students who state that they are more interested if entrepreneurial theories are presented with new methods such as games or interesting shows accompanied by concrete examples around them so that they are easier to understand. In addition, students consider entrepreneurship material delivered by the teacher monotonous. In fact, they said they prefer to be given concrete problems and find the answers themselves rather than explain too much by Teacher.</w:t>
      </w:r>
    </w:p>
    <w:p w:rsidR="00EC14E9" w:rsidRDefault="00EC14E9" w:rsidP="000209F9">
      <w:pPr>
        <w:pStyle w:val="BodyText"/>
        <w:spacing w:after="0"/>
      </w:pPr>
      <w:r>
        <w:t>After finding the problem, the researcher began to design a product that would be a solution to the problems that had been found in the first stage. Based on the needs analysis, the researcher feels the need to develop a basic entrepreneurial learning media, namely an application-based business plan. The use of technology or applications is expected to be able to provide new experiences for students in learning, where they will get used to operating technology. In addition, the features contained in the application are able to simplify and make the appearance of a business plan more attractive. The development of this media will be contained in learning tools in the form of less</w:t>
      </w:r>
      <w:r w:rsidR="00C74649">
        <w:t>on plans and learning scenarios.</w:t>
      </w:r>
    </w:p>
    <w:p w:rsidR="004A7ADC" w:rsidRDefault="004A7ADC" w:rsidP="004A7ADC">
      <w:pPr>
        <w:pStyle w:val="BodyText"/>
        <w:spacing w:after="0"/>
      </w:pPr>
    </w:p>
    <w:p w:rsidR="00EC14E9" w:rsidRPr="00C74649" w:rsidRDefault="000209F9" w:rsidP="004A7ADC">
      <w:pPr>
        <w:pStyle w:val="BodyText"/>
        <w:numPr>
          <w:ilvl w:val="0"/>
          <w:numId w:val="13"/>
        </w:numPr>
        <w:spacing w:after="0"/>
        <w:ind w:left="270" w:hanging="270"/>
        <w:rPr>
          <w:i/>
        </w:rPr>
      </w:pPr>
      <w:r>
        <w:rPr>
          <w:i/>
        </w:rPr>
        <w:t>P</w:t>
      </w:r>
      <w:r w:rsidR="00EC14E9" w:rsidRPr="00C74649">
        <w:rPr>
          <w:i/>
        </w:rPr>
        <w:t>roduct development (Develop preliminary form of product)</w:t>
      </w:r>
    </w:p>
    <w:p w:rsidR="008B27F0" w:rsidRDefault="00EC14E9" w:rsidP="004A7ADC">
      <w:pPr>
        <w:pStyle w:val="BodyText"/>
        <w:spacing w:after="0"/>
      </w:pPr>
      <w:r>
        <w:t>The initial product development aims to produce a prototype / initial design of the development of business map learning media which includes lesson plans and learning scenarios, as well as student worksheets in the form of a business-map. 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w:t>
      </w:r>
    </w:p>
    <w:p w:rsidR="00B66C53" w:rsidRDefault="008B27F0" w:rsidP="00961C68">
      <w:pPr>
        <w:pStyle w:val="BodyText"/>
      </w:pPr>
      <w:r>
        <w:t>Students will design a business idea based on a problem in the field, namely the lack of processing potential in their area. Then students will analyze the business idea in SWOT (</w:t>
      </w:r>
      <w:proofErr w:type="spellStart"/>
      <w:r>
        <w:t>Streght</w:t>
      </w:r>
      <w:proofErr w:type="spellEnd"/>
      <w:r>
        <w:t xml:space="preserve">, Weakness, Opportunity, </w:t>
      </w:r>
      <w:proofErr w:type="gramStart"/>
      <w:r>
        <w:t>Threat</w:t>
      </w:r>
      <w:proofErr w:type="gramEnd"/>
      <w:r>
        <w:t>) on the business-map sheet. The teacher's role is only to direct the business ideas created by students and evaluate whether the business idea will bring significant changes by increasing the selling value</w:t>
      </w:r>
      <w:r w:rsidR="00961C68">
        <w:t xml:space="preserve">. </w:t>
      </w:r>
      <w:r>
        <w:t xml:space="preserve">If the business idea is appropriate, then the students will then prepare a production implementation plan using the POAC (Planning, Organizing, Actuating, </w:t>
      </w:r>
      <w:proofErr w:type="gramStart"/>
      <w:r>
        <w:t>Controlling</w:t>
      </w:r>
      <w:proofErr w:type="gramEnd"/>
      <w:r>
        <w:t>) approach in the business-map sheet and apply it. In this POAC analysis, students plan important things in building a business, namely the availability of Human Resources (HR) and the division of work specifications consisting of implementing divisions so that each division has job responsibilities, availability of raw materials used, financial resources, and work steps for the manufacture of goods / services.</w:t>
      </w:r>
    </w:p>
    <w:p w:rsidR="00961C68" w:rsidRDefault="00961C68" w:rsidP="00961C68">
      <w:pPr>
        <w:pStyle w:val="BodyText"/>
        <w:ind w:firstLine="0"/>
        <w:rPr>
          <w:b/>
        </w:rPr>
      </w:pPr>
      <w:proofErr w:type="gramStart"/>
      <w:r w:rsidRPr="008B27F0">
        <w:rPr>
          <w:b/>
        </w:rPr>
        <w:lastRenderedPageBreak/>
        <w:t>Figure 1.</w:t>
      </w:r>
      <w:proofErr w:type="gramEnd"/>
      <w:r w:rsidRPr="008B27F0">
        <w:rPr>
          <w:b/>
        </w:rPr>
        <w:t xml:space="preserve"> SWOT analysis on an application-based business map</w:t>
      </w:r>
      <w:r w:rsidR="000209F9">
        <w:rPr>
          <w:b/>
        </w:rPr>
        <w:t xml:space="preserve"> using </w:t>
      </w:r>
      <w:proofErr w:type="spellStart"/>
      <w:r w:rsidR="000209F9">
        <w:rPr>
          <w:b/>
        </w:rPr>
        <w:t>iMindMap</w:t>
      </w:r>
      <w:proofErr w:type="spellEnd"/>
      <w:r w:rsidR="000209F9">
        <w:rPr>
          <w:b/>
        </w:rPr>
        <w:t xml:space="preserve"> application</w:t>
      </w:r>
    </w:p>
    <w:p w:rsidR="00961C68" w:rsidRPr="00961C68" w:rsidRDefault="00961C68" w:rsidP="00961C68">
      <w:pPr>
        <w:pStyle w:val="BodyText"/>
        <w:ind w:firstLine="0"/>
        <w:rPr>
          <w:b/>
        </w:rPr>
      </w:pPr>
    </w:p>
    <w:p w:rsidR="00B66C53" w:rsidRPr="00C74649" w:rsidRDefault="00B66C53" w:rsidP="004A7ADC">
      <w:pPr>
        <w:pStyle w:val="BodyText"/>
        <w:numPr>
          <w:ilvl w:val="0"/>
          <w:numId w:val="13"/>
        </w:numPr>
        <w:spacing w:after="0"/>
        <w:ind w:hanging="720"/>
        <w:rPr>
          <w:i/>
        </w:rPr>
      </w:pPr>
      <w:r w:rsidRPr="00C74649">
        <w:rPr>
          <w:i/>
        </w:rPr>
        <w:t>Expert Validation</w:t>
      </w:r>
    </w:p>
    <w:p w:rsidR="00B66C53" w:rsidRDefault="00B66C53" w:rsidP="004A7ADC">
      <w:pPr>
        <w:pStyle w:val="BodyText"/>
        <w:spacing w:after="0"/>
      </w:pPr>
      <w:r w:rsidRPr="00B66C53">
        <w:t>The initial product that has been developed is tested with a questionnaire through filling out a questionnaire by an expert. The expert in question is someone who is considered to have mastered the development of the learning model. The aspects that will be used in this research are material experts and learning technology experts. Material and learning tools in the form of lesson plans and student worksheets (LKS) were validated by material experts and educational technology experts. Researchers used an instrument in the form of a questionnaire to validate the learning protocol.</w:t>
      </w:r>
    </w:p>
    <w:p w:rsidR="00B66C53" w:rsidRDefault="00B66C53" w:rsidP="004A7ADC">
      <w:pPr>
        <w:pStyle w:val="BodyText"/>
        <w:spacing w:after="0"/>
      </w:pPr>
      <w:r w:rsidRPr="00B66C53">
        <w:t>Through the results of validation and assessment by material experts on the developed business map learning media, the percentage value is 91.96%, which is generally good and suitable for use without revision. This shows that the business map learning media instruments and scenarios are considered feasible to be applied and can improve students' entrepreneurial competence.</w:t>
      </w:r>
    </w:p>
    <w:p w:rsidR="00B66C53" w:rsidRDefault="00B66C53" w:rsidP="004A7ADC">
      <w:pPr>
        <w:pStyle w:val="BodyText"/>
        <w:spacing w:after="0"/>
      </w:pPr>
      <w:r>
        <w:t>In addition, through the results of validation and assessment by material experts on the lesson plans for the business map learning media developed, a percentage value of 94.1% was obtained, which is generally good and suitable for use without revision. This shows that each component in the lesson plan is considered appropriate for learning references and can stimulate students' entrepreneurial competence to increase.</w:t>
      </w:r>
    </w:p>
    <w:p w:rsidR="00B66C53" w:rsidRDefault="00961C68" w:rsidP="004A7ADC">
      <w:pPr>
        <w:pStyle w:val="BodyText"/>
        <w:spacing w:after="0"/>
      </w:pPr>
      <w:r>
        <w:rPr>
          <w:b/>
          <w:noProof/>
        </w:rPr>
        <w:drawing>
          <wp:anchor distT="0" distB="0" distL="114300" distR="114300" simplePos="0" relativeHeight="251658240" behindDoc="0" locked="0" layoutInCell="1" allowOverlap="1" wp14:anchorId="686787C1" wp14:editId="66CFE974">
            <wp:simplePos x="0" y="0"/>
            <wp:positionH relativeFrom="column">
              <wp:posOffset>33020</wp:posOffset>
            </wp:positionH>
            <wp:positionV relativeFrom="paragraph">
              <wp:posOffset>-3960495</wp:posOffset>
            </wp:positionV>
            <wp:extent cx="3157855" cy="1938655"/>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4999" t="21852" r="10625" b="17001"/>
                    <a:stretch>
                      <a:fillRect/>
                    </a:stretch>
                  </pic:blipFill>
                  <pic:spPr bwMode="auto">
                    <a:xfrm>
                      <a:off x="0" y="0"/>
                      <a:ext cx="315785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C53">
        <w:t>The results of validation and assessment by educational technology experts on the developed business map learning media, obtained a percentage value of 81.25%, which is generally good and suitable for use without revision. This shows that learning media in the form of technology is considered appropriate when used in the mapping-project learning process so that it can improve students' knowledge, skills and attitudes.</w:t>
      </w:r>
    </w:p>
    <w:p w:rsidR="00B66C53" w:rsidRPr="00B66C53" w:rsidRDefault="00B66C53" w:rsidP="004A7ADC">
      <w:pPr>
        <w:pStyle w:val="BodyText"/>
        <w:spacing w:after="0"/>
      </w:pPr>
      <w:r>
        <w:t xml:space="preserve">And the results of validation and assessment by practitioners on the development of learning media </w:t>
      </w:r>
      <w:proofErr w:type="spellStart"/>
      <w:r>
        <w:t>media</w:t>
      </w:r>
      <w:proofErr w:type="spellEnd"/>
      <w:r>
        <w:t xml:space="preserve"> business map, obtained a percentage value of 98.6%, which is generally good and feasible to use without revision. Practitioners who in this context are PKK Subject Teachers state that the media is good and ready to be applied where the</w:t>
      </w:r>
      <w:r w:rsidR="000209F9">
        <w:rPr>
          <w:rStyle w:val="CommentReference"/>
          <w:rFonts w:eastAsia="Times New Roman"/>
          <w:spacing w:val="0"/>
        </w:rPr>
        <w:t xml:space="preserve"> l</w:t>
      </w:r>
      <w:r>
        <w:t>esson plans are appropriate if applied to vocational students with PKK subjects but need to pay attention to class mastery when the media is applied.</w:t>
      </w:r>
    </w:p>
    <w:p w:rsidR="008A55B5" w:rsidRDefault="004A7ADC" w:rsidP="00CB1404">
      <w:pPr>
        <w:pStyle w:val="Heading1"/>
      </w:pPr>
      <w:r>
        <w:lastRenderedPageBreak/>
        <w:t>CONCLUSION</w:t>
      </w:r>
    </w:p>
    <w:p w:rsidR="004A7ADC" w:rsidRDefault="004A7ADC" w:rsidP="004A7ADC">
      <w:pPr>
        <w:pStyle w:val="BodyText"/>
      </w:pPr>
      <w:r>
        <w:t>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 Based on the material expert validation on the presentation of material, lesson plans, and student worksheets as well as the validation of learning technology experts on the business-map media, it is in the 80-100% assessment range which is generally good and suitable for use without revision.</w:t>
      </w:r>
    </w:p>
    <w:p w:rsidR="008A55B5" w:rsidRDefault="008A55B5">
      <w:pPr>
        <w:pStyle w:val="Heading5"/>
        <w:rPr>
          <w:rFonts w:eastAsia="MS Mincho"/>
        </w:rPr>
      </w:pPr>
      <w:r>
        <w:rPr>
          <w:rFonts w:eastAsia="MS Mincho"/>
        </w:rPr>
        <w:t xml:space="preserve">Acknowledgment </w:t>
      </w:r>
    </w:p>
    <w:p w:rsidR="00EE4362" w:rsidRDefault="004A7ADC" w:rsidP="004A7ADC">
      <w:pPr>
        <w:pStyle w:val="BodyText"/>
      </w:pPr>
      <w:r w:rsidRPr="004A7ADC">
        <w:t xml:space="preserve">Gratitude goes to the </w:t>
      </w:r>
      <w:proofErr w:type="spellStart"/>
      <w:r w:rsidR="00C74649">
        <w:t>Rektor</w:t>
      </w:r>
      <w:proofErr w:type="spellEnd"/>
      <w:r w:rsidR="00C74649">
        <w:t xml:space="preserve"> and </w:t>
      </w:r>
      <w:r w:rsidRPr="004A7ADC">
        <w:t xml:space="preserve">Head of </w:t>
      </w:r>
      <w:r w:rsidR="00C74649">
        <w:t xml:space="preserve">Economic </w:t>
      </w:r>
      <w:r w:rsidRPr="004A7ADC">
        <w:t xml:space="preserve">Education Study Program, </w:t>
      </w:r>
      <w:proofErr w:type="spellStart"/>
      <w:r w:rsidR="00C74649">
        <w:t>Universitas</w:t>
      </w:r>
      <w:proofErr w:type="spellEnd"/>
      <w:r w:rsidR="00C74649">
        <w:t xml:space="preserve"> </w:t>
      </w:r>
      <w:proofErr w:type="spellStart"/>
      <w:r w:rsidR="00C74649">
        <w:t>Kanjuruhan</w:t>
      </w:r>
      <w:proofErr w:type="spellEnd"/>
      <w:r w:rsidRPr="004A7ADC">
        <w:t xml:space="preserve"> Malang for contributing publication funds and the ANCOSH Committee for providing the opportunity and a place to express research results in the form of proceedings.</w:t>
      </w:r>
    </w:p>
    <w:p w:rsidR="008A55B5" w:rsidRDefault="008A55B5">
      <w:pPr>
        <w:pStyle w:val="Heading5"/>
        <w:rPr>
          <w:rFonts w:eastAsia="MS Mincho"/>
        </w:rPr>
      </w:pPr>
      <w:r>
        <w:rPr>
          <w:rFonts w:eastAsia="MS Mincho"/>
        </w:rPr>
        <w:t>References</w:t>
      </w:r>
    </w:p>
    <w:p w:rsidR="00C74649" w:rsidRPr="00C74649" w:rsidRDefault="00C74649" w:rsidP="00C74649">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C74649">
        <w:rPr>
          <w:noProof/>
          <w:szCs w:val="24"/>
        </w:rPr>
        <w:t>[1]</w:t>
      </w:r>
      <w:r w:rsidRPr="00C74649">
        <w:rPr>
          <w:noProof/>
          <w:szCs w:val="24"/>
        </w:rPr>
        <w:tab/>
        <w:t>K. K. Indonesia, “STATISTIK,” no. 41, pp. 1–16,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[2]</w:t>
      </w:r>
      <w:r w:rsidRPr="00C74649">
        <w:rPr>
          <w:noProof/>
          <w:szCs w:val="24"/>
        </w:rPr>
        <w:tab/>
        <w:t xml:space="preserve">G. Solomon, “An examination of entrepreneurship education in the United States,” </w:t>
      </w:r>
      <w:r w:rsidRPr="00C74649">
        <w:rPr>
          <w:i/>
          <w:iCs/>
          <w:noProof/>
          <w:szCs w:val="24"/>
        </w:rPr>
        <w:t>J. Small Bus. Enterp. Dev.</w:t>
      </w:r>
      <w:r w:rsidRPr="00C74649">
        <w:rPr>
          <w:noProof/>
          <w:szCs w:val="24"/>
        </w:rPr>
        <w:t>, vol. 14, no. 2, pp. 168–182,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[3]</w:t>
      </w:r>
      <w:r w:rsidRPr="00C74649">
        <w:rPr>
          <w:noProof/>
          <w:szCs w:val="24"/>
        </w:rPr>
        <w:tab/>
        <w:t>B. Y. R. Hujer, S. L. Thomsen, and C. Zeiss, “T h e effects of vocational training p r o g r a m m e s on the duration of u n e m p l o y m e n t in Eastern Germany *,” vol. 321, no. 2001, pp. 299–321, 2006.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[4]</w:t>
      </w:r>
      <w:r w:rsidRPr="00C74649">
        <w:rPr>
          <w:noProof/>
          <w:szCs w:val="24"/>
        </w:rPr>
        <w:tab/>
        <w:t xml:space="preserve">T. Järvi, “Teaching entrepreneurship in vocational education viewed from the regional and field perspectives,” </w:t>
      </w:r>
      <w:r w:rsidRPr="00C74649">
        <w:rPr>
          <w:i/>
          <w:iCs/>
          <w:noProof/>
          <w:szCs w:val="24"/>
        </w:rPr>
        <w:t>J. Vocat. Educ. Train.</w:t>
      </w:r>
      <w:r w:rsidRPr="00C74649">
        <w:rPr>
          <w:noProof/>
          <w:szCs w:val="24"/>
        </w:rPr>
        <w:t>, vol. 64, no. 3, pp. 365–377, 2012.</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[5]</w:t>
      </w:r>
      <w:r w:rsidRPr="00C74649">
        <w:rPr>
          <w:noProof/>
          <w:szCs w:val="24"/>
        </w:rPr>
        <w:tab/>
        <w:t xml:space="preserve">A. Winarno, “Entrepreneurship Education in Vocational Schools: Characteristics of Teachers, Schools and Risk Implementation of the Curriculum 2013 in Indonesia,” </w:t>
      </w:r>
      <w:r w:rsidRPr="00C74649">
        <w:rPr>
          <w:i/>
          <w:iCs/>
          <w:noProof/>
          <w:szCs w:val="24"/>
        </w:rPr>
        <w:t>J. Educ. Pract.</w:t>
      </w:r>
      <w:r w:rsidRPr="00C74649">
        <w:rPr>
          <w:noProof/>
          <w:szCs w:val="24"/>
        </w:rPr>
        <w:t>, vol. 7, no. 9, pp. 122–127, 2016.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[6]</w:t>
      </w:r>
      <w:r w:rsidRPr="00C74649">
        <w:rPr>
          <w:noProof/>
          <w:szCs w:val="24"/>
        </w:rPr>
        <w:tab/>
        <w:t xml:space="preserve">A. Fayolle and B. Gailly, “The impact of entrepreneurship education on entrepreneurial attitudes and intention: Hysteresis and persistence,” </w:t>
      </w:r>
      <w:r w:rsidRPr="00C74649">
        <w:rPr>
          <w:i/>
          <w:iCs/>
          <w:noProof/>
          <w:szCs w:val="24"/>
        </w:rPr>
        <w:t>J. Small Bus. Manag.</w:t>
      </w:r>
      <w:r w:rsidRPr="00C74649">
        <w:rPr>
          <w:noProof/>
          <w:szCs w:val="24"/>
        </w:rPr>
        <w:t>, vol. 53, no. 1, pp. 75–93,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[7]</w:t>
      </w:r>
      <w:r w:rsidRPr="00C74649">
        <w:rPr>
          <w:noProof/>
          <w:szCs w:val="24"/>
        </w:rPr>
        <w:tab/>
        <w:t xml:space="preserve">R. Bell, “Developing the next generation of entrepreneurs: Giving students the opportunity to gain experience and thrive,” </w:t>
      </w:r>
      <w:r w:rsidRPr="00C74649">
        <w:rPr>
          <w:i/>
          <w:iCs/>
          <w:noProof/>
          <w:szCs w:val="24"/>
        </w:rPr>
        <w:t>Int. J. Manag. Educ.</w:t>
      </w:r>
      <w:r w:rsidRPr="00C74649">
        <w:rPr>
          <w:noProof/>
          <w:szCs w:val="24"/>
        </w:rPr>
        <w:t>, vol. 13, no. 1, pp. 37–47,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[8]</w:t>
      </w:r>
      <w:r w:rsidRPr="00C74649">
        <w:rPr>
          <w:noProof/>
          <w:szCs w:val="24"/>
        </w:rPr>
        <w:tab/>
        <w:t xml:space="preserve">M. Bagheri, W. Zah, W. Ali, M. Chong, B. Abdullah, and S. M. Daud, “Effects of Project-based Learning Strategy on Self-directed Learning Skills of Educational Technology Students,” </w:t>
      </w:r>
      <w:r w:rsidRPr="00C74649">
        <w:rPr>
          <w:i/>
          <w:iCs/>
          <w:noProof/>
          <w:szCs w:val="24"/>
        </w:rPr>
        <w:t>Contemp. Educ. Technol.</w:t>
      </w:r>
      <w:r w:rsidRPr="00C74649">
        <w:rPr>
          <w:noProof/>
          <w:szCs w:val="24"/>
        </w:rPr>
        <w:t>, vol. 4, no. 1, pp. 15–29, 2013.</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[9]</w:t>
      </w:r>
      <w:r w:rsidRPr="00C74649">
        <w:rPr>
          <w:noProof/>
          <w:szCs w:val="24"/>
        </w:rPr>
        <w:tab/>
        <w:t xml:space="preserve">E. Ruskovaara and T. Pihkala, “Entrepreneurship education in schools: Empirical evidence on the teacher’s role,” </w:t>
      </w:r>
      <w:r w:rsidRPr="00C74649">
        <w:rPr>
          <w:i/>
          <w:iCs/>
          <w:noProof/>
          <w:szCs w:val="24"/>
        </w:rPr>
        <w:t>J. Educ. Res.</w:t>
      </w:r>
      <w:r w:rsidRPr="00C74649">
        <w:rPr>
          <w:noProof/>
          <w:szCs w:val="24"/>
        </w:rPr>
        <w:t>, vol. 108, no. 3, pp. 236–249,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lastRenderedPageBreak/>
        <w:t>[10]</w:t>
      </w:r>
      <w:r w:rsidRPr="00C74649">
        <w:rPr>
          <w:noProof/>
          <w:szCs w:val="24"/>
        </w:rPr>
        <w:tab/>
        <w:t xml:space="preserve">M. Botha, “A project-based learning approach as a method of teaching entrepreneurship to a large group of undergraduate students in South Africa,” </w:t>
      </w:r>
      <w:r w:rsidRPr="00C74649">
        <w:rPr>
          <w:i/>
          <w:iCs/>
          <w:noProof/>
          <w:szCs w:val="24"/>
        </w:rPr>
        <w:t>Educ. as Chang.</w:t>
      </w:r>
      <w:r w:rsidRPr="00C74649">
        <w:rPr>
          <w:noProof/>
          <w:szCs w:val="24"/>
        </w:rPr>
        <w:t>, vol. 14, no. 2, pp. 213–232, 2010.</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[11]</w:t>
      </w:r>
      <w:r w:rsidRPr="00C74649">
        <w:rPr>
          <w:noProof/>
          <w:szCs w:val="24"/>
        </w:rPr>
        <w:tab/>
        <w:t>R. Putri, H. Wahyono, and D. A. N. B. Pranowo, “PENGEMBANGAN MODEL PEMBELAJARAN EKONOMI THE MONEY ADVENTURE ( TMA ).”</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[12]</w:t>
      </w:r>
      <w:r w:rsidRPr="00C74649">
        <w:rPr>
          <w:noProof/>
          <w:szCs w:val="24"/>
        </w:rPr>
        <w:tab/>
        <w:t xml:space="preserve">M. Henrekson, “Entrepreneurship and Institutions,” </w:t>
      </w:r>
      <w:r w:rsidRPr="00C74649">
        <w:rPr>
          <w:i/>
          <w:iCs/>
          <w:noProof/>
          <w:szCs w:val="24"/>
        </w:rPr>
        <w:t>Ssrn</w:t>
      </w:r>
      <w:r w:rsidRPr="00C74649">
        <w:rPr>
          <w:noProof/>
          <w:szCs w:val="24"/>
        </w:rPr>
        <w:t>, vol. 2, no. 1, pp. 74–89,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[13]</w:t>
      </w:r>
      <w:r w:rsidRPr="00C74649">
        <w:rPr>
          <w:noProof/>
          <w:szCs w:val="24"/>
        </w:rPr>
        <w:tab/>
        <w:t xml:space="preserve">M. Delmastro, “Technology-Based Entrepreneurs : Does Internet Make a Difference ?,” pp. 177–190, </w:t>
      </w:r>
      <w:r w:rsidRPr="00C74649">
        <w:rPr>
          <w:noProof/>
          <w:szCs w:val="24"/>
        </w:rPr>
        <w:lastRenderedPageBreak/>
        <w:t>2001.</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[14]</w:t>
      </w:r>
      <w:r w:rsidRPr="00C74649">
        <w:rPr>
          <w:noProof/>
          <w:szCs w:val="24"/>
        </w:rPr>
        <w:tab/>
        <w:t>K. Kleine, “The Learning Process in Technology from an Engineering Degree *,” vol. 00, no. 00, pp. 1–17,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[15]</w:t>
      </w:r>
      <w:r w:rsidRPr="00C74649">
        <w:rPr>
          <w:noProof/>
          <w:szCs w:val="24"/>
        </w:rPr>
        <w:tab/>
        <w:t>Q. Aini, I. Dhaniarti, and A. Khoirunisa, “Effects of iLearning Media on Student Learning Motivation,” vol. 3, no. 1, pp. 1–12, 2019.</w:t>
      </w:r>
    </w:p>
    <w:p w:rsidR="00C74649" w:rsidRPr="00C74649" w:rsidRDefault="00C74649" w:rsidP="00C74649">
      <w:pPr>
        <w:widowControl w:val="0"/>
        <w:autoSpaceDE w:val="0"/>
        <w:autoSpaceDN w:val="0"/>
        <w:adjustRightInd w:val="0"/>
        <w:ind w:left="640" w:hanging="640"/>
        <w:jc w:val="both"/>
        <w:rPr>
          <w:noProof/>
        </w:rPr>
      </w:pPr>
      <w:r w:rsidRPr="00C74649">
        <w:rPr>
          <w:noProof/>
          <w:szCs w:val="24"/>
        </w:rPr>
        <w:t>[16]</w:t>
      </w:r>
      <w:r w:rsidRPr="00C74649">
        <w:rPr>
          <w:noProof/>
          <w:szCs w:val="24"/>
        </w:rPr>
        <w:tab/>
        <w:t xml:space="preserve">Sugiyono, </w:t>
      </w:r>
      <w:r w:rsidRPr="00C74649">
        <w:rPr>
          <w:i/>
          <w:iCs/>
          <w:noProof/>
          <w:szCs w:val="24"/>
        </w:rPr>
        <w:t>Metode Penelitian Pendidikan: Pendekatan Kuantitatif, Kualitatif, dan R&amp;D</w:t>
      </w:r>
      <w:r w:rsidRPr="00C74649">
        <w:rPr>
          <w:noProof/>
          <w:szCs w:val="24"/>
        </w:rPr>
        <w:t>. Bandung: Alfabeta, 2013.</w:t>
      </w:r>
    </w:p>
    <w:p w:rsidR="008A55B5" w:rsidRDefault="00C74649" w:rsidP="00C74649">
      <w:pPr>
        <w:widowControl w:val="0"/>
        <w:autoSpaceDE w:val="0"/>
        <w:autoSpaceDN w:val="0"/>
        <w:adjustRightInd w:val="0"/>
        <w:ind w:left="640" w:hanging="640"/>
        <w:jc w:val="both"/>
      </w:pPr>
      <w:r>
        <w:fldChar w:fldCharType="end"/>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3F211710"/>
    <w:multiLevelType w:val="hybridMultilevel"/>
    <w:tmpl w:val="84C02248"/>
    <w:lvl w:ilvl="0" w:tplc="81EC9AB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00"/>
        </w:tabs>
        <w:ind w:left="53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209F9"/>
    <w:rsid w:val="000333BD"/>
    <w:rsid w:val="0004390D"/>
    <w:rsid w:val="000B4641"/>
    <w:rsid w:val="0010010F"/>
    <w:rsid w:val="0010711E"/>
    <w:rsid w:val="00127EDD"/>
    <w:rsid w:val="00161E19"/>
    <w:rsid w:val="00203580"/>
    <w:rsid w:val="00256FB3"/>
    <w:rsid w:val="00276735"/>
    <w:rsid w:val="002864A3"/>
    <w:rsid w:val="002B3B81"/>
    <w:rsid w:val="003A47B5"/>
    <w:rsid w:val="003A59A6"/>
    <w:rsid w:val="004059FE"/>
    <w:rsid w:val="004445B3"/>
    <w:rsid w:val="004A7ADC"/>
    <w:rsid w:val="005B520E"/>
    <w:rsid w:val="005B535B"/>
    <w:rsid w:val="00605675"/>
    <w:rsid w:val="006108A4"/>
    <w:rsid w:val="006252C8"/>
    <w:rsid w:val="006539EA"/>
    <w:rsid w:val="006A316D"/>
    <w:rsid w:val="006C4648"/>
    <w:rsid w:val="006F4439"/>
    <w:rsid w:val="0072064C"/>
    <w:rsid w:val="007442B3"/>
    <w:rsid w:val="00753F7B"/>
    <w:rsid w:val="0078398E"/>
    <w:rsid w:val="00787C5A"/>
    <w:rsid w:val="007919DE"/>
    <w:rsid w:val="00794BBE"/>
    <w:rsid w:val="007C0308"/>
    <w:rsid w:val="008014D2"/>
    <w:rsid w:val="008054BC"/>
    <w:rsid w:val="008A55B5"/>
    <w:rsid w:val="008A75C8"/>
    <w:rsid w:val="008B27F0"/>
    <w:rsid w:val="00941589"/>
    <w:rsid w:val="00961C68"/>
    <w:rsid w:val="0097508D"/>
    <w:rsid w:val="00994E69"/>
    <w:rsid w:val="00A510F7"/>
    <w:rsid w:val="00AC6519"/>
    <w:rsid w:val="00AE1398"/>
    <w:rsid w:val="00B66C53"/>
    <w:rsid w:val="00BF0F36"/>
    <w:rsid w:val="00C34765"/>
    <w:rsid w:val="00C41A48"/>
    <w:rsid w:val="00C74649"/>
    <w:rsid w:val="00CB1404"/>
    <w:rsid w:val="00CB66E6"/>
    <w:rsid w:val="00CD4B47"/>
    <w:rsid w:val="00D81834"/>
    <w:rsid w:val="00D9156D"/>
    <w:rsid w:val="00DB7A55"/>
    <w:rsid w:val="00DE488E"/>
    <w:rsid w:val="00DF4C2D"/>
    <w:rsid w:val="00E91219"/>
    <w:rsid w:val="00EA506F"/>
    <w:rsid w:val="00EC14E9"/>
    <w:rsid w:val="00EE4362"/>
    <w:rsid w:val="00EF18D7"/>
    <w:rsid w:val="00EF1E8A"/>
    <w:rsid w:val="00EF3A1A"/>
    <w:rsid w:val="00F4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 w:type="character" w:styleId="CommentReference">
    <w:name w:val="annotation reference"/>
    <w:basedOn w:val="DefaultParagraphFont"/>
    <w:uiPriority w:val="99"/>
    <w:semiHidden/>
    <w:unhideWhenUsed/>
    <w:rsid w:val="00C34765"/>
    <w:rPr>
      <w:sz w:val="16"/>
      <w:szCs w:val="16"/>
    </w:rPr>
  </w:style>
  <w:style w:type="paragraph" w:styleId="CommentText">
    <w:name w:val="annotation text"/>
    <w:basedOn w:val="Normal"/>
    <w:link w:val="CommentTextChar"/>
    <w:uiPriority w:val="99"/>
    <w:semiHidden/>
    <w:unhideWhenUsed/>
    <w:rsid w:val="00C34765"/>
  </w:style>
  <w:style w:type="character" w:customStyle="1" w:styleId="CommentTextChar">
    <w:name w:val="Comment Text Char"/>
    <w:basedOn w:val="DefaultParagraphFont"/>
    <w:link w:val="CommentText"/>
    <w:uiPriority w:val="99"/>
    <w:semiHidden/>
    <w:rsid w:val="00C347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34765"/>
    <w:rPr>
      <w:b/>
      <w:bCs/>
    </w:rPr>
  </w:style>
  <w:style w:type="character" w:customStyle="1" w:styleId="CommentSubjectChar">
    <w:name w:val="Comment Subject Char"/>
    <w:basedOn w:val="CommentTextChar"/>
    <w:link w:val="CommentSubject"/>
    <w:uiPriority w:val="99"/>
    <w:semiHidden/>
    <w:rsid w:val="00C34765"/>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 w:type="character" w:styleId="CommentReference">
    <w:name w:val="annotation reference"/>
    <w:basedOn w:val="DefaultParagraphFont"/>
    <w:uiPriority w:val="99"/>
    <w:semiHidden/>
    <w:unhideWhenUsed/>
    <w:rsid w:val="00C34765"/>
    <w:rPr>
      <w:sz w:val="16"/>
      <w:szCs w:val="16"/>
    </w:rPr>
  </w:style>
  <w:style w:type="paragraph" w:styleId="CommentText">
    <w:name w:val="annotation text"/>
    <w:basedOn w:val="Normal"/>
    <w:link w:val="CommentTextChar"/>
    <w:uiPriority w:val="99"/>
    <w:semiHidden/>
    <w:unhideWhenUsed/>
    <w:rsid w:val="00C34765"/>
  </w:style>
  <w:style w:type="character" w:customStyle="1" w:styleId="CommentTextChar">
    <w:name w:val="Comment Text Char"/>
    <w:basedOn w:val="DefaultParagraphFont"/>
    <w:link w:val="CommentText"/>
    <w:uiPriority w:val="99"/>
    <w:semiHidden/>
    <w:rsid w:val="00C347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34765"/>
    <w:rPr>
      <w:b/>
      <w:bCs/>
    </w:rPr>
  </w:style>
  <w:style w:type="character" w:customStyle="1" w:styleId="CommentSubjectChar">
    <w:name w:val="Comment Subject Char"/>
    <w:basedOn w:val="CommentTextChar"/>
    <w:link w:val="CommentSubject"/>
    <w:uiPriority w:val="99"/>
    <w:semiHidden/>
    <w:rsid w:val="00C3476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8149-8627-4ABC-95C1-9EC5F918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6958</Words>
  <Characters>39662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4</cp:revision>
  <dcterms:created xsi:type="dcterms:W3CDTF">2020-11-04T14:34:00Z</dcterms:created>
  <dcterms:modified xsi:type="dcterms:W3CDTF">2020-12-01T12:53:00Z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b0a28c16-9b6b-3a9d-b161-121688314404</vt:lpwstr>
  </property>
  <property fmtid="{D5CDD505-2E9C-101B-9397-08002B2CF9AE}" pid="24" name="Mendeley Citation Style_1">
    <vt:lpwstr>http://www.zotero.org/styles/ieee</vt:lpwstr>
  </property>
</Properties>
</file>