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6AE2D" w14:textId="41151A19" w:rsidR="00EA3F4B" w:rsidRPr="00CE57CF" w:rsidRDefault="006816DC">
      <w:pPr>
        <w:pStyle w:val="StyleTitleLeft005cm"/>
        <w:rPr>
          <w:rFonts w:ascii="Times New Roman" w:hAnsi="Times New Roman"/>
        </w:rPr>
      </w:pPr>
      <w:r w:rsidRPr="006816DC">
        <w:rPr>
          <w:rFonts w:ascii="Times New Roman" w:hAnsi="Times New Roman"/>
        </w:rPr>
        <w:t>Fault Tolerance Strategy to Increase Moodle Service Reliability</w:t>
      </w:r>
    </w:p>
    <w:p w14:paraId="6CF4D095" w14:textId="7A89DEF6"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006816DC" w:rsidRPr="006816DC">
        <w:rPr>
          <w:rFonts w:ascii="Times New Roman" w:hAnsi="Times New Roman"/>
        </w:rPr>
        <w:t xml:space="preserve">Moodle is one of online Learning Management System that can be downloaded and installed on our server for free. Moodle is suitable solution for universities to organize online learning. Changing all learning activities from offline to online during a pandemic situation, especially for universities, requires Moodle services to be reliably available.  This is because the university has a higher number of students when compared to schools or lower education. The more students it means the more traffic should be handled by </w:t>
      </w:r>
      <w:r w:rsidR="00480E2E" w:rsidRPr="006816DC">
        <w:rPr>
          <w:rFonts w:ascii="Times New Roman" w:hAnsi="Times New Roman"/>
        </w:rPr>
        <w:t>Moodle</w:t>
      </w:r>
      <w:r w:rsidR="006816DC" w:rsidRPr="006816DC">
        <w:rPr>
          <w:rFonts w:ascii="Times New Roman" w:hAnsi="Times New Roman"/>
        </w:rPr>
        <w:t xml:space="preserve"> server. Moodle consists of system, </w:t>
      </w:r>
      <w:r w:rsidR="00673335" w:rsidRPr="006816DC">
        <w:rPr>
          <w:rFonts w:ascii="Times New Roman" w:hAnsi="Times New Roman"/>
        </w:rPr>
        <w:t>user’s</w:t>
      </w:r>
      <w:r w:rsidR="006816DC" w:rsidRPr="006816DC">
        <w:rPr>
          <w:rFonts w:ascii="Times New Roman" w:hAnsi="Times New Roman"/>
        </w:rPr>
        <w:t xml:space="preserve"> </w:t>
      </w:r>
      <w:proofErr w:type="gramStart"/>
      <w:r w:rsidR="006816DC" w:rsidRPr="006816DC">
        <w:rPr>
          <w:rFonts w:ascii="Times New Roman" w:hAnsi="Times New Roman"/>
        </w:rPr>
        <w:t>data</w:t>
      </w:r>
      <w:proofErr w:type="gramEnd"/>
      <w:r w:rsidR="006816DC" w:rsidRPr="006816DC">
        <w:rPr>
          <w:rFonts w:ascii="Times New Roman" w:hAnsi="Times New Roman"/>
        </w:rPr>
        <w:t xml:space="preserve"> and a database. To increase </w:t>
      </w:r>
      <w:r w:rsidR="00480E2E" w:rsidRPr="006816DC">
        <w:rPr>
          <w:rFonts w:ascii="Times New Roman" w:hAnsi="Times New Roman"/>
        </w:rPr>
        <w:t>Moodle</w:t>
      </w:r>
      <w:r w:rsidR="006816DC" w:rsidRPr="006816DC">
        <w:rPr>
          <w:rFonts w:ascii="Times New Roman" w:hAnsi="Times New Roman"/>
        </w:rPr>
        <w:t xml:space="preserve"> </w:t>
      </w:r>
      <w:r w:rsidR="00673335" w:rsidRPr="006816DC">
        <w:rPr>
          <w:rFonts w:ascii="Times New Roman" w:hAnsi="Times New Roman"/>
        </w:rPr>
        <w:t>reliability,</w:t>
      </w:r>
      <w:r w:rsidR="006816DC" w:rsidRPr="006816DC">
        <w:rPr>
          <w:rFonts w:ascii="Times New Roman" w:hAnsi="Times New Roman"/>
        </w:rPr>
        <w:t xml:space="preserve"> we can rely on these components. We can use virtualization technology to simplify migration system and recovery process. Distributed file system technology is a best solution to store </w:t>
      </w:r>
      <w:r w:rsidR="00480E2E" w:rsidRPr="006816DC">
        <w:rPr>
          <w:rFonts w:ascii="Times New Roman" w:hAnsi="Times New Roman"/>
        </w:rPr>
        <w:t>Moodle</w:t>
      </w:r>
      <w:r w:rsidR="006816DC" w:rsidRPr="006816DC">
        <w:rPr>
          <w:rFonts w:ascii="Times New Roman" w:hAnsi="Times New Roman"/>
        </w:rPr>
        <w:t xml:space="preserve"> user data because it can be replicated into several nodes and support for high availability. </w:t>
      </w:r>
      <w:r w:rsidR="00FD1453" w:rsidRPr="006816DC">
        <w:rPr>
          <w:rFonts w:ascii="Times New Roman" w:hAnsi="Times New Roman"/>
        </w:rPr>
        <w:t>Finally,</w:t>
      </w:r>
      <w:r w:rsidR="006816DC" w:rsidRPr="006816DC">
        <w:rPr>
          <w:rFonts w:ascii="Times New Roman" w:hAnsi="Times New Roman"/>
        </w:rPr>
        <w:t xml:space="preserve"> the last component of </w:t>
      </w:r>
      <w:r w:rsidR="00480E2E" w:rsidRPr="006816DC">
        <w:rPr>
          <w:rFonts w:ascii="Times New Roman" w:hAnsi="Times New Roman"/>
        </w:rPr>
        <w:t>Moodle</w:t>
      </w:r>
      <w:r w:rsidR="006816DC" w:rsidRPr="006816DC">
        <w:rPr>
          <w:rFonts w:ascii="Times New Roman" w:hAnsi="Times New Roman"/>
        </w:rPr>
        <w:t xml:space="preserve"> is a database, we can replicate the database </w:t>
      </w:r>
      <w:r w:rsidR="000134E6" w:rsidRPr="006816DC">
        <w:rPr>
          <w:rFonts w:ascii="Times New Roman" w:hAnsi="Times New Roman"/>
        </w:rPr>
        <w:t>into</w:t>
      </w:r>
      <w:r w:rsidR="006816DC" w:rsidRPr="006816DC">
        <w:rPr>
          <w:rFonts w:ascii="Times New Roman" w:hAnsi="Times New Roman"/>
        </w:rPr>
        <w:t xml:space="preserve"> several machine to increase availability. At the top of every </w:t>
      </w:r>
      <w:r w:rsidR="00480E2E" w:rsidRPr="006816DC">
        <w:rPr>
          <w:rFonts w:ascii="Times New Roman" w:hAnsi="Times New Roman"/>
        </w:rPr>
        <w:t>Moodle</w:t>
      </w:r>
      <w:r w:rsidR="006816DC" w:rsidRPr="006816DC">
        <w:rPr>
          <w:rFonts w:ascii="Times New Roman" w:hAnsi="Times New Roman"/>
        </w:rPr>
        <w:t xml:space="preserve"> </w:t>
      </w:r>
      <w:r w:rsidR="004D0723" w:rsidRPr="006816DC">
        <w:rPr>
          <w:rFonts w:ascii="Times New Roman" w:hAnsi="Times New Roman"/>
        </w:rPr>
        <w:t>components,</w:t>
      </w:r>
      <w:r w:rsidR="006816DC" w:rsidRPr="006816DC">
        <w:rPr>
          <w:rFonts w:ascii="Times New Roman" w:hAnsi="Times New Roman"/>
        </w:rPr>
        <w:t xml:space="preserve"> we need cluster control to make sure all of </w:t>
      </w:r>
      <w:r w:rsidR="00480E2E" w:rsidRPr="006816DC">
        <w:rPr>
          <w:rFonts w:ascii="Times New Roman" w:hAnsi="Times New Roman"/>
        </w:rPr>
        <w:t>Moodle</w:t>
      </w:r>
      <w:r w:rsidR="006816DC" w:rsidRPr="006816DC">
        <w:rPr>
          <w:rFonts w:ascii="Times New Roman" w:hAnsi="Times New Roman"/>
        </w:rPr>
        <w:t xml:space="preserve"> components can be accessed.</w:t>
      </w:r>
    </w:p>
    <w:p w14:paraId="06F2D4FA" w14:textId="451FDE0C" w:rsidR="00EA3F4B" w:rsidRDefault="00EA3F4B">
      <w:pPr>
        <w:pStyle w:val="section"/>
        <w:spacing w:before="0"/>
        <w:rPr>
          <w:rFonts w:ascii="Times New Roman" w:hAnsi="Times New Roman"/>
        </w:rPr>
      </w:pPr>
      <w:r w:rsidRPr="00CE57CF">
        <w:rPr>
          <w:rFonts w:ascii="Times New Roman" w:hAnsi="Times New Roman"/>
        </w:rPr>
        <w:t>Introduction</w:t>
      </w:r>
    </w:p>
    <w:p w14:paraId="5EC0C6EE" w14:textId="333C51D4" w:rsidR="000B3BAF" w:rsidRDefault="00CE4E8C" w:rsidP="006816DC">
      <w:pPr>
        <w:pStyle w:val="BodyChar"/>
      </w:pPr>
      <w:r>
        <w:t>Moodle is an open source learning processing system that is widely used in tertiary institutions</w:t>
      </w:r>
      <w:r>
        <w:t xml:space="preserve"> </w:t>
      </w:r>
      <w:r w:rsidR="009A73B8">
        <w:fldChar w:fldCharType="begin" w:fldLock="1"/>
      </w:r>
      <w:r w:rsidR="002915B2">
        <w:instrText>ADDIN CSL_CITATION {"citationItems":[{"id":"ITEM-1","itemData":{"DOI":"10.1016/j.heliyon.2020.e05519","ISSN":"24058440","abstract":"Despite the increasingly critical role of e-learning in higher education, there is limited understanding of the satisfaction essentials of multi-generational students' cohorts undertaking online courses. In this study, we examine the perceived value of educational experiences of multi-generational students' cohorts studying via an online learning management system (Moodle). The study analysed survey responses from multi-generational students (N = 611) on a core subject in an undergraduate business school programme. The results show that Generations X, Y and Z students produce different students' satisfaction levels in distinct components of the online programme; namely, course design, course delivery, course delivery environment and preference of the mode of delivery. Generations cohorts account for remarkable effects in the total satisfaction of students on the online learning programme. The results suggest that contextualising online teaching based on multi-generational students' cohort composition could be one strategy to enhance student learning experience and satisfaction.","author":[{"dropping-particle":"","family":"Yawson","given":"David Eshun","non-dropping-particle":"","parse-names":false,"suffix":""},{"dropping-particle":"","family":"Yamoah","given":"Fred Amofa","non-dropping-particle":"","parse-names":false,"suffix":""}],"container-title":"Heliyon","id":"ITEM-1","issue":"11","issued":{"date-parts":[["2020"]]},"page":"e05519","publisher":"Elsevier Ltd","title":"Understanding satisfaction essentials of E-learning in higher education: A multi-generational cohort perspective","type":"article-journal","volume":"6"},"uris":["http://www.mendeley.com/documents/?uuid=b9b50bca-b0b9-408c-86be-c7431a2c377e"]}],"mendeley":{"formattedCitation":"[1]","plainTextFormattedCitation":"[1]","previouslyFormattedCitation":"[1]"},"properties":{"noteIndex":0},"schema":"https://github.com/citation-style-language/schema/raw/master/csl-citation.json"}</w:instrText>
      </w:r>
      <w:r w:rsidR="009A73B8">
        <w:fldChar w:fldCharType="separate"/>
      </w:r>
      <w:r w:rsidR="004104E7" w:rsidRPr="004104E7">
        <w:rPr>
          <w:noProof/>
        </w:rPr>
        <w:t>[1]</w:t>
      </w:r>
      <w:r w:rsidR="009A73B8">
        <w:fldChar w:fldCharType="end"/>
      </w:r>
      <w:r w:rsidR="009A73B8">
        <w:t xml:space="preserve">. </w:t>
      </w:r>
      <w:r>
        <w:t>Moodle is perfectly designed to support multiple learning models, whether ground, blended or hybrid learning</w:t>
      </w:r>
      <w:r>
        <w:t xml:space="preserve"> </w:t>
      </w:r>
      <w:r w:rsidR="00845F21">
        <w:fldChar w:fldCharType="begin" w:fldLock="1"/>
      </w:r>
      <w:r w:rsidR="002915B2">
        <w:instrText>ADDIN CSL_CITATION {"citationItems":[{"id":"ITEM-1","itemData":{"DOI":"10.1007/s10758-018-9354-3","ISBN":"1075801893","ISSN":"22111670","abstract":"Moodle has become popular worldwide in all levels of education. Although several studies have focused on analyzing the use of the Moodle platform as a whole, few contributions have examined the use of each activity included in Moodle, and its potential impact in learning. The survey collected data from 132 teachers in 43 secondary schools in Catalonia (Spain), considering teachers’ individual information, teachers’ frequency of use of Moodle activities, and teachers’ perception of how the use of Moodle impacts learning. Findings from all teachers suggest that assignment, quiz, forum, lesson, and external tool are the activities used most by teachers, and providing new educational scenarios is the main perceived learning impact. Moreover, only teachers as users of a narrow range of activities perceived the teaching and learning impact of Moodle as significantly higher: database (creation and sharing information tool), forum (communication tool), glossary (collaboration tool), and quiz and survey (assessment tools).","author":[{"dropping-particle":"","family":"Badia","given":"Antoni","non-dropping-particle":"","parse-names":false,"suffix":""},{"dropping-particle":"","family":"Martín","given":"David","non-dropping-particle":"","parse-names":false,"suffix":""},{"dropping-particle":"","family":"Gómez","given":"Marta","non-dropping-particle":"","parse-names":false,"suffix":""}],"container-title":"Technology, Knowledge and Learning","id":"ITEM-1","issue":"3","issued":{"date-parts":[["2019"]]},"page":"483-499","publisher":"Springer Netherlands","title":"Teachers’ Perceptions of the Use of Moodle Activities and Their Learning Impact in Secondary Education","type":"article-journal","volume":"24"},"uris":["http://www.mendeley.com/documents/?uuid=46ce4c67-3b49-41db-88d0-5e692c8f3e2e"]}],"mendeley":{"formattedCitation":"[2]","plainTextFormattedCitation":"[2]","previouslyFormattedCitation":"[2]"},"properties":{"noteIndex":0},"schema":"https://github.com/citation-style-language/schema/raw/master/csl-citation.json"}</w:instrText>
      </w:r>
      <w:r w:rsidR="00845F21">
        <w:fldChar w:fldCharType="separate"/>
      </w:r>
      <w:r w:rsidR="004104E7" w:rsidRPr="004104E7">
        <w:rPr>
          <w:noProof/>
        </w:rPr>
        <w:t>[2]</w:t>
      </w:r>
      <w:r w:rsidR="00845F21">
        <w:fldChar w:fldCharType="end"/>
      </w:r>
      <w:r w:rsidR="00845F21">
        <w:t xml:space="preserve">. </w:t>
      </w:r>
      <w:r>
        <w:t>In addition to endorsing multiple learning models, it is also very conceivable to use Moodle as a MOOC (Massive Open Online Course) platform</w:t>
      </w:r>
      <w:r>
        <w:t xml:space="preserve"> </w:t>
      </w:r>
      <w:r w:rsidR="001B6FB1">
        <w:fldChar w:fldCharType="begin" w:fldLock="1"/>
      </w:r>
      <w:r w:rsidR="002915B2">
        <w:instrText>ADDIN CSL_CITATION {"citationItems":[{"id":"ITEM-1","itemData":{"DOI":"10.1016/j.psicoe.2019.08.001","ISSN":"25303805","abstract":"This study examines the efficacy of a MOOC-format instructional program, Improvement of personal competencies for success, which entailed the use of four clearly differentiated instructional approaches (three experimental approaches and one control approach): (1) product, with an emphasis on the final result and the overall quality; (2) processes, with an emphasis on recursion and constant self-assessment of the processes; (3) mixed, oriented on the result and overall quality as well as to recursion, self-reflection and self-assessment; and (4) traditional (control) focused on online instruction of the subjects and on the accomplishment of tasks. The MOOC was designed and implemented through the Universidad de León’s external Moodle (Ariadne). It involved 745 people aged between 10 and 50, though only 336 completed it. The results demonstrate the efficacy of the MOOC—irrespective of the instructional approach followed—for instruction on different contents and competencies, such as resilience, achievement motivation and self-esteem; they reveal a statistically significant increase in different variables such as self-efficacy and they confirm the effectiveness of Moodle for the design and development of a MOOC. The implications of these findings are discussed and evaluated. Resumen En este estudio se analiza la eficacia de un programa instruccional, Mejora de las Competencias Personales para el Éxito (APS-ÉXITO), en formato de MOOC, con cuatro enfoques instruccionales (tres experimentales y uno de control) claramente diferenciales: (1) producto con énfasis en el resultado final y en la calidad global; (2) procesos con hincapié en la recursividad, y en la autovaloración constante de los procesos; (3) mixto orientado tanto al resultado y calidad global, como a la recursividad, autorreflexión y autovaloración; y, (4) tradicional (control) centrado en la instrucción en línea de los temas y en la realización de tareas. Todo ello, diseñado y aplicado a través del Moodle Externo de la Universidad de León (Ariadna) en el que participan 745 personas con edades entre los 10 y 50 años, si bien solo lo culminan 336. Los resultados demuestran la eficacia del MOOC para la instrucción en contenidos y competencias diversas tales como resiliencia, motivación de logro y autoestima, con independencia del enfoque instruccional seguido, a lo que se añade un aumento estadísticamente significativo en diferentes variables como la autoeficacia. Las implicaciones de estos resultad…","author":[{"dropping-particle":"","family":"García-Martín","given":"Judit","non-dropping-particle":"","parse-names":false,"suffix":""},{"dropping-particle":"","family":"García-Sánchez","given":"Jesús-Nicasio","non-dropping-particle":"","parse-names":false,"suffix":""}],"container-title":"Revista de Psicodidáctica (English ed.)","id":"ITEM-1","issue":"1","issued":{"date-parts":[["2020"]]},"page":"36-44","title":"The effectiveness of four instructional approaches used in a MOOC promoting personal skills for success in life","type":"article-journal","volume":"25"},"uris":["http://www.mendeley.com/documents/?uuid=f968b5e7-c548-4100-b02b-e07c3c3a6a6b"]}],"mendeley":{"formattedCitation":"[3]","plainTextFormattedCitation":"[3]","previouslyFormattedCitation":"[3]"},"properties":{"noteIndex":0},"schema":"https://github.com/citation-style-language/schema/raw/master/csl-citation.json"}</w:instrText>
      </w:r>
      <w:r w:rsidR="001B6FB1">
        <w:fldChar w:fldCharType="separate"/>
      </w:r>
      <w:r w:rsidR="004104E7" w:rsidRPr="004104E7">
        <w:rPr>
          <w:noProof/>
        </w:rPr>
        <w:t>[3]</w:t>
      </w:r>
      <w:r w:rsidR="001B6FB1">
        <w:fldChar w:fldCharType="end"/>
      </w:r>
      <w:r w:rsidR="001B6FB1">
        <w:t xml:space="preserve">. </w:t>
      </w:r>
      <w:r>
        <w:t>The fact that Moodle is licensed as open source making it the preferred platform, particularly in developing countries. While open source licensed, Moodle includes various features that support different learning activities, from file sharing, directories, discussion forums, chat, assignments, wikis, blogs, glossaries, checklists, quizzes, as well as several other features</w:t>
      </w:r>
      <w:r w:rsidR="00A708D4">
        <w:t xml:space="preserve"> </w:t>
      </w:r>
      <w:r w:rsidR="00A708D4">
        <w:fldChar w:fldCharType="begin" w:fldLock="1"/>
      </w:r>
      <w:r w:rsidR="002915B2">
        <w:instrText>ADDIN CSL_CITATION {"citationItems":[{"id":"ITEM-1","itemData":{"DOI":"10.1016/j.asw.2020.100485","ISSN":"10752935","abstract":"This review discusses Moodle quizzes and their potential usefulness for formative assessment of academic writing. Moodle quizzes offer a wide variety of possibilities for the development of formative writing assessment. This is due to the impressive repertoire of choices with regard to specific tasks and to quiz design options available in Moodle. The key strength of Moodle quizzes, as used for formative assessment, is in supporting a sustained engagement with learning and offering multi-layered tutor feedback functionalities. However, Moodle quizzes come short of accommodating some of the essential features of formative writing assessment, such as peer review/feedback and a dialogic nature of student-tutor interactions. While the development of Moodle quizzes may require time and effort, in particular as related to navigating quiz design settings and understanding Moodle-specific and often counterintuitive language use, Moodle quizzes can prove valuable not only for formative assessment of academic writing, but also for giving reassurance to students that writing provision offered to them at universities is tailored to their specific needs and academic aspirations.","author":[{"dropping-particle":"","family":"Fernando","given":"Weronika","non-dropping-particle":"","parse-names":false,"suffix":""}],"container-title":"Assessing Writing","id":"ITEM-1","issue":"September","issued":{"date-parts":[["2020"]]},"page":"100485","publisher":"Elsevier Inc.","title":"Moodle quizzes and their usability for formative assessment of academic writing","type":"article-journal","volume":"46"},"uris":["http://www.mendeley.com/documents/?uuid=48cb9bfb-84d2-4716-8b55-96f777538748"]}],"mendeley":{"formattedCitation":"[4]","plainTextFormattedCitation":"[4]","previouslyFormattedCitation":"[4]"},"properties":{"noteIndex":0},"schema":"https://github.com/citation-style-language/schema/raw/master/csl-citation.json"}</w:instrText>
      </w:r>
      <w:r w:rsidR="00A708D4">
        <w:fldChar w:fldCharType="separate"/>
      </w:r>
      <w:r w:rsidR="004104E7" w:rsidRPr="004104E7">
        <w:rPr>
          <w:noProof/>
        </w:rPr>
        <w:t>[4]</w:t>
      </w:r>
      <w:r w:rsidR="00A708D4">
        <w:fldChar w:fldCharType="end"/>
      </w:r>
      <w:r w:rsidR="00A708D4">
        <w:t>.</w:t>
      </w:r>
      <w:r w:rsidR="00E2413D">
        <w:t xml:space="preserve"> </w:t>
      </w:r>
      <w:r>
        <w:t>The development of Moodle as one of the top three most commonly used LMSs has also led to improved accuracy and convenience of access by introducing a voice recognition feature by leveraging Amazon Alexa services</w:t>
      </w:r>
      <w:r>
        <w:t xml:space="preserve"> </w:t>
      </w:r>
      <w:r w:rsidR="00BA2E2D">
        <w:fldChar w:fldCharType="begin" w:fldLock="1"/>
      </w:r>
      <w:r w:rsidR="002915B2">
        <w:instrText>ADDIN CSL_CITATION {"citationItems":[{"id":"ITEM-1","itemData":{"ISSN":"1937-4771","author":[{"dropping-particle":"","family":"Melton","given":"Michelle","non-dropping-particle":"","parse-names":false,"suffix":""},{"dropping-particle":"","family":"Fenwick","given":"James","non-dropping-particle":"","parse-names":false,"suffix":""}],"container-title":"J. Comput. Sci. Coll.","id":"ITEM-1","issue":"4","issued":{"date-parts":[["2019"]]},"page":"26–35","title":"Alexa Skill Voice Interface for the Moodle Learning Management System","type":"article-journal","volume":"35"},"uris":["http://www.mendeley.com/documents/?uuid=89d4f41f-1c7b-4cd8-afa0-134b0f2327ce"]}],"mendeley":{"formattedCitation":"[5]","plainTextFormattedCitation":"[5]","previouslyFormattedCitation":"[5]"},"properties":{"noteIndex":0},"schema":"https://github.com/citation-style-language/schema/raw/master/csl-citation.json"}</w:instrText>
      </w:r>
      <w:r w:rsidR="00BA2E2D">
        <w:fldChar w:fldCharType="separate"/>
      </w:r>
      <w:r w:rsidR="004104E7" w:rsidRPr="004104E7">
        <w:rPr>
          <w:noProof/>
        </w:rPr>
        <w:t>[5]</w:t>
      </w:r>
      <w:r w:rsidR="00BA2E2D">
        <w:fldChar w:fldCharType="end"/>
      </w:r>
      <w:r w:rsidR="007C6494">
        <w:t>.</w:t>
      </w:r>
    </w:p>
    <w:p w14:paraId="2312EC0A" w14:textId="4C392710" w:rsidR="000B3BAF" w:rsidRDefault="007602EA" w:rsidP="006816DC">
      <w:pPr>
        <w:pStyle w:val="BodyChar"/>
      </w:pPr>
      <w:r>
        <w:t>To</w:t>
      </w:r>
      <w:r w:rsidR="00CE4E8C">
        <w:t xml:space="preserve"> replace various human activities particularly learning activities in pandemic situations, online media has become an efficient choice. Moodle can therefore be used during a pandemic as an alternative of learning support system</w:t>
      </w:r>
      <w:r w:rsidR="00CE4E8C">
        <w:t xml:space="preserve"> </w:t>
      </w:r>
      <w:r w:rsidR="001562EC">
        <w:fldChar w:fldCharType="begin" w:fldLock="1"/>
      </w:r>
      <w:r w:rsidR="002915B2">
        <w:instrText>ADDIN CSL_CITATION {"citationItems":[{"id":"ITEM-1","itemData":{"DOI":"10.1016/j.jpubeco.2020.104271","ISSN":"0047-2727","PMID":"32873994","abstract":"In order to understand the impact of the COVID-19 pandemic on higher education, we surveyed approximately 1,500 students at one of the largest public institutions in the United States using an instrument designed to recover the causal impact of the pandemic on students' current and expected outcomes. Results show large negative effects across many dimensions. Due to COVID-19: 13% of students have delayed graduation, 40% have lost a job, internship, or job offer, and 29% expect to earn less at age 35. Moreover, these effects have been highly heterogeneous. One quarter of students increased their study time by more than 4 hours per week due to COVID-19, while another quarter decreased their study time by more than 5 hours per week. This heterogeneity often followed existing socioeconomic divides; lower-income students are 55% more likely than their higher-income peers to have delayed graduation due to COVID-19. Finally, we show that the economic and health related shocks induced by COVID-19 vary systematically by socioeconomic factors and constitute key mediators in explaining the large (and heterogeneous) effects of the pandemic.","author":[{"dropping-particle":"","family":"Aucejo","given":"Esteban M","non-dropping-particle":"","parse-names":false,"suffix":""},{"dropping-particle":"","family":"French","given":"Jacob","non-dropping-particle":"","parse-names":false,"suffix":""},{"dropping-particle":"","family":"Araya","given":"Maria Paola Ugalde","non-dropping-particle":"","parse-names":false,"suffix":""},{"dropping-particle":"","family":"Zafar","given":"Basit","non-dropping-particle":"","parse-names":false,"suffix":""}],"container-title":"Journal of public economics","id":"ITEM-1","issued":{"date-parts":[["2020"]]},"page":"104271","publisher":"Elsevier B.V","title":"The Impact of COVID-19 on Student Experiences and Expectations: Evidence from a Survey.","type":"article-journal"},"uris":["http://www.mendeley.com/documents/?uuid=72cd4c70-ed19-4ae7-82b3-01e8ab2f83e9"]}],"mendeley":{"formattedCitation":"[6]","plainTextFormattedCitation":"[6]","previouslyFormattedCitation":"[6]"},"properties":{"noteIndex":0},"schema":"https://github.com/citation-style-language/schema/raw/master/csl-citation.json"}</w:instrText>
      </w:r>
      <w:r w:rsidR="001562EC">
        <w:fldChar w:fldCharType="separate"/>
      </w:r>
      <w:r w:rsidR="004104E7" w:rsidRPr="004104E7">
        <w:rPr>
          <w:noProof/>
        </w:rPr>
        <w:t>[6]</w:t>
      </w:r>
      <w:r w:rsidR="001562EC">
        <w:fldChar w:fldCharType="end"/>
      </w:r>
      <w:r w:rsidR="00935FC0">
        <w:t xml:space="preserve">. </w:t>
      </w:r>
      <w:r w:rsidR="00CE4E8C">
        <w:t>The Moodle framework is built on a web server where all students have access to it. In any case, the server as the cornerstone serving all requests for learning content must always be accessible. Most of the change in learning activities from offline to online induces complete reliance on server availability. If there are issues with the server service, it is certain that all learning activities will be interrupted. Of course, efforts must be made to improve the reliability of server availability to reduce or eliminate the risk.</w:t>
      </w:r>
    </w:p>
    <w:p w14:paraId="36A5636B" w14:textId="066877D9" w:rsidR="00E57763" w:rsidRDefault="00D95431" w:rsidP="006816DC">
      <w:pPr>
        <w:pStyle w:val="BodyChar"/>
      </w:pPr>
      <w:r w:rsidRPr="00D95431">
        <w:t xml:space="preserve">Various studies have been conducted by scientists in studying and perfecting </w:t>
      </w:r>
      <w:r w:rsidR="00480E2E" w:rsidRPr="00D95431">
        <w:t>Moodle</w:t>
      </w:r>
      <w:r w:rsidRPr="00D95431">
        <w:t xml:space="preserve">, but these studies generally cover a lot about the features and functionality of </w:t>
      </w:r>
      <w:r w:rsidR="00480E2E" w:rsidRPr="00D95431">
        <w:t>Moodle</w:t>
      </w:r>
      <w:r w:rsidR="0041454B">
        <w:t xml:space="preserve"> </w:t>
      </w:r>
      <w:r w:rsidR="001D6C16">
        <w:fldChar w:fldCharType="begin" w:fldLock="1"/>
      </w:r>
      <w:r w:rsidR="002915B2">
        <w:instrText>ADDIN CSL_CITATION {"citationItems":[{"id":"ITEM-1","itemData":{"DOI":"10.1016/j.heliyon.2020.e05519","ISSN":"24058440","abstract":"Despite the increasingly critical role of e-learning in higher education, there is limited understanding of the satisfaction essentials of multi-generational students' cohorts undertaking online courses. In this study, we examine the perceived value of educational experiences of multi-generational students' cohorts studying via an online learning management system (Moodle). The study analysed survey responses from multi-generational students (N = 611) on a core subject in an undergraduate business school programme. The results show that Generations X, Y and Z students produce different students' satisfaction levels in distinct components of the online programme; namely, course design, course delivery, course delivery environment and preference of the mode of delivery. Generations cohorts account for remarkable effects in the total satisfaction of students on the online learning programme. The results suggest that contextualising online teaching based on multi-generational students' cohort composition could be one strategy to enhance student learning experience and satisfaction.","author":[{"dropping-particle":"","family":"Yawson","given":"David Eshun","non-dropping-particle":"","parse-names":false,"suffix":""},{"dropping-particle":"","family":"Yamoah","given":"Fred Amofa","non-dropping-particle":"","parse-names":false,"suffix":""}],"container-title":"Heliyon","id":"ITEM-1","issue":"11","issued":{"date-parts":[["2020"]]},"page":"e05519","publisher":"Elsevier Ltd","title":"Understanding satisfaction essentials of E-learning in higher education: A multi-generational cohort perspective","type":"article-journal","volume":"6"},"uris":["http://www.mendeley.com/documents/?uuid=b9b50bca-b0b9-408c-86be-c7431a2c377e"]}],"mendeley":{"formattedCitation":"[1]","plainTextFormattedCitation":"[1]","previouslyFormattedCitation":"[1]"},"properties":{"noteIndex":0},"schema":"https://github.com/citation-style-language/schema/raw/master/csl-citation.json"}</w:instrText>
      </w:r>
      <w:r w:rsidR="001D6C16">
        <w:fldChar w:fldCharType="separate"/>
      </w:r>
      <w:r w:rsidR="004104E7" w:rsidRPr="004104E7">
        <w:rPr>
          <w:noProof/>
        </w:rPr>
        <w:t>[1]</w:t>
      </w:r>
      <w:r w:rsidR="001D6C16">
        <w:fldChar w:fldCharType="end"/>
      </w:r>
      <w:r w:rsidR="00163488">
        <w:t>,</w:t>
      </w:r>
      <w:r w:rsidR="001D6C16">
        <w:fldChar w:fldCharType="begin" w:fldLock="1"/>
      </w:r>
      <w:r w:rsidR="002915B2">
        <w:instrText>ADDIN CSL_CITATION {"citationItems":[{"id":"ITEM-1","itemData":{"DOI":"10.1016/j.psicoe.2019.08.001","ISSN":"25303805","abstract":"This study examines the efficacy of a MOOC-format instructional program, Improvement of personal competencies for success, which entailed the use of four clearly differentiated instructional approaches (three experimental approaches and one control approach): (1) product, with an emphasis on the final result and the overall quality; (2) processes, with an emphasis on recursion and constant self-assessment of the processes; (3) mixed, oriented on the result and overall quality as well as to recursion, self-reflection and self-assessment; and (4) traditional (control) focused on online instruction of the subjects and on the accomplishment of tasks. The MOOC was designed and implemented through the Universidad de León’s external Moodle (Ariadne). It involved 745 people aged between 10 and 50, though only 336 completed it. The results demonstrate the efficacy of the MOOC—irrespective of the instructional approach followed—for instruction on different contents and competencies, such as resilience, achievement motivation and self-esteem; they reveal a statistically significant increase in different variables such as self-efficacy and they confirm the effectiveness of Moodle for the design and development of a MOOC. The implications of these findings are discussed and evaluated. Resumen En este estudio se analiza la eficacia de un programa instruccional, Mejora de las Competencias Personales para el Éxito (APS-ÉXITO), en formato de MOOC, con cuatro enfoques instruccionales (tres experimentales y uno de control) claramente diferenciales: (1) producto con énfasis en el resultado final y en la calidad global; (2) procesos con hincapié en la recursividad, y en la autovaloración constante de los procesos; (3) mixto orientado tanto al resultado y calidad global, como a la recursividad, autorreflexión y autovaloración; y, (4) tradicional (control) centrado en la instrucción en línea de los temas y en la realización de tareas. Todo ello, diseñado y aplicado a través del Moodle Externo de la Universidad de León (Ariadna) en el que participan 745 personas con edades entre los 10 y 50 años, si bien solo lo culminan 336. Los resultados demuestran la eficacia del MOOC para la instrucción en contenidos y competencias diversas tales como resiliencia, motivación de logro y autoestima, con independencia del enfoque instruccional seguido, a lo que se añade un aumento estadísticamente significativo en diferentes variables como la autoeficacia. Las implicaciones de estos resultad…","author":[{"dropping-particle":"","family":"García-Martín","given":"Judit","non-dropping-particle":"","parse-names":false,"suffix":""},{"dropping-particle":"","family":"García-Sánchez","given":"Jesús-Nicasio","non-dropping-particle":"","parse-names":false,"suffix":""}],"container-title":"Revista de Psicodidáctica (English ed.)","id":"ITEM-1","issue":"1","issued":{"date-parts":[["2020"]]},"page":"36-44","title":"The effectiveness of four instructional approaches used in a MOOC promoting personal skills for success in life","type":"article-journal","volume":"25"},"uris":["http://www.mendeley.com/documents/?uuid=f968b5e7-c548-4100-b02b-e07c3c3a6a6b"]}],"mendeley":{"formattedCitation":"[3]","plainTextFormattedCitation":"[3]","previouslyFormattedCitation":"[3]"},"properties":{"noteIndex":0},"schema":"https://github.com/citation-style-language/schema/raw/master/csl-citation.json"}</w:instrText>
      </w:r>
      <w:r w:rsidR="001D6C16">
        <w:fldChar w:fldCharType="separate"/>
      </w:r>
      <w:r w:rsidR="004104E7" w:rsidRPr="004104E7">
        <w:rPr>
          <w:noProof/>
        </w:rPr>
        <w:t>[3]</w:t>
      </w:r>
      <w:r w:rsidR="001D6C16">
        <w:fldChar w:fldCharType="end"/>
      </w:r>
      <w:r w:rsidR="00163488">
        <w:t>,</w:t>
      </w:r>
      <w:r w:rsidR="00163488">
        <w:fldChar w:fldCharType="begin" w:fldLock="1"/>
      </w:r>
      <w:r w:rsidR="002915B2">
        <w:instrText>ADDIN CSL_CITATION {"citationItems":[{"id":"ITEM-1","itemData":{"ISSN":"1937-4771","author":[{"dropping-particle":"","family":"Melton","given":"Michelle","non-dropping-particle":"","parse-names":false,"suffix":""},{"dropping-particle":"","family":"Fenwick","given":"James","non-dropping-particle":"","parse-names":false,"suffix":""}],"container-title":"J. Comput. Sci. Coll.","id":"ITEM-1","issue":"4","issued":{"date-parts":[["2019"]]},"page":"26–35","title":"Alexa Skill Voice Interface for the Moodle Learning Management System","type":"article-journal","volume":"35"},"uris":["http://www.mendeley.com/documents/?uuid=89d4f41f-1c7b-4cd8-afa0-134b0f2327ce"]}],"mendeley":{"formattedCitation":"[5]","plainTextFormattedCitation":"[5]","previouslyFormattedCitation":"[5]"},"properties":{"noteIndex":0},"schema":"https://github.com/citation-style-language/schema/raw/master/csl-citation.json"}</w:instrText>
      </w:r>
      <w:r w:rsidR="00163488">
        <w:fldChar w:fldCharType="separate"/>
      </w:r>
      <w:r w:rsidR="004104E7" w:rsidRPr="004104E7">
        <w:rPr>
          <w:noProof/>
        </w:rPr>
        <w:t>[5]</w:t>
      </w:r>
      <w:r w:rsidR="00163488">
        <w:fldChar w:fldCharType="end"/>
      </w:r>
      <w:r w:rsidR="00163488">
        <w:t>,</w:t>
      </w:r>
      <w:r w:rsidR="001D6C16">
        <w:fldChar w:fldCharType="begin" w:fldLock="1"/>
      </w:r>
      <w:r w:rsidR="002915B2">
        <w:instrText>ADDIN CSL_CITATION {"citationItems":[{"id":"ITEM-1","itemData":{"DOI":"10.1016/j.asw.2020.100485","ISSN":"10752935","abstract":"This review discusses Moodle quizzes and their potential usefulness for formative assessment of academic writing. Moodle quizzes offer a wide variety of possibilities for the development of formative writing assessment. This is due to the impressive repertoire of choices with regard to specific tasks and to quiz design options available in Moodle. The key strength of Moodle quizzes, as used for formative assessment, is in supporting a sustained engagement with learning and offering multi-layered tutor feedback functionalities. However, Moodle quizzes come short of accommodating some of the essential features of formative writing assessment, such as peer review/feedback and a dialogic nature of student-tutor interactions. While the development of Moodle quizzes may require time and effort, in particular as related to navigating quiz design settings and understanding Moodle-specific and often counterintuitive language use, Moodle quizzes can prove valuable not only for formative assessment of academic writing, but also for giving reassurance to students that writing provision offered to them at universities is tailored to their specific needs and academic aspirations.","author":[{"dropping-particle":"","family":"Fernando","given":"Weronika","non-dropping-particle":"","parse-names":false,"suffix":""}],"container-title":"Assessing Writing","id":"ITEM-1","issue":"September","issued":{"date-parts":[["2020"]]},"page":"100485","publisher":"Elsevier Inc.","title":"Moodle quizzes and their usability for formative assessment of academic writing","type":"article-journal","volume":"46"},"uris":["http://www.mendeley.com/documents/?uuid=48cb9bfb-84d2-4716-8b55-96f777538748"]}],"mendeley":{"formattedCitation":"[4]","plainTextFormattedCitation":"[4]","previouslyFormattedCitation":"[4]"},"properties":{"noteIndex":0},"schema":"https://github.com/citation-style-language/schema/raw/master/csl-citation.json"}</w:instrText>
      </w:r>
      <w:r w:rsidR="001D6C16">
        <w:fldChar w:fldCharType="separate"/>
      </w:r>
      <w:r w:rsidR="004104E7" w:rsidRPr="004104E7">
        <w:rPr>
          <w:noProof/>
        </w:rPr>
        <w:t>[4]</w:t>
      </w:r>
      <w:r w:rsidR="001D6C16">
        <w:fldChar w:fldCharType="end"/>
      </w:r>
      <w:r w:rsidR="00163488">
        <w:t xml:space="preserve"> </w:t>
      </w:r>
      <w:r>
        <w:t>and</w:t>
      </w:r>
      <w:r w:rsidR="00163488">
        <w:t xml:space="preserve"> </w:t>
      </w:r>
      <w:r w:rsidR="00163488">
        <w:fldChar w:fldCharType="begin" w:fldLock="1"/>
      </w:r>
      <w:r w:rsidR="002915B2">
        <w:instrText>ADDIN CSL_CITATION {"citationItems":[{"id":"ITEM-1","itemData":{"DOI":"10.1016/j.chb.2019.106168","ISSN":"07475632","abstract":"The field of education has never been indifferent to the new technologies, and eventually to the Internet. Technology-Enhanced Learning, progressively, has grown to be the area for research and practice on the application of information and communication technologies to teaching and learning. In particular for the teaching activity, the numerous standard compliant Learning Object Repositories available via the Internet, and Open Educational Resources repositories, provide formidable support to teachers when they need to develop a course that can also make use of already available learning materials. The search and selection of Learning Objects, however, can be an inherently complex operation involving accessing various repositories, each potentially involving different software tools, and different organization and specification formats for the learning resources. This complexity may hinder the very success of an e-learning course. Cross-repository aggregators, i.e., systems that can roam through different repositories to satisfy the user's/teacher's query, can help to reduce such complexity, although problems of course delivery may remain. This paper proposes a hybrid recommender system, MoodleRec, implemented as a plug-in of the Moodle Learning Management System. MoodleRec can sort through a set of supported standard compliant Learning Object Repositories, and suggest a ranked list of Learning Objects following a simple keyword-based query. The various recommendation strategies operate on two levels. First, a ranked list of Learning Objects is created, ordered by their correspondence to the query, and by their quality, as indicated by the repository of origin. Social generated features are then used to show the teacher how the Learning Objects listed have been exploited in other courses. A real life experimental study is also presented, and the validity of the MoodleRec approach discussed.","author":[{"dropping-particle":"","family":"Medio","given":"Carlo","non-dropping-particle":"De","parse-names":false,"suffix":""},{"dropping-particle":"","family":"Limongelli","given":"Carla","non-dropping-particle":"","parse-names":false,"suffix":""},{"dropping-particle":"","family":"Sciarrone","given":"Filippo","non-dropping-particle":"","parse-names":false,"suffix":""},{"dropping-particle":"","family":"Temperini","given":"Marco","non-dropping-particle":"","parse-names":false,"suffix":""}],"container-title":"Computers in Human Behavior","id":"ITEM-1","issued":{"date-parts":[["2020"]]},"page":"106168","publisher":"Elsevier Ltd","title":"MoodleREC: A recommendation system for creating courses using the moodle e-learning platform","type":"article-journal","volume":"104"},"uris":["http://www.mendeley.com/documents/?uuid=a227ef40-f02e-4a52-88b4-d328aac09c37"]}],"mendeley":{"formattedCitation":"[7]","plainTextFormattedCitation":"[7]","previouslyFormattedCitation":"[7]"},"properties":{"noteIndex":0},"schema":"https://github.com/citation-style-language/schema/raw/master/csl-citation.json"}</w:instrText>
      </w:r>
      <w:r w:rsidR="00163488">
        <w:fldChar w:fldCharType="separate"/>
      </w:r>
      <w:r w:rsidR="004104E7" w:rsidRPr="004104E7">
        <w:rPr>
          <w:noProof/>
        </w:rPr>
        <w:t>[7]</w:t>
      </w:r>
      <w:r w:rsidR="00163488">
        <w:fldChar w:fldCharType="end"/>
      </w:r>
      <w:r w:rsidR="003D1888">
        <w:t xml:space="preserve">. </w:t>
      </w:r>
      <w:r w:rsidRPr="00D95431">
        <w:t>The enhancement of service efficiency on Moodle servers has not been reviewed by several reports. The Moodle application usually consists of several components, specifically:</w:t>
      </w:r>
      <w:r w:rsidR="00FA473D">
        <w:t xml:space="preserve"> </w:t>
      </w:r>
    </w:p>
    <w:p w14:paraId="6FFEFE59" w14:textId="2D33F27B" w:rsidR="00FA473D" w:rsidRDefault="00FA473D" w:rsidP="006816DC">
      <w:pPr>
        <w:pStyle w:val="BodyChar"/>
      </w:pPr>
    </w:p>
    <w:p w14:paraId="3CEA31A0" w14:textId="7F7E91E6" w:rsidR="0094641B" w:rsidRDefault="0094641B" w:rsidP="006816DC">
      <w:pPr>
        <w:pStyle w:val="BodyChar"/>
      </w:pPr>
    </w:p>
    <w:p w14:paraId="35B02F66" w14:textId="77777777" w:rsidR="0094641B" w:rsidRDefault="0094641B" w:rsidP="006816DC">
      <w:pPr>
        <w:pStyle w:val="BodyChar"/>
      </w:pPr>
    </w:p>
    <w:p w14:paraId="2A739A71" w14:textId="558FF020" w:rsidR="00FA473D" w:rsidRDefault="00194A11" w:rsidP="00FA473D">
      <w:pPr>
        <w:pStyle w:val="subsection"/>
        <w:rPr>
          <w:rFonts w:ascii="Times New Roman" w:hAnsi="Times New Roman"/>
        </w:rPr>
      </w:pPr>
      <w:r>
        <w:rPr>
          <w:rFonts w:ascii="Times New Roman" w:hAnsi="Times New Roman"/>
        </w:rPr>
        <w:lastRenderedPageBreak/>
        <w:t xml:space="preserve">Core </w:t>
      </w:r>
      <w:r w:rsidR="007C264B">
        <w:rPr>
          <w:rFonts w:ascii="Times New Roman" w:hAnsi="Times New Roman"/>
        </w:rPr>
        <w:t>S</w:t>
      </w:r>
      <w:r w:rsidR="008D5A7A">
        <w:rPr>
          <w:rFonts w:ascii="Times New Roman" w:hAnsi="Times New Roman"/>
        </w:rPr>
        <w:t>y</w:t>
      </w:r>
      <w:r w:rsidR="007C264B">
        <w:rPr>
          <w:rFonts w:ascii="Times New Roman" w:hAnsi="Times New Roman"/>
        </w:rPr>
        <w:t>stem</w:t>
      </w:r>
    </w:p>
    <w:p w14:paraId="40C7EDCF" w14:textId="5A0AC4D9" w:rsidR="00FA473D" w:rsidRDefault="00194A11" w:rsidP="00FA473D">
      <w:pPr>
        <w:pStyle w:val="BodyChar"/>
        <w:rPr>
          <w:rFonts w:ascii="Times New Roman" w:hAnsi="Times New Roman"/>
        </w:rPr>
      </w:pPr>
      <w:r>
        <w:rPr>
          <w:rFonts w:ascii="Times New Roman" w:hAnsi="Times New Roman"/>
        </w:rPr>
        <w:t>Core</w:t>
      </w:r>
      <w:r w:rsidRPr="00194A11">
        <w:rPr>
          <w:rFonts w:ascii="Times New Roman" w:hAnsi="Times New Roman"/>
        </w:rPr>
        <w:t xml:space="preserve"> system </w:t>
      </w:r>
      <w:r>
        <w:rPr>
          <w:rFonts w:ascii="Times New Roman" w:hAnsi="Times New Roman"/>
        </w:rPr>
        <w:t xml:space="preserve">or system </w:t>
      </w:r>
      <w:r w:rsidRPr="00194A11">
        <w:rPr>
          <w:rFonts w:ascii="Times New Roman" w:hAnsi="Times New Roman"/>
        </w:rPr>
        <w:t xml:space="preserve">component is a collection of php files stored on a web server. This component contains the core code, </w:t>
      </w:r>
      <w:proofErr w:type="gramStart"/>
      <w:r w:rsidRPr="00194A11">
        <w:rPr>
          <w:rFonts w:ascii="Times New Roman" w:hAnsi="Times New Roman"/>
        </w:rPr>
        <w:t>subsystems</w:t>
      </w:r>
      <w:proofErr w:type="gramEnd"/>
      <w:r w:rsidRPr="00194A11">
        <w:rPr>
          <w:rFonts w:ascii="Times New Roman" w:hAnsi="Times New Roman"/>
        </w:rPr>
        <w:t xml:space="preserve"> and plugins. This system component is the part that is directly accessed by Moodle users. Most of the Moodle development activities are carried out on this component, therefore the version of the system component can indicate which version of Moodle is being used</w:t>
      </w:r>
      <w:r w:rsidR="001C7421">
        <w:rPr>
          <w:rFonts w:ascii="Times New Roman" w:hAnsi="Times New Roman"/>
        </w:rPr>
        <w:t>.</w:t>
      </w:r>
    </w:p>
    <w:p w14:paraId="0DAB171C" w14:textId="54D21EF4" w:rsidR="00FA473D" w:rsidRDefault="00FA473D" w:rsidP="00FA473D">
      <w:pPr>
        <w:pStyle w:val="subsection"/>
        <w:rPr>
          <w:rFonts w:ascii="Times New Roman" w:hAnsi="Times New Roman"/>
        </w:rPr>
      </w:pPr>
      <w:r>
        <w:rPr>
          <w:rFonts w:ascii="Times New Roman" w:hAnsi="Times New Roman"/>
        </w:rPr>
        <w:t>Asset</w:t>
      </w:r>
      <w:r w:rsidR="00195BDB">
        <w:rPr>
          <w:rFonts w:ascii="Times New Roman" w:hAnsi="Times New Roman"/>
        </w:rPr>
        <w:t>s</w:t>
      </w:r>
      <w:r>
        <w:rPr>
          <w:rFonts w:ascii="Times New Roman" w:hAnsi="Times New Roman"/>
        </w:rPr>
        <w:t>/</w:t>
      </w:r>
      <w:r w:rsidR="00570D26">
        <w:rPr>
          <w:rFonts w:ascii="Times New Roman" w:hAnsi="Times New Roman"/>
        </w:rPr>
        <w:t>M</w:t>
      </w:r>
      <w:r>
        <w:rPr>
          <w:rFonts w:ascii="Times New Roman" w:hAnsi="Times New Roman"/>
        </w:rPr>
        <w:t>oodle</w:t>
      </w:r>
      <w:r w:rsidR="00195BDB">
        <w:rPr>
          <w:rFonts w:ascii="Times New Roman" w:hAnsi="Times New Roman"/>
        </w:rPr>
        <w:t xml:space="preserve"> </w:t>
      </w:r>
      <w:r w:rsidR="00350E00">
        <w:rPr>
          <w:rFonts w:ascii="Times New Roman" w:hAnsi="Times New Roman"/>
        </w:rPr>
        <w:t>D</w:t>
      </w:r>
      <w:r w:rsidR="00195BDB">
        <w:rPr>
          <w:rFonts w:ascii="Times New Roman" w:hAnsi="Times New Roman"/>
        </w:rPr>
        <w:t>ata</w:t>
      </w:r>
    </w:p>
    <w:p w14:paraId="7EC0C68C" w14:textId="56F42AAF" w:rsidR="001C7421" w:rsidRDefault="009C291E" w:rsidP="001C7421">
      <w:pPr>
        <w:pStyle w:val="BodyChar"/>
        <w:rPr>
          <w:rFonts w:ascii="Times New Roman" w:hAnsi="Times New Roman"/>
        </w:rPr>
      </w:pPr>
      <w:r w:rsidRPr="009C291E">
        <w:rPr>
          <w:rFonts w:ascii="Times New Roman" w:hAnsi="Times New Roman"/>
        </w:rPr>
        <w:t>The behavio</w:t>
      </w:r>
      <w:r w:rsidR="009C0C22">
        <w:rPr>
          <w:rFonts w:ascii="Times New Roman" w:hAnsi="Times New Roman"/>
        </w:rPr>
        <w:t>u</w:t>
      </w:r>
      <w:r w:rsidRPr="009C291E">
        <w:rPr>
          <w:rFonts w:ascii="Times New Roman" w:hAnsi="Times New Roman"/>
        </w:rPr>
        <w:t xml:space="preserve">r of Moodle, which is used by multiple users (teachers and students), triggers the need to distinguish the system location from the learning asset location. In the form of pdf files, presentations, </w:t>
      </w:r>
      <w:proofErr w:type="gramStart"/>
      <w:r w:rsidRPr="009C291E">
        <w:rPr>
          <w:rFonts w:ascii="Times New Roman" w:hAnsi="Times New Roman"/>
        </w:rPr>
        <w:t>images</w:t>
      </w:r>
      <w:proofErr w:type="gramEnd"/>
      <w:r w:rsidRPr="009C291E">
        <w:rPr>
          <w:rFonts w:ascii="Times New Roman" w:hAnsi="Times New Roman"/>
        </w:rPr>
        <w:t xml:space="preserve"> and videos used while learning, learning assets can be used. It is expected that </w:t>
      </w:r>
      <w:r w:rsidR="00480E2E" w:rsidRPr="009C291E">
        <w:rPr>
          <w:rFonts w:ascii="Times New Roman" w:hAnsi="Times New Roman"/>
        </w:rPr>
        <w:t>Moodle</w:t>
      </w:r>
      <w:r w:rsidRPr="009C291E">
        <w:rPr>
          <w:rFonts w:ascii="Times New Roman" w:hAnsi="Times New Roman"/>
        </w:rPr>
        <w:t xml:space="preserve"> maintenance such as updating can be carried out easily by separating the assets and the scheme without impacting the learning assets that have previously been stored. Moodle assets or data are usually stored in a separate folder from the system but can still be accessed by the web server. In addition, asset separation from the system is also carried out to ensure system security, considering that the asset folder usually contains user uploads that have the potential for malware uploads</w:t>
      </w:r>
      <w:r w:rsidR="0021422C">
        <w:rPr>
          <w:rFonts w:ascii="Times New Roman" w:hAnsi="Times New Roman"/>
        </w:rPr>
        <w:t>.</w:t>
      </w:r>
    </w:p>
    <w:p w14:paraId="7B901FA1" w14:textId="7C8841F1" w:rsidR="00FA473D" w:rsidRDefault="00FA473D" w:rsidP="00FA473D">
      <w:pPr>
        <w:pStyle w:val="subsection"/>
        <w:rPr>
          <w:rFonts w:ascii="Times New Roman" w:hAnsi="Times New Roman"/>
        </w:rPr>
      </w:pPr>
      <w:r>
        <w:rPr>
          <w:rFonts w:ascii="Times New Roman" w:hAnsi="Times New Roman"/>
        </w:rPr>
        <w:t>Database</w:t>
      </w:r>
    </w:p>
    <w:p w14:paraId="6707FF7B" w14:textId="7B646191" w:rsidR="00020175" w:rsidRPr="00CE57CF" w:rsidRDefault="00726E7F" w:rsidP="004D1CF0">
      <w:pPr>
        <w:pStyle w:val="BodyChar"/>
        <w:rPr>
          <w:rFonts w:ascii="Times New Roman" w:hAnsi="Times New Roman"/>
        </w:rPr>
      </w:pPr>
      <w:r w:rsidRPr="00726E7F">
        <w:rPr>
          <w:rFonts w:ascii="Times New Roman" w:hAnsi="Times New Roman"/>
        </w:rPr>
        <w:t xml:space="preserve">The database section contains all </w:t>
      </w:r>
      <w:r w:rsidR="00480E2E" w:rsidRPr="00726E7F">
        <w:rPr>
          <w:rFonts w:ascii="Times New Roman" w:hAnsi="Times New Roman"/>
        </w:rPr>
        <w:t>Moodle</w:t>
      </w:r>
      <w:r w:rsidRPr="00726E7F">
        <w:rPr>
          <w:rFonts w:ascii="Times New Roman" w:hAnsi="Times New Roman"/>
        </w:rPr>
        <w:t xml:space="preserve"> system data. </w:t>
      </w:r>
      <w:r w:rsidR="004D1CF0">
        <w:rPr>
          <w:rFonts w:ascii="Times New Roman" w:hAnsi="Times New Roman"/>
        </w:rPr>
        <w:t>Moodle uses client-server DBMS as database</w:t>
      </w:r>
      <w:r w:rsidR="00480E2E" w:rsidRPr="00480E2E">
        <w:rPr>
          <w:rFonts w:ascii="Times New Roman" w:hAnsi="Times New Roman"/>
        </w:rPr>
        <w:t>. At least the database components must be installed separately from the Moodle system to improve the efficiency of this component. It is expected that it would enhance the efficiency of the Moodle system components by splitting the database</w:t>
      </w:r>
      <w:r w:rsidR="00B5229E">
        <w:rPr>
          <w:rFonts w:ascii="Times New Roman" w:hAnsi="Times New Roman"/>
        </w:rPr>
        <w:t xml:space="preserve"> and Moodle system</w:t>
      </w:r>
      <w:r w:rsidR="00480E2E" w:rsidRPr="00480E2E">
        <w:rPr>
          <w:rFonts w:ascii="Times New Roman" w:hAnsi="Times New Roman"/>
        </w:rPr>
        <w:t xml:space="preserve"> into separate machines.</w:t>
      </w:r>
    </w:p>
    <w:p w14:paraId="3BCD473C" w14:textId="736D0AEE" w:rsidR="00FA473D" w:rsidRDefault="00756154" w:rsidP="00717114">
      <w:pPr>
        <w:pStyle w:val="section"/>
      </w:pPr>
      <w:r w:rsidRPr="00756154">
        <w:t>Virtualization</w:t>
      </w:r>
    </w:p>
    <w:p w14:paraId="39B6F9FB" w14:textId="1E10B9E0" w:rsidR="00976AC1" w:rsidRDefault="00756154" w:rsidP="00A85825">
      <w:pPr>
        <w:pStyle w:val="BodyChar"/>
      </w:pPr>
      <w:r w:rsidRPr="00756154">
        <w:t>Virtualization is a solution that might be used to separate an operating system accordingly it becomes easier to build and operate the operating system</w:t>
      </w:r>
      <w:r w:rsidR="002D2772">
        <w:t xml:space="preserve"> </w:t>
      </w:r>
      <w:r w:rsidR="002D2772">
        <w:fldChar w:fldCharType="begin" w:fldLock="1"/>
      </w:r>
      <w:r w:rsidR="002915B2">
        <w:instrText>ADDIN CSL_CITATION {"citationItems":[{"id":"ITEM-1","itemData":{"DOI":"10.1109/CLOUD.2018.00030","ISBN":"9781538672358","ISSN":"21596190","abstract":"Container technique is gaining increasing attention in recent years and has become an alternative to traditional virtual machines. Some of the primary motivations for the enterprise to adopt the container technology include its conveniency to encapsulate and deploy applications, lightweight operations, as well as efficiency and flexibility in resources sharing. However, there still lacks an in-depth and systematic comparison study on how big data applications, such as Spark jobs, perform between a container environment and a virtual machine environment. In this paper, by running various Spark applications with different configurations, we evaluate the two environments from many interesting aspects, such as how convenient the execution environment can be set up, what are makespans of different workloads running in each setup, how efficient the hardware resources, such as CPU and memory, are utilized, and how well each environment can scale. The results show that compared with virtual machines, containers provide a more easy-to-deploy and scalable environment for big data workloads. The research work in this paper can help practitioners and researchers to make more informed decisions on tuning their cloud environment and configuring the big data applications, so as to achieve better performance and higher resources utilization.","author":[{"dropping-particle":"","family":"Zhang","given":"Qi","non-dropping-particle":"","parse-names":false,"suffix":""},{"dropping-particle":"","family":"Liu","given":"Ling","non-dropping-particle":"","parse-names":false,"suffix":""},{"dropping-particle":"","family":"Pu","given":"Calton","non-dropping-particle":"","parse-names":false,"suffix":""},{"dropping-particle":"","family":"Dou","given":"Qiwei","non-dropping-particle":"","parse-names":false,"suffix":""},{"dropping-particle":"","family":"Wu","given":"Liren","non-dropping-particle":"","parse-names":false,"suffix":""},{"dropping-particle":"","family":"Zhou","given":"Wei","non-dropping-particle":"","parse-names":false,"suffix":""}],"container-title":"IEEE International Conference on Cloud Computing, CLOUD","id":"ITEM-1","issued":{"date-parts":[["2018"]]},"page":"178-185","publisher":"IEEE","title":"A Comparative Study of Containers and Virtual Machines in Big Data Environment","type":"article-journal","volume":"2018-July"},"uris":["http://www.mendeley.com/documents/?uuid=8bd8d01c-757f-411d-b628-7bd5007c6c84"]}],"mendeley":{"formattedCitation":"[8]","plainTextFormattedCitation":"[8]","previouslyFormattedCitation":"[8]"},"properties":{"noteIndex":0},"schema":"https://github.com/citation-style-language/schema/raw/master/csl-citation.json"}</w:instrText>
      </w:r>
      <w:r w:rsidR="002D2772">
        <w:fldChar w:fldCharType="separate"/>
      </w:r>
      <w:r w:rsidR="004104E7" w:rsidRPr="004104E7">
        <w:rPr>
          <w:noProof/>
        </w:rPr>
        <w:t>[8]</w:t>
      </w:r>
      <w:r w:rsidR="002D2772">
        <w:fldChar w:fldCharType="end"/>
      </w:r>
      <w:r w:rsidR="00AA57E0">
        <w:t xml:space="preserve">. </w:t>
      </w:r>
      <w:r w:rsidRPr="00756154">
        <w:t>Virtualization technology might generally be split into two parts, specifically kernel-level virtualization and hardware-level virtualization</w:t>
      </w:r>
      <w:r w:rsidR="00DE7C9B">
        <w:t xml:space="preserve"> </w:t>
      </w:r>
      <w:r w:rsidR="00DE7C9B">
        <w:fldChar w:fldCharType="begin" w:fldLock="1"/>
      </w:r>
      <w:r w:rsidR="002915B2">
        <w:instrText>ADDIN CSL_CITATION {"citationItems":[{"id":"ITEM-1","itemData":{"DOI":"10.1016/j.jnca.2020.102788","ISSN":"10958592","abstract":"In the last decade there has been an increasing interest and demand on the Internet of Things (IoT) and its applications. But, when a high level of computing and/or real time processing is required for these applications, different problems arise due to their requirements. In this context, low cost autonomous and distributed Small Board Computers (SBC) devices, with processing, storage capabilities and wireless communications can assist these IoT networks. Usually, these SBC devices run an operating system based on Linux. In this scenario, container-based technologies and fog computing are an interesting approach and both have led to a new paradigm in how devices cooperate, improving overall capacity in a cluster of these SBC devices. The use of containers is considered a lightweight virtualization, allowing an application to be broken into small tasks as services, enabling load balancing, flexibility and scalability. Nevertheless when the number of devices and containers increases in the cluster, it is required an orchestration layer. There are not many solutions and available alternatives using these technologies applied on these networks, and less an assessment of their performances. This paper focuses on these technologies when we use fog computing with low cost SBC devices in a context of IoT. We use Linux containers and different available orchestration platforms (in particular Docker Swarm and Kubernetes), to run on the top of the cluster of commercial SBC devices. Thus, we carry out a thorough functional and performance comparison with different real topologies (wired and wireless) and using both homogeneous and heterogeneous clusters of SBC devices, showing their results. We conclude that with the collected experimental results, Docker Swarm orchestration platform outperforms its counterparts in the scenarios shown.","author":[{"dropping-particle":"","family":"Fayos-Jordan","given":"Rafael","non-dropping-particle":"","parse-names":false,"suffix":""},{"dropping-particle":"","family":"Felici-Castell","given":"Santiago","non-dropping-particle":"","parse-names":false,"suffix":""},{"dropping-particle":"","family":"Segura-Garcia","given":"Jaume","non-dropping-particle":"","parse-names":false,"suffix":""},{"dropping-particle":"","family":"Lopez-Ballester","given":"Jesus","non-dropping-particle":"","parse-names":false,"suffix":""},{"dropping-particle":"","family":"Cobos","given":"Maximo","non-dropping-particle":"","parse-names":false,"suffix":""}],"container-title":"Journal of Network and Computer Applications","id":"ITEM-1","issue":"August","issued":{"date-parts":[["2020"]]},"page":"102788","publisher":"Elsevier Ltd","title":"Performance comparison of container orchestration platforms with low cost devices in the fog, assisting Internet of Things applications","type":"article-journal","volume":"169"},"uris":["http://www.mendeley.com/documents/?uuid=cdc8080e-eeb2-4fb0-8811-238bc79c3b11"]}],"mendeley":{"formattedCitation":"[9]","plainTextFormattedCitation":"[9]","previouslyFormattedCitation":"[9]"},"properties":{"noteIndex":0},"schema":"https://github.com/citation-style-language/schema/raw/master/csl-citation.json"}</w:instrText>
      </w:r>
      <w:r w:rsidR="00DE7C9B">
        <w:fldChar w:fldCharType="separate"/>
      </w:r>
      <w:r w:rsidR="004104E7" w:rsidRPr="004104E7">
        <w:rPr>
          <w:noProof/>
        </w:rPr>
        <w:t>[9]</w:t>
      </w:r>
      <w:r w:rsidR="00DE7C9B">
        <w:fldChar w:fldCharType="end"/>
      </w:r>
      <w:r w:rsidR="009A7C30">
        <w:t xml:space="preserve">. </w:t>
      </w:r>
      <w:r w:rsidR="008E0A88" w:rsidRPr="008E0A88">
        <w:t xml:space="preserve">Kernel-level virtualization such as </w:t>
      </w:r>
      <w:r w:rsidR="00B178EC" w:rsidRPr="008E0A88">
        <w:t>Linux</w:t>
      </w:r>
      <w:r w:rsidR="008E0A88" w:rsidRPr="008E0A88">
        <w:t xml:space="preserve"> containers can be used as an effective method for isolating web applications, therefore this form of virtualization is appropriate when used for storing the </w:t>
      </w:r>
      <w:r w:rsidR="00A411A2" w:rsidRPr="008E0A88">
        <w:t>Moodle</w:t>
      </w:r>
      <w:r w:rsidR="008E0A88" w:rsidRPr="008E0A88">
        <w:t xml:space="preserve"> </w:t>
      </w:r>
      <w:r w:rsidR="00013AEF">
        <w:t>system</w:t>
      </w:r>
      <w:r w:rsidR="00976AC1">
        <w:t>.</w:t>
      </w:r>
    </w:p>
    <w:p w14:paraId="71E7D2C5" w14:textId="7D9BD657" w:rsidR="00A85825" w:rsidRDefault="00BB3FB7" w:rsidP="00A85825">
      <w:pPr>
        <w:pStyle w:val="BodyChar"/>
      </w:pPr>
      <w:r w:rsidRPr="00BB3FB7">
        <w:t xml:space="preserve">LXD and Docker are the </w:t>
      </w:r>
      <w:r w:rsidR="00A411A2" w:rsidRPr="00BB3FB7">
        <w:t>most used</w:t>
      </w:r>
      <w:r w:rsidRPr="00BB3FB7">
        <w:t xml:space="preserve"> </w:t>
      </w:r>
      <w:r w:rsidR="00A411A2" w:rsidRPr="00BB3FB7">
        <w:t>Linux</w:t>
      </w:r>
      <w:r w:rsidRPr="00BB3FB7">
        <w:t xml:space="preserve"> containers. LXD has advantages in terms of transfer rate and access speed when compared to Docker</w:t>
      </w:r>
      <w:r w:rsidR="0096424E">
        <w:t xml:space="preserve"> </w:t>
      </w:r>
      <w:r w:rsidR="0096424E">
        <w:fldChar w:fldCharType="begin" w:fldLock="1"/>
      </w:r>
      <w:r w:rsidR="002915B2">
        <w:instrText>ADDIN CSL_CITATION {"citationItems":[{"id":"ITEM-1","itemData":{"DOI":"10.1088/1742-6596/1211/1/012042","ISSN":"17426596","abstract":"Container is a popular approach in computer virtualization. If virtual machine separated operating system resources, container will receive same core resources with main operating system. Because of that, container size is smaller than virtual machine. Docker and LXD are part of a popular container vendor. Even though it has a different way to working, docker and LXD both have advantages. Docker only allows computer application to run in single thread mode, so it canprotect hardware resources from process overload. LXD allows application to run in multi thread mode, so the application can run normally like installed in normally operating system. This paper tried to compare the performance of docker and LXD. Web server application installed on the docker and LXD container, then we do a stress test using ApacheBench. ApacheBench send a large number of request package to test the container performance. Better container condition can handle more number of request package.","author":[{"dropping-particle":"","family":"Auliya","given":"Y. A.","non-dropping-particle":"","parse-names":false,"suffix":""},{"dropping-particle":"","family":"Nurdinsyah","given":"Y.","non-dropping-particle":"","parse-names":false,"suffix":""},{"dropping-particle":"","family":"Wulandari","given":"D. A.R.","non-dropping-particle":"","parse-names":false,"suffix":""}],"container-title":"Journal of Physics: Conference Series","id":"ITEM-1","issue":"1","issued":{"date-parts":[["2019"]]},"title":"Performance Comparison of Docker and LXD with ApacheBench","type":"article-journal","volume":"1211"},"uris":["http://www.mendeley.com/documents/?uuid=dc819a3a-b40f-4122-b9d4-ddc27b9f6eda"]}],"mendeley":{"formattedCitation":"[10]","plainTextFormattedCitation":"[10]","previouslyFormattedCitation":"[10]"},"properties":{"noteIndex":0},"schema":"https://github.com/citation-style-language/schema/raw/master/csl-citation.json"}</w:instrText>
      </w:r>
      <w:r w:rsidR="0096424E">
        <w:fldChar w:fldCharType="separate"/>
      </w:r>
      <w:r w:rsidR="004104E7" w:rsidRPr="004104E7">
        <w:rPr>
          <w:noProof/>
        </w:rPr>
        <w:t>[10]</w:t>
      </w:r>
      <w:r w:rsidR="0096424E">
        <w:fldChar w:fldCharType="end"/>
      </w:r>
      <w:r w:rsidR="0096424E">
        <w:t xml:space="preserve">. </w:t>
      </w:r>
      <w:r w:rsidRPr="00BB3FB7">
        <w:t xml:space="preserve">Although docker performs better when applied to high packet counts, in the context of an LMS a user will download more content than make requests. Indeed, this requires a stable transfer rate from the server aspect. Apart from being superior in terms of transfer rate and access speed, LXD also allows customization of networking, resources, </w:t>
      </w:r>
      <w:proofErr w:type="spellStart"/>
      <w:r w:rsidRPr="00BB3FB7">
        <w:t>cpu</w:t>
      </w:r>
      <w:proofErr w:type="spellEnd"/>
      <w:r w:rsidRPr="00BB3FB7">
        <w:t>, memory and disk</w:t>
      </w:r>
      <w:r>
        <w:t xml:space="preserve"> </w:t>
      </w:r>
      <w:r w:rsidR="00643C9A">
        <w:fldChar w:fldCharType="begin" w:fldLock="1"/>
      </w:r>
      <w:r w:rsidR="002915B2">
        <w:instrText>ADDIN CSL_CITATION {"citationItems":[{"id":"ITEM-1","itemData":{"DOI":"10.1016/j.procs.2020.07.025","ISSN":"18770509","abstract":"Containers offer an efficient solution allowing the application's isolation. Most of the papers dealing with the container's isolation focus on benchmarking container's solutions. However, in this study, we focus on a static comparison of different features proposed by container solutions. First, we will focus on the container's runtimes, then, we present the different solutions used in the study. The most common container solutions are compared, such as LXC, LXD, Singularity, Docker, Kata-containers, and gVisor. We consider container features as isolation, storage, network, and security capabilities. For each container feature, all container solutions will be compared to find the most efficient one. Finally, this paper compares the different default container configurations and attempts to find the most efficient container solution based on all compared features.","author":[{"dropping-particle":"","family":"Flauzac","given":"Olivier","non-dropping-particle":"","parse-names":false,"suffix":""},{"dropping-particle":"","family":"Mauhourat","given":"Fabien","non-dropping-particle":"","parse-names":false,"suffix":""},{"dropping-particle":"","family":"Nolot","given":"Florent","non-dropping-particle":"","parse-names":false,"suffix":""}],"container-title":"Procedia Computer Science","id":"ITEM-1","issue":"2019","issued":{"date-parts":[["2020"]]},"page":"157-164","publisher":"Elsevier B.V.","title":"A review of native container security for running applications","type":"article-journal","volume":"175"},"uris":["http://www.mendeley.com/documents/?uuid=fafd5b72-1955-4531-af9e-0f2297327b3d"]}],"mendeley":{"formattedCitation":"[11]","plainTextFormattedCitation":"[11]","previouslyFormattedCitation":"[11]"},"properties":{"noteIndex":0},"schema":"https://github.com/citation-style-language/schema/raw/master/csl-citation.json"}</w:instrText>
      </w:r>
      <w:r w:rsidR="00643C9A">
        <w:fldChar w:fldCharType="separate"/>
      </w:r>
      <w:r w:rsidR="004104E7" w:rsidRPr="004104E7">
        <w:rPr>
          <w:noProof/>
        </w:rPr>
        <w:t>[11]</w:t>
      </w:r>
      <w:r w:rsidR="00643C9A">
        <w:fldChar w:fldCharType="end"/>
      </w:r>
      <w:r w:rsidR="00AC2E8D">
        <w:t xml:space="preserve">. </w:t>
      </w:r>
      <w:r w:rsidR="00746E23" w:rsidRPr="00746E23">
        <w:t>Therefore, in this discussion, LXD would be the choice of container that we will use.</w:t>
      </w:r>
    </w:p>
    <w:p w14:paraId="4CD9C6E2" w14:textId="743F6113" w:rsidR="00717114" w:rsidRDefault="00D01697" w:rsidP="00717114">
      <w:pPr>
        <w:pStyle w:val="section"/>
      </w:pPr>
      <w:r w:rsidRPr="00D01697">
        <w:t>Distributed Storage</w:t>
      </w:r>
    </w:p>
    <w:p w14:paraId="5580415F" w14:textId="548ABBD6" w:rsidR="009E6463" w:rsidRDefault="0094641B" w:rsidP="009E6463">
      <w:pPr>
        <w:pStyle w:val="BodyChar"/>
      </w:pPr>
      <w:r w:rsidRPr="0094641B">
        <w:t xml:space="preserve">Moodle assets could be stored directly on the hard drive or distributed storage as well. If the host where the Moodle device is damaged, </w:t>
      </w:r>
      <w:r w:rsidR="00056F26">
        <w:t>stored Moodle assets</w:t>
      </w:r>
      <w:r w:rsidRPr="0094641B">
        <w:t xml:space="preserve"> on </w:t>
      </w:r>
      <w:r w:rsidR="00056F26">
        <w:t>that device</w:t>
      </w:r>
      <w:r w:rsidRPr="0094641B">
        <w:t xml:space="preserve"> is directly at risk of causing failure. In this case, since the system and assets are on the same computer, the administrator would not be able to perform recuperation. Moodle assets should be placed in distributed storage</w:t>
      </w:r>
      <w:r w:rsidR="0098075C">
        <w:t xml:space="preserve"> and stored </w:t>
      </w:r>
      <w:proofErr w:type="spellStart"/>
      <w:r w:rsidR="0098075C">
        <w:t>redudantly</w:t>
      </w:r>
      <w:proofErr w:type="spellEnd"/>
      <w:r w:rsidRPr="0094641B">
        <w:t xml:space="preserve"> to prevent this risk. The replication and redundancies required to support fault tolerance</w:t>
      </w:r>
      <w:r w:rsidR="009659A8">
        <w:t xml:space="preserve"> </w:t>
      </w:r>
      <w:r w:rsidR="009659A8">
        <w:fldChar w:fldCharType="begin" w:fldLock="1"/>
      </w:r>
      <w:r w:rsidR="002915B2">
        <w:instrText>ADDIN CSL_CITATION {"citationItems":[{"id":"ITEM-1","itemData":{"ISBN":"9781538647271","author":[{"dropping-particle":"","family":"Acquaviva","given":"Luca","non-dropping-particle":"","parse-names":false,"suffix":""},{"dropping-particle":"","family":"Bellavista","given":"Paolo","non-dropping-particle":"","parse-names":false,"suffix":""},{"dropping-particle":"","family":"Corradi","given":"Antonio","non-dropping-particle":"","parse-names":false,"suffix":""},{"dropping-particle":"","family":"Foschini","given":"Luca","non-dropping-particle":"","parse-names":false,"suffix":""},{"dropping-particle":"","family":"Gioia","given":"Leo","non-dropping-particle":"","parse-names":false,"suffix":""},{"dropping-particle":"","family":"Carlo","given":"Pasquale","non-dropping-particle":"","parse-names":false,"suffix":""},{"dropping-particle":"","family":"Picone","given":"Maiorano","non-dropping-particle":"","parse-names":false,"suffix":""}],"container-title":"2018 IEEE Global Communications Conference (GLOBECOM)","id":"ITEM-1","issued":{"date-parts":[["2018"]]},"page":"1-6","publisher":"IEEE","title":"Cloud Distributed File Systems : a Benchmark of","type":"article-journal"},"uris":["http://www.mendeley.com/documents/?uuid=d72ceb48-16f2-43c6-85da-430380b3c904"]}],"mendeley":{"formattedCitation":"[12]","plainTextFormattedCitation":"[12]","previouslyFormattedCitation":"[12]"},"properties":{"noteIndex":0},"schema":"https://github.com/citation-style-language/schema/raw/master/csl-citation.json"}</w:instrText>
      </w:r>
      <w:r w:rsidR="009659A8">
        <w:fldChar w:fldCharType="separate"/>
      </w:r>
      <w:r w:rsidR="004104E7" w:rsidRPr="004104E7">
        <w:rPr>
          <w:noProof/>
        </w:rPr>
        <w:t>[12]</w:t>
      </w:r>
      <w:r w:rsidR="009659A8">
        <w:fldChar w:fldCharType="end"/>
      </w:r>
      <w:r w:rsidRPr="0094641B">
        <w:t xml:space="preserve"> </w:t>
      </w:r>
      <w:r w:rsidRPr="0094641B">
        <w:t xml:space="preserve">are not provided by all distributed storage. </w:t>
      </w:r>
      <w:proofErr w:type="spellStart"/>
      <w:r w:rsidRPr="0094641B">
        <w:t>GlusterFS</w:t>
      </w:r>
      <w:proofErr w:type="spellEnd"/>
      <w:r w:rsidRPr="0094641B">
        <w:t xml:space="preserve"> is a distributed cloud storage option that supports replication and has a decentralized architecture, so it is probably to be used to store assets from Moodle. </w:t>
      </w:r>
      <w:proofErr w:type="spellStart"/>
      <w:r w:rsidRPr="0094641B">
        <w:t>GlusterFS</w:t>
      </w:r>
      <w:proofErr w:type="spellEnd"/>
      <w:r w:rsidRPr="0094641B">
        <w:t xml:space="preserve"> is also a general distributed file system, in addition to being decentralized, where data can be used directly through a simple mounting point</w:t>
      </w:r>
      <w:r w:rsidR="008C48F3">
        <w:t xml:space="preserve"> </w:t>
      </w:r>
      <w:r w:rsidR="008C48F3">
        <w:fldChar w:fldCharType="begin" w:fldLock="1"/>
      </w:r>
      <w:r w:rsidR="002915B2">
        <w:instrText>ADDIN CSL_CITATION {"citationItems":[{"id":"ITEM-1","itemData":{"DOI":"10.1109/TPDS.2020.2990656","ISSN":"15582183","abstract":"Data services such as search, discovery, and management in scalable distributed environments have traditionally been decoupled from the underlying file systems, and are often deployed using external databases and indexing services. However, modern data production rates, looming data movement costs, and the lack of metadata, entail revisiting the decoupled file system-data services design philosophy. In this article, we present TagIt, a scalable data management service framework aimed at scientific datasets, which can be integrated into prevalent distributed file system architectures. A key feature of TagIt is a scalable, distributed metadata indexing framework, which facilitates a flexible tagging capability to support data discovery. Furthermore, the tags can also be associated with an active operator, for pre-processing, filtering, or automatic metadata extraction, which we seamlessly offload to file servers in a load-aware fashion. We have integrated TagIt into two popular distributed file systems, i.e., GlusterFS and CephFS. Our evaluation demonstrates that TagIt can expedite data search operation by up to 10× over the extant decoupled approach.","author":[{"dropping-particle":"","family":"Sim","given":"Hyogi","non-dropping-particle":"","parse-names":false,"suffix":""},{"dropping-particle":"","family":"Khan","given":"Awais","non-dropping-particle":"","parse-names":false,"suffix":""},{"dropping-particle":"","family":"Vazhkudai","given":"Sudharshan S.","non-dropping-particle":"","parse-names":false,"suffix":""},{"dropping-particle":"","family":"Lim","given":"Seung Hwan","non-dropping-particle":"","parse-names":false,"suffix":""},{"dropping-particle":"","family":"Butt","given":"Ali R.","non-dropping-particle":"","parse-names":false,"suffix":""},{"dropping-particle":"","family":"Kim","given":"Youngjae","non-dropping-particle":"","parse-names":false,"suffix":""}],"container-title":"IEEE Transactions on Parallel and Distributed Systems","id":"ITEM-1","issue":"10","issued":{"date-parts":[["2020"]]},"page":"2375-2391","title":"An Integrated Indexing and Search Service for Distributed File Systems","type":"article-journal","volume":"31"},"uris":["http://www.mendeley.com/documents/?uuid=5fbc898b-f7a8-4896-a518-bc334a318624"]}],"mendeley":{"formattedCitation":"[13]","plainTextFormattedCitation":"[13]","previouslyFormattedCitation":"[13]"},"properties":{"noteIndex":0},"schema":"https://github.com/citation-style-language/schema/raw/master/csl-citation.json"}</w:instrText>
      </w:r>
      <w:r w:rsidR="008C48F3">
        <w:fldChar w:fldCharType="separate"/>
      </w:r>
      <w:r w:rsidR="004104E7" w:rsidRPr="004104E7">
        <w:rPr>
          <w:noProof/>
        </w:rPr>
        <w:t>[13]</w:t>
      </w:r>
      <w:r w:rsidR="008C48F3">
        <w:fldChar w:fldCharType="end"/>
      </w:r>
      <w:r w:rsidR="008C48F3">
        <w:t>.</w:t>
      </w:r>
    </w:p>
    <w:p w14:paraId="1706CCC1" w14:textId="360BD28D" w:rsidR="002677FA" w:rsidRDefault="00F01D0A" w:rsidP="00717114">
      <w:pPr>
        <w:pStyle w:val="section"/>
      </w:pPr>
      <w:r w:rsidRPr="00F01D0A">
        <w:t>Proposed Strategy</w:t>
      </w:r>
    </w:p>
    <w:p w14:paraId="31A8C7C7" w14:textId="5CD14D46" w:rsidR="000D519F" w:rsidRDefault="00F01D0A" w:rsidP="000D519F">
      <w:pPr>
        <w:pStyle w:val="BodyChar"/>
      </w:pPr>
      <w:r w:rsidRPr="00F01D0A">
        <w:t xml:space="preserve">The fault tolerance strategy is constructed behind a load balancer technology. </w:t>
      </w:r>
      <w:proofErr w:type="spellStart"/>
      <w:r w:rsidRPr="00F01D0A">
        <w:t>HAProxy</w:t>
      </w:r>
      <w:proofErr w:type="spellEnd"/>
      <w:r w:rsidRPr="00F01D0A">
        <w:t xml:space="preserve"> is a load balancer often used to manage requests from HTTP</w:t>
      </w:r>
      <w:r>
        <w:t xml:space="preserve"> </w:t>
      </w:r>
      <w:r w:rsidR="00611E1F">
        <w:fldChar w:fldCharType="begin" w:fldLock="1"/>
      </w:r>
      <w:r w:rsidR="002915B2">
        <w:instrText>ADDIN CSL_CITATION {"citationItems":[{"id":"ITEM-1","itemData":{"DOI":"10.14778/2947618.2947625","ISSN":"21508097","abstract":"This paper presents a comprehensive evaluation of an ultra- low power cluster, built upon the Intel Edison based micro servers. The improved performance and high energy effi- ciency of micro servers have driven both academia and in- dustry to explore the possibility of replacing conventional brawny servers with a larger swarm of embedded micro ser- vers. Existing attempts mostly focus on mobile-class mi- cro servers, whose capacities are similar to mobile phones. We, on the other hand, target on sensor-class micro servers, which are originally intended for uses in wearable technolo- gies, sensor networks, and Internet-of-Things. Although sensor-class micro servers have much less capacity, they are touted for minimal power consumption (&lt; 1 Watt), which opens new possibilities of achieving higher energy efficiency in datacenter workloads. Our systematic evaluation of the Edison cluster and comparisons to conventional brawny clus- ters involve careful workload choosing and laborious param- eter tuning, which ensures maximum server utilization and thus fair comparisons. Results show that the Edison clus- ter achieves up to 3:5× improvement on work-done-per-joule for web service applications and data-intensive MapReduce jobs. In terms of scalability, the Edison cluster scales lin- early on the throughput of web service workloads, and also shows satisfactory scalability for MapReduce workloads de- spite coordination overhead. © 2016 VLDB Endowment.","author":[{"dropping-particle":"","family":"Zhao","given":"Yiran","non-dropping-particle":"","parse-names":false,"suffix":""},{"dropping-particle":"","family":"Li","given":"Shen","non-dropping-particle":"","parse-names":false,"suffix":""},{"dropping-particle":"","family":"Hu","given":"Shaohan","non-dropping-particle":"","parse-names":false,"suffix":""},{"dropping-particle":"","family":"Wang","given":"Hongwei","non-dropping-particle":"","parse-names":false,"suffix":""},{"dropping-particle":"","family":"Yao","given":"Shuochao","non-dropping-particle":"","parse-names":false,"suffix":""},{"dropping-particle":"","family":"Shao","given":"Huajie","non-dropping-particle":"","parse-names":false,"suffix":""},{"dropping-particle":"","family":"Abdelzaher","given":"Tarek","non-dropping-particle":"","parse-names":false,"suffix":""}],"container-title":"Proceedings of the VLDB Endowment","id":"ITEM-1","issue":"9","issued":{"date-parts":[["2016"]]},"page":"696-707","title":"An experimental evaluation of datacenter workloads on low-power embedded micro servers","type":"article-journal","volume":"9"},"uris":["http://www.mendeley.com/documents/?uuid=b6124b7d-0503-45cd-b02b-71c8147aea83"]}],"mendeley":{"formattedCitation":"[14]","plainTextFormattedCitation":"[14]","previouslyFormattedCitation":"[14]"},"properties":{"noteIndex":0},"schema":"https://github.com/citation-style-language/schema/raw/master/csl-citation.json"}</w:instrText>
      </w:r>
      <w:r w:rsidR="00611E1F">
        <w:fldChar w:fldCharType="separate"/>
      </w:r>
      <w:r w:rsidR="004104E7" w:rsidRPr="004104E7">
        <w:rPr>
          <w:noProof/>
        </w:rPr>
        <w:t>[14]</w:t>
      </w:r>
      <w:r w:rsidR="00611E1F">
        <w:fldChar w:fldCharType="end"/>
      </w:r>
      <w:r w:rsidR="00F05A90">
        <w:t xml:space="preserve">. </w:t>
      </w:r>
      <w:r w:rsidR="001264A3" w:rsidRPr="001264A3">
        <w:t xml:space="preserve">The load balancer is responsible for receiving the client's requests and then forwarding them to the actual web server. The web server is packaged in a Linux container, it consists of </w:t>
      </w:r>
      <w:proofErr w:type="spellStart"/>
      <w:r w:rsidR="001264A3" w:rsidRPr="001264A3">
        <w:t>moodle</w:t>
      </w:r>
      <w:proofErr w:type="spellEnd"/>
      <w:r w:rsidR="001264A3" w:rsidRPr="001264A3">
        <w:t xml:space="preserve"> system. Several web server containers are </w:t>
      </w:r>
      <w:r w:rsidR="001264A3" w:rsidRPr="001264A3">
        <w:lastRenderedPageBreak/>
        <w:t xml:space="preserve">installed redundantly, therefore </w:t>
      </w:r>
      <w:proofErr w:type="spellStart"/>
      <w:r w:rsidR="001264A3" w:rsidRPr="001264A3">
        <w:t>HAProxy</w:t>
      </w:r>
      <w:proofErr w:type="spellEnd"/>
      <w:r w:rsidR="001264A3" w:rsidRPr="001264A3">
        <w:t xml:space="preserve"> could automatically redirect requests to other active containers when one container goes down.</w:t>
      </w:r>
    </w:p>
    <w:p w14:paraId="39677018" w14:textId="5044137F" w:rsidR="00595443" w:rsidRDefault="00595443" w:rsidP="000D519F">
      <w:pPr>
        <w:pStyle w:val="BodyChar"/>
      </w:pPr>
    </w:p>
    <w:tbl>
      <w:tblPr>
        <w:tblStyle w:val="KisiTabe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595443" w14:paraId="1189689D" w14:textId="77777777" w:rsidTr="00A70B9E">
        <w:trPr>
          <w:jc w:val="center"/>
        </w:trPr>
        <w:tc>
          <w:tcPr>
            <w:tcW w:w="4536" w:type="dxa"/>
          </w:tcPr>
          <w:p w14:paraId="7D32663F" w14:textId="0748D004" w:rsidR="00595443" w:rsidRDefault="003B2391" w:rsidP="003B2391">
            <w:pPr>
              <w:pStyle w:val="BodyChar"/>
              <w:jc w:val="center"/>
            </w:pPr>
            <w:r>
              <w:rPr>
                <w:noProof/>
              </w:rPr>
              <w:drawing>
                <wp:inline distT="0" distB="0" distL="0" distR="0" wp14:anchorId="0F60CBD9" wp14:editId="2BC83095">
                  <wp:extent cx="2486025" cy="3609975"/>
                  <wp:effectExtent l="0" t="0" r="9525" b="9525"/>
                  <wp:docPr id="7"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ar 7"/>
                          <pic:cNvPicPr/>
                        </pic:nvPicPr>
                        <pic:blipFill>
                          <a:blip r:embed="rId8">
                            <a:extLst>
                              <a:ext uri="{28A0092B-C50C-407E-A947-70E740481C1C}">
                                <a14:useLocalDpi xmlns:a14="http://schemas.microsoft.com/office/drawing/2010/main" val="0"/>
                              </a:ext>
                            </a:extLst>
                          </a:blip>
                          <a:stretch>
                            <a:fillRect/>
                          </a:stretch>
                        </pic:blipFill>
                        <pic:spPr>
                          <a:xfrm>
                            <a:off x="0" y="0"/>
                            <a:ext cx="2486025" cy="3609975"/>
                          </a:xfrm>
                          <a:prstGeom prst="rect">
                            <a:avLst/>
                          </a:prstGeom>
                        </pic:spPr>
                      </pic:pic>
                    </a:graphicData>
                  </a:graphic>
                </wp:inline>
              </w:drawing>
            </w:r>
          </w:p>
        </w:tc>
      </w:tr>
      <w:tr w:rsidR="00595443" w14:paraId="2845199B" w14:textId="77777777" w:rsidTr="00A70B9E">
        <w:trPr>
          <w:jc w:val="center"/>
        </w:trPr>
        <w:tc>
          <w:tcPr>
            <w:tcW w:w="4536" w:type="dxa"/>
          </w:tcPr>
          <w:p w14:paraId="5F7F0DE6" w14:textId="54DE27C1" w:rsidR="00595443" w:rsidRDefault="00206848" w:rsidP="00A70B9E">
            <w:pPr>
              <w:pStyle w:val="FigureCaption"/>
              <w:spacing w:before="120"/>
            </w:pPr>
            <w:r w:rsidRPr="00CE57CF">
              <w:rPr>
                <w:rFonts w:ascii="Times New Roman" w:hAnsi="Times New Roman"/>
                <w:b/>
              </w:rPr>
              <w:t xml:space="preserve">Figure </w:t>
            </w:r>
            <w:r>
              <w:rPr>
                <w:rFonts w:ascii="Times New Roman" w:hAnsi="Times New Roman"/>
                <w:b/>
              </w:rPr>
              <w:t>1</w:t>
            </w:r>
            <w:r w:rsidRPr="00CE57CF">
              <w:rPr>
                <w:rFonts w:ascii="Times New Roman" w:hAnsi="Times New Roman"/>
                <w:b/>
              </w:rPr>
              <w:t xml:space="preserve">. </w:t>
            </w:r>
            <w:r>
              <w:rPr>
                <w:rFonts w:ascii="Times New Roman" w:hAnsi="Times New Roman"/>
              </w:rPr>
              <w:t xml:space="preserve">Fault </w:t>
            </w:r>
            <w:r w:rsidRPr="00A70B9E">
              <w:rPr>
                <w:rFonts w:ascii="Times New Roman" w:hAnsi="Times New Roman"/>
                <w:bCs/>
              </w:rPr>
              <w:t>Tolerance</w:t>
            </w:r>
            <w:r>
              <w:rPr>
                <w:rFonts w:ascii="Times New Roman" w:hAnsi="Times New Roman"/>
              </w:rPr>
              <w:t xml:space="preserve"> Strategy </w:t>
            </w:r>
          </w:p>
        </w:tc>
      </w:tr>
    </w:tbl>
    <w:p w14:paraId="5EACD39D" w14:textId="77777777" w:rsidR="00595443" w:rsidRDefault="00595443" w:rsidP="000D519F">
      <w:pPr>
        <w:pStyle w:val="BodyChar"/>
      </w:pPr>
    </w:p>
    <w:p w14:paraId="539B5D33" w14:textId="01ED6FFD" w:rsidR="00BA0AB0" w:rsidRDefault="00BA0AB0" w:rsidP="00206848">
      <w:pPr>
        <w:pStyle w:val="BodyChar"/>
      </w:pPr>
      <w:r w:rsidRPr="00BA0AB0">
        <w:t xml:space="preserve">Each container is provided with a shared folder mounted to a </w:t>
      </w:r>
      <w:proofErr w:type="spellStart"/>
      <w:r>
        <w:t>G</w:t>
      </w:r>
      <w:r w:rsidRPr="00BA0AB0">
        <w:t>luster</w:t>
      </w:r>
      <w:proofErr w:type="spellEnd"/>
      <w:r w:rsidRPr="00BA0AB0">
        <w:t xml:space="preserve"> distributed volume. There are already several replicated bricks behind </w:t>
      </w:r>
      <w:proofErr w:type="spellStart"/>
      <w:r>
        <w:t>G</w:t>
      </w:r>
      <w:r w:rsidRPr="00BA0AB0">
        <w:t>luster</w:t>
      </w:r>
      <w:proofErr w:type="spellEnd"/>
      <w:r w:rsidRPr="00BA0AB0">
        <w:t xml:space="preserve"> distributed volume. If the asset on a brick fails, this replication feature could prevent loss of Moodle properties.</w:t>
      </w:r>
    </w:p>
    <w:p w14:paraId="560873B8" w14:textId="7113F8FE" w:rsidR="00335F58" w:rsidRDefault="00BA0AB0" w:rsidP="00206848">
      <w:pPr>
        <w:pStyle w:val="BodyChar"/>
      </w:pPr>
      <w:r w:rsidRPr="00BA0AB0">
        <w:t xml:space="preserve">Testing was performed by deactivating one of the nodes on the web server container or brick </w:t>
      </w:r>
      <w:proofErr w:type="spellStart"/>
      <w:r>
        <w:t>G</w:t>
      </w:r>
      <w:r w:rsidRPr="00BA0AB0">
        <w:t>luster</w:t>
      </w:r>
      <w:proofErr w:type="spellEnd"/>
      <w:r w:rsidRPr="00BA0AB0">
        <w:t xml:space="preserve"> volume. It proceeds to re-access the Moodle page after both the container and brick are offline to see if the service is still usable even though one of the nodes has failed. Measurements are often made to assess the degree to which output improvements could occur after a fault tolerance technique has been applied, in addition to checking failure conditions.</w:t>
      </w:r>
      <w:r w:rsidR="00EE22F4">
        <w:t xml:space="preserve"> </w:t>
      </w:r>
      <w:r w:rsidR="00E13B6F">
        <w:t>Apache JMeter</w:t>
      </w:r>
      <w:r w:rsidR="00304E7B">
        <w:t xml:space="preserve"> </w:t>
      </w:r>
      <w:r w:rsidR="00E13B6F">
        <w:fldChar w:fldCharType="begin" w:fldLock="1"/>
      </w:r>
      <w:r w:rsidR="002915B2">
        <w:instrText>ADDIN CSL_CITATION {"citationItems":[{"id":"ITEM-1","itemData":{"DOI":"10.1145/2522920.2522930","ISSN":"1049331X","abstract":"Different studies show that programmers are more interested in finding definitions of functions and their uses than variables, statements, or ordinary code fragments. Therefore, developers require support in finding relevant functions and determining how these functions are used.Unfortunately, existing code search engines do not provide enough of this support to developers, thus reducing the effectiveness of code reuse.We provide this support to programmers in a code search system called Portfolio that retrieves and visualizes relevant functions and their usages. We have built Portfolio using a combination of models that address surfing behavior of programmers and sharing related concepts among functions.We conducted two experiments: first, an experiment with 49 C/C++ programmers to compare Portfolio to Google Code Search and Koders using a standard methodology for evaluating information-retrieval-based engines; and second, an experiment with 19 Java programmers to compare Portfolio to Koders. The results show with strong statistical significance that users find more relevant functions with higher precision with Portfolio than with Google Code Search and Koders.We also show that by using PageRank, Portfolio is able to rank returned relevant functions more efficiently. © 2013 ACM.","author":[{"dropping-particle":"","family":"McMillan","given":"Collin","non-dropping-particle":"","parse-names":false,"suffix":""},{"dropping-particle":"","family":"Poshyvanyk","given":"Denys","non-dropping-particle":"","parse-names":false,"suffix":""},{"dropping-particle":"","family":"Grechanik","given":"Mark","non-dropping-particle":"","parse-names":false,"suffix":""},{"dropping-particle":"","family":"Xie","given":"Qing","non-dropping-particle":"","parse-names":false,"suffix":""},{"dropping-particle":"","family":"Fu","given":"Chen","non-dropping-particle":"","parse-names":false,"suffix":""}],"container-title":"ACM Transactions on Software Engineering and Methodology","id":"ITEM-1","issue":"4","issued":{"date-parts":[["2013"]]},"title":"Portfolio: Searching for relevant functions and their usages in millions of lines of code","type":"article-journal","volume":"22"},"uris":["http://www.mendeley.com/documents/?uuid=a4f904b9-063f-4887-a20c-7ed483006a81"]}],"mendeley":{"formattedCitation":"[15]","plainTextFormattedCitation":"[15]","previouslyFormattedCitation":"[15]"},"properties":{"noteIndex":0},"schema":"https://github.com/citation-style-language/schema/raw/master/csl-citation.json"}</w:instrText>
      </w:r>
      <w:r w:rsidR="00E13B6F">
        <w:fldChar w:fldCharType="separate"/>
      </w:r>
      <w:r w:rsidR="004104E7" w:rsidRPr="004104E7">
        <w:rPr>
          <w:noProof/>
        </w:rPr>
        <w:t>[15]</w:t>
      </w:r>
      <w:r w:rsidR="00E13B6F">
        <w:fldChar w:fldCharType="end"/>
      </w:r>
      <w:r w:rsidR="00304E7B">
        <w:t xml:space="preserve"> </w:t>
      </w:r>
      <w:r w:rsidR="00304E7B" w:rsidRPr="00304E7B">
        <w:t>was used to run all the measurements.</w:t>
      </w:r>
      <w:r w:rsidR="00283670">
        <w:t>.</w:t>
      </w:r>
    </w:p>
    <w:p w14:paraId="5FFC7831" w14:textId="08CB8A4C" w:rsidR="00E75565" w:rsidRDefault="00A703EC" w:rsidP="00717114">
      <w:pPr>
        <w:pStyle w:val="section"/>
      </w:pPr>
      <w:r>
        <w:t>Discussion</w:t>
      </w:r>
    </w:p>
    <w:p w14:paraId="53C5FE00" w14:textId="262F0C71" w:rsidR="00217E1B" w:rsidRDefault="00AA6E39" w:rsidP="00217E1B">
      <w:pPr>
        <w:pStyle w:val="subsection"/>
      </w:pPr>
      <w:r w:rsidRPr="00AA6E39">
        <w:t>Testing Setup</w:t>
      </w:r>
    </w:p>
    <w:p w14:paraId="2DD4A9F9" w14:textId="494D640D" w:rsidR="00217E1B" w:rsidRDefault="00AA6E39" w:rsidP="00454A44">
      <w:pPr>
        <w:pStyle w:val="BodyChar"/>
      </w:pPr>
      <w:r w:rsidRPr="00AA6E39">
        <w:t>The Moodle System is composed of three containers. A dual core CPU and 2 GB of RAM were included in each container. This is an option as the authors aimed at incorporating Moodle in a resource-limited environment. It is expected that the use of limited resources reflects the situation of devices that are commonly used in developed countries, where not all educational institutions in developing countries are able to provide high-specification servers</w:t>
      </w:r>
      <w:r w:rsidR="00BF3B13">
        <w:t>.</w:t>
      </w:r>
    </w:p>
    <w:p w14:paraId="67568798" w14:textId="6942E9BD" w:rsidR="00F92303" w:rsidRDefault="00BA545F" w:rsidP="00454A44">
      <w:pPr>
        <w:pStyle w:val="BodyChar"/>
      </w:pPr>
      <w:r w:rsidRPr="00BA545F">
        <w:t xml:space="preserve">The test scenario is performed using the standard test plan provided by Moodle via Apache </w:t>
      </w:r>
      <w:r w:rsidR="0009229F" w:rsidRPr="00BA545F">
        <w:t>JMeter</w:t>
      </w:r>
      <w:r w:rsidRPr="00BA545F">
        <w:t xml:space="preserve">. Moodle's test plan scenarios reflect many tasks that are commonly done by users, including: logging in, opening pages for classes, opening forums, downloading files, and logging out. Another benefit of using the Moodle test plan standard is that the test plan has been configured to resemble the </w:t>
      </w:r>
      <w:r w:rsidR="0009229F" w:rsidRPr="00BA545F">
        <w:t>behaviours</w:t>
      </w:r>
      <w:r w:rsidRPr="00BA545F">
        <w:t xml:space="preserve"> of human requests, where requests are not necessarily submitted to the server continuously. Indeed, when the users open a tab, often they also perform minor delay reading or perhaps writing replays or posts to a forum.</w:t>
      </w:r>
    </w:p>
    <w:p w14:paraId="3BBE3B61" w14:textId="622DE239" w:rsidR="00217E1B" w:rsidRDefault="002E1910" w:rsidP="00217E1B">
      <w:pPr>
        <w:pStyle w:val="subsection"/>
      </w:pPr>
      <w:r w:rsidRPr="002E1910">
        <w:lastRenderedPageBreak/>
        <w:t>Service Failure Test</w:t>
      </w:r>
    </w:p>
    <w:tbl>
      <w:tblPr>
        <w:tblStyle w:val="KisiTabe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E86868" w14:paraId="3CA89378" w14:textId="77777777" w:rsidTr="00435478">
        <w:trPr>
          <w:jc w:val="center"/>
        </w:trPr>
        <w:tc>
          <w:tcPr>
            <w:tcW w:w="9287" w:type="dxa"/>
          </w:tcPr>
          <w:p w14:paraId="599177AA" w14:textId="3DE0B6DB" w:rsidR="00E86868" w:rsidRDefault="00CA644E" w:rsidP="00435478">
            <w:pPr>
              <w:pStyle w:val="BodyChar"/>
              <w:jc w:val="center"/>
            </w:pPr>
            <w:r>
              <w:rPr>
                <w:noProof/>
              </w:rPr>
              <w:drawing>
                <wp:inline distT="0" distB="0" distL="0" distR="0" wp14:anchorId="70D3D755" wp14:editId="39E9FCE1">
                  <wp:extent cx="5687859" cy="2800350"/>
                  <wp:effectExtent l="0" t="0" r="8255" b="0"/>
                  <wp:docPr id="12" name="Gambar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9048" cy="2820629"/>
                          </a:xfrm>
                          <a:prstGeom prst="rect">
                            <a:avLst/>
                          </a:prstGeom>
                        </pic:spPr>
                      </pic:pic>
                    </a:graphicData>
                  </a:graphic>
                </wp:inline>
              </w:drawing>
            </w:r>
          </w:p>
        </w:tc>
      </w:tr>
      <w:tr w:rsidR="00E86868" w14:paraId="487B5AE5" w14:textId="77777777" w:rsidTr="006B4FEC">
        <w:trPr>
          <w:trHeight w:val="275"/>
          <w:jc w:val="center"/>
        </w:trPr>
        <w:tc>
          <w:tcPr>
            <w:tcW w:w="9287" w:type="dxa"/>
          </w:tcPr>
          <w:p w14:paraId="2A2E2CD9" w14:textId="7F4F6FE1" w:rsidR="00E86868" w:rsidRDefault="00E86868" w:rsidP="00E86868">
            <w:pPr>
              <w:pStyle w:val="BodyChar"/>
              <w:jc w:val="center"/>
            </w:pPr>
            <w:r w:rsidRPr="00CE57CF">
              <w:rPr>
                <w:rFonts w:ascii="Times New Roman" w:hAnsi="Times New Roman"/>
                <w:b/>
              </w:rPr>
              <w:t xml:space="preserve">Figure </w:t>
            </w:r>
            <w:r w:rsidR="004002D6">
              <w:rPr>
                <w:rFonts w:ascii="Times New Roman" w:hAnsi="Times New Roman"/>
                <w:b/>
              </w:rPr>
              <w:t>2</w:t>
            </w:r>
            <w:r w:rsidRPr="00CE57CF">
              <w:rPr>
                <w:rFonts w:ascii="Times New Roman" w:hAnsi="Times New Roman"/>
                <w:b/>
              </w:rPr>
              <w:t xml:space="preserve">. </w:t>
            </w:r>
            <w:r w:rsidR="006B4FEC">
              <w:rPr>
                <w:rFonts w:ascii="Times New Roman" w:hAnsi="Times New Roman"/>
              </w:rPr>
              <w:t>Request Summary</w:t>
            </w:r>
          </w:p>
        </w:tc>
      </w:tr>
    </w:tbl>
    <w:p w14:paraId="18F2BFD6" w14:textId="77777777" w:rsidR="00E86868" w:rsidRDefault="00E86868" w:rsidP="00E86868">
      <w:pPr>
        <w:pStyle w:val="BodyChar"/>
      </w:pPr>
    </w:p>
    <w:p w14:paraId="4D3380E0" w14:textId="26A9F48A" w:rsidR="00E77A9A" w:rsidRDefault="004D2978" w:rsidP="00AC165D">
      <w:pPr>
        <w:pStyle w:val="BodyChar"/>
      </w:pPr>
      <w:r w:rsidRPr="004D2978">
        <w:t xml:space="preserve">The failure test was carried out by running 30 threads, where each thread contained various request activities starting from logging in, accessing courses, forums to logging out. When the whole thread was running, we deliberately </w:t>
      </w:r>
      <w:r w:rsidR="002D0A10">
        <w:t>turned off</w:t>
      </w:r>
      <w:r w:rsidRPr="004D2978">
        <w:t xml:space="preserve"> two containers </w:t>
      </w:r>
      <w:r w:rsidR="00C76578">
        <w:t>containing</w:t>
      </w:r>
      <w:r w:rsidRPr="004D2978">
        <w:t xml:space="preserve"> </w:t>
      </w:r>
      <w:r w:rsidR="002D0A10">
        <w:t>M</w:t>
      </w:r>
      <w:r w:rsidRPr="004D2978">
        <w:t>oodle system. In Figure 2, we can see that even though there are two servers that were turned off, the request could still run with a 100 percent of success rate (without errors).</w:t>
      </w:r>
      <w:r w:rsidR="00544FC9">
        <w:t xml:space="preserve"> </w:t>
      </w:r>
    </w:p>
    <w:p w14:paraId="6FD7C0FB" w14:textId="4E394E90" w:rsidR="00787BFF" w:rsidRDefault="00AF2E80" w:rsidP="00AC165D">
      <w:pPr>
        <w:pStyle w:val="BodyChar"/>
      </w:pPr>
      <w:r w:rsidRPr="00AF2E80">
        <w:t xml:space="preserve">This studies employed the </w:t>
      </w:r>
      <w:proofErr w:type="spellStart"/>
      <w:r w:rsidR="00BC0CD3">
        <w:t>A</w:t>
      </w:r>
      <w:r w:rsidRPr="00AF2E80">
        <w:t>pdex</w:t>
      </w:r>
      <w:proofErr w:type="spellEnd"/>
      <w:r w:rsidRPr="00AF2E80">
        <w:t xml:space="preserve"> score to identify how far the time each type of request could be received by the user</w:t>
      </w:r>
      <w:r>
        <w:t xml:space="preserve"> </w:t>
      </w:r>
      <w:r w:rsidR="00CE1A39">
        <w:fldChar w:fldCharType="begin" w:fldLock="1"/>
      </w:r>
      <w:r w:rsidR="00CE1A39">
        <w:instrText>ADDIN CSL_CITATION {"citationItems":[{"id":"ITEM-1","itemData":{"DOI":"10.1109/ICSTC.2017.8011874","ISBN":"9781538618745","abstract":"The usage of http accelerator for web server is common, meanwhile Object cache on wordpress multisite can be stored using redis database. By utilizing http accelerator and redis as cache combination strategy on wordpress multisite we can maximize the wordpress client capacity. The conducted experiment already done show us that the most stable setup for cache combination is by separating object cache by its type. This setup could reduce mysql diskread activity by 60%. For static object such as image, css, and js suitable to be cached in http accelerator using varnish cache and for database activity object cache can be stored on database cache using redis cache. Using redis cache can reduce mysql server cpu usage for 25% and network traffic upto 94%. On client side, combination of varnish static cache and redis cache give 0% error rate it means the client capacity increased but the APDEX score not the best and average responsetime 17% slower (250ms difference) but it has 0% error rate for the same load compared to 'varnish cache' and 'varnish full cache + redis cache'.","author":[{"dropping-particle":"","family":"Kusuma","given":"Mandahadi","non-dropping-particle":"","parse-names":false,"suffix":""},{"dropping-particle":"","family":"Widyawan","given":"","non-dropping-particle":"","parse-names":false,"suffix":""},{"dropping-particle":"","family":"Ferdiana","given":"Ridi","non-dropping-particle":"","parse-names":false,"suffix":""}],"container-title":"Proceeding - 2017 3rd International Conference on Science and Technology-Computer, ICST 2017","id":"ITEM-1","issued":{"date-parts":[["2017"]]},"page":"176-181","title":"Performance comparison of caching strategy on wordpress multisite","type":"article-journal"},"uris":["http://www.mendeley.com/documents/?uuid=a9f29e67-693e-4e6d-9fd0-b54b32328fa9"]}],"mendeley":{"formattedCitation":"[16]","plainTextFormattedCitation":"[16]"},"properties":{"noteIndex":0},"schema":"https://github.com/citation-style-language/schema/raw/master/csl-citation.json"}</w:instrText>
      </w:r>
      <w:r w:rsidR="00CE1A39">
        <w:fldChar w:fldCharType="separate"/>
      </w:r>
      <w:r w:rsidR="00CE1A39" w:rsidRPr="00CE1A39">
        <w:rPr>
          <w:noProof/>
        </w:rPr>
        <w:t>[16]</w:t>
      </w:r>
      <w:r w:rsidR="00CE1A39">
        <w:fldChar w:fldCharType="end"/>
      </w:r>
      <w:r w:rsidR="00514BAB">
        <w:t>.</w:t>
      </w:r>
      <w:r w:rsidR="00E77A9A">
        <w:t xml:space="preserve"> </w:t>
      </w:r>
      <w:r w:rsidR="007427BB" w:rsidRPr="007427BB">
        <w:t xml:space="preserve">The </w:t>
      </w:r>
      <w:proofErr w:type="spellStart"/>
      <w:r w:rsidR="00264A45">
        <w:t>A</w:t>
      </w:r>
      <w:r w:rsidR="007427BB" w:rsidRPr="007427BB">
        <w:t>pdex</w:t>
      </w:r>
      <w:proofErr w:type="spellEnd"/>
      <w:r w:rsidR="007427BB" w:rsidRPr="007427BB">
        <w:t xml:space="preserve"> score uses a Toleration Threshold parameter of 500 </w:t>
      </w:r>
      <w:proofErr w:type="spellStart"/>
      <w:r w:rsidR="007427BB" w:rsidRPr="007427BB">
        <w:t>ms</w:t>
      </w:r>
      <w:proofErr w:type="spellEnd"/>
      <w:r w:rsidR="007427BB" w:rsidRPr="007427BB">
        <w:t xml:space="preserve"> and a </w:t>
      </w:r>
      <w:proofErr w:type="spellStart"/>
      <w:r w:rsidR="007427BB" w:rsidRPr="007427BB">
        <w:t>Frustation</w:t>
      </w:r>
      <w:proofErr w:type="spellEnd"/>
      <w:r w:rsidR="007427BB" w:rsidRPr="007427BB">
        <w:t xml:space="preserve"> Threshold of 1500 </w:t>
      </w:r>
      <w:proofErr w:type="spellStart"/>
      <w:r w:rsidR="007427BB" w:rsidRPr="007427BB">
        <w:t>ms</w:t>
      </w:r>
      <w:proofErr w:type="spellEnd"/>
      <w:r w:rsidR="007427BB" w:rsidRPr="007427BB">
        <w:t xml:space="preserve">. The delay when turning off the Moodle system server causes an increase in response time, thus affecting the </w:t>
      </w:r>
      <w:proofErr w:type="spellStart"/>
      <w:r w:rsidR="007427BB" w:rsidRPr="007427BB">
        <w:t>Apdex</w:t>
      </w:r>
      <w:proofErr w:type="spellEnd"/>
      <w:r w:rsidR="007427BB" w:rsidRPr="007427BB">
        <w:t xml:space="preserve"> score. However, when viewed as a whole, </w:t>
      </w:r>
      <w:proofErr w:type="gramStart"/>
      <w:r w:rsidR="007427BB" w:rsidRPr="007427BB">
        <w:t>the majority of</w:t>
      </w:r>
      <w:proofErr w:type="gramEnd"/>
      <w:r w:rsidR="007427BB" w:rsidRPr="007427BB">
        <w:t xml:space="preserve"> page requests were in the good category and above with a cumulative </w:t>
      </w:r>
      <w:proofErr w:type="spellStart"/>
      <w:r w:rsidR="00483A41">
        <w:t>A</w:t>
      </w:r>
      <w:r w:rsidR="007427BB" w:rsidRPr="007427BB">
        <w:t>pdex</w:t>
      </w:r>
      <w:proofErr w:type="spellEnd"/>
      <w:r w:rsidR="007427BB" w:rsidRPr="007427BB">
        <w:t xml:space="preserve"> score of 0.85.</w:t>
      </w: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E90E88" w14:paraId="46465220" w14:textId="77777777" w:rsidTr="00787BFF">
        <w:tc>
          <w:tcPr>
            <w:tcW w:w="9287" w:type="dxa"/>
          </w:tcPr>
          <w:p w14:paraId="6879E8C7" w14:textId="6C9D8353" w:rsidR="00E90E88" w:rsidRDefault="00E90E88" w:rsidP="00E90E88">
            <w:pPr>
              <w:pStyle w:val="BodyChar"/>
              <w:jc w:val="center"/>
            </w:pPr>
          </w:p>
          <w:p w14:paraId="71863FB1" w14:textId="2EE6F04D" w:rsidR="003D1DC3" w:rsidRDefault="003D1DC3" w:rsidP="00E90E88">
            <w:pPr>
              <w:pStyle w:val="BodyChar"/>
              <w:jc w:val="center"/>
            </w:pPr>
            <w:r>
              <w:rPr>
                <w:noProof/>
              </w:rPr>
              <w:drawing>
                <wp:inline distT="0" distB="0" distL="0" distR="0" wp14:anchorId="2EEB31BA" wp14:editId="7C74C2AD">
                  <wp:extent cx="3538330" cy="2126918"/>
                  <wp:effectExtent l="0" t="0" r="5080" b="6985"/>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2779" cy="2153637"/>
                          </a:xfrm>
                          <a:prstGeom prst="rect">
                            <a:avLst/>
                          </a:prstGeom>
                          <a:noFill/>
                        </pic:spPr>
                      </pic:pic>
                    </a:graphicData>
                  </a:graphic>
                </wp:inline>
              </w:drawing>
            </w:r>
          </w:p>
        </w:tc>
      </w:tr>
      <w:tr w:rsidR="00E90E88" w14:paraId="55727224" w14:textId="77777777" w:rsidTr="00E90E88">
        <w:tc>
          <w:tcPr>
            <w:tcW w:w="9287" w:type="dxa"/>
          </w:tcPr>
          <w:p w14:paraId="00FF7F09" w14:textId="77777777" w:rsidR="00E90E88" w:rsidRDefault="00E90E88" w:rsidP="00E90E88">
            <w:pPr>
              <w:pStyle w:val="BodyChar"/>
              <w:jc w:val="center"/>
              <w:rPr>
                <w:rFonts w:ascii="Times New Roman" w:hAnsi="Times New Roman"/>
              </w:rPr>
            </w:pPr>
            <w:r w:rsidRPr="00CE57CF">
              <w:rPr>
                <w:rFonts w:ascii="Times New Roman" w:hAnsi="Times New Roman"/>
                <w:b/>
              </w:rPr>
              <w:t xml:space="preserve">Figure </w:t>
            </w:r>
            <w:r>
              <w:rPr>
                <w:rFonts w:ascii="Times New Roman" w:hAnsi="Times New Roman"/>
                <w:b/>
              </w:rPr>
              <w:t>3</w:t>
            </w:r>
            <w:r w:rsidRPr="00CE57CF">
              <w:rPr>
                <w:rFonts w:ascii="Times New Roman" w:hAnsi="Times New Roman"/>
                <w:b/>
              </w:rPr>
              <w:t xml:space="preserve">. </w:t>
            </w:r>
            <w:proofErr w:type="spellStart"/>
            <w:r w:rsidR="00787BFF">
              <w:rPr>
                <w:rFonts w:ascii="Times New Roman" w:hAnsi="Times New Roman"/>
              </w:rPr>
              <w:t>Apdex</w:t>
            </w:r>
            <w:proofErr w:type="spellEnd"/>
            <w:r w:rsidR="005C21AA">
              <w:rPr>
                <w:rFonts w:ascii="Times New Roman" w:hAnsi="Times New Roman"/>
              </w:rPr>
              <w:t xml:space="preserve"> Score</w:t>
            </w:r>
            <w:r w:rsidR="00787BFF">
              <w:rPr>
                <w:rFonts w:ascii="Times New Roman" w:hAnsi="Times New Roman"/>
              </w:rPr>
              <w:t xml:space="preserve"> Overview</w:t>
            </w:r>
          </w:p>
          <w:p w14:paraId="2DE57585" w14:textId="77777777" w:rsidR="00CD6778" w:rsidRDefault="00CD6778" w:rsidP="00E90E88">
            <w:pPr>
              <w:pStyle w:val="BodyChar"/>
              <w:jc w:val="center"/>
            </w:pPr>
          </w:p>
          <w:p w14:paraId="0DFEE32C" w14:textId="77777777" w:rsidR="00CD6778" w:rsidRDefault="00CD6778" w:rsidP="00E90E88">
            <w:pPr>
              <w:pStyle w:val="BodyChar"/>
              <w:jc w:val="center"/>
            </w:pPr>
          </w:p>
          <w:p w14:paraId="595E137B" w14:textId="77777777" w:rsidR="00CD6778" w:rsidRDefault="00CD6778" w:rsidP="00E90E88">
            <w:pPr>
              <w:pStyle w:val="BodyChar"/>
              <w:jc w:val="center"/>
            </w:pPr>
          </w:p>
          <w:p w14:paraId="6936D523" w14:textId="77777777" w:rsidR="00CD6778" w:rsidRDefault="00CD6778" w:rsidP="00E90E88">
            <w:pPr>
              <w:pStyle w:val="BodyChar"/>
              <w:jc w:val="center"/>
            </w:pPr>
          </w:p>
          <w:p w14:paraId="27CE91FE" w14:textId="77777777" w:rsidR="00CD6778" w:rsidRDefault="00CD6778" w:rsidP="00E90E88">
            <w:pPr>
              <w:pStyle w:val="BodyChar"/>
              <w:jc w:val="center"/>
            </w:pPr>
          </w:p>
          <w:p w14:paraId="12C973F6" w14:textId="779B9C78" w:rsidR="00CD6778" w:rsidRDefault="00CD6778" w:rsidP="00E90E88">
            <w:pPr>
              <w:pStyle w:val="BodyChar"/>
              <w:jc w:val="center"/>
            </w:pPr>
          </w:p>
        </w:tc>
      </w:tr>
    </w:tbl>
    <w:p w14:paraId="6414B6A9" w14:textId="463579A4" w:rsidR="00217E1B" w:rsidRDefault="00080156" w:rsidP="00217E1B">
      <w:pPr>
        <w:pStyle w:val="subsection"/>
      </w:pPr>
      <w:r w:rsidRPr="00080156">
        <w:lastRenderedPageBreak/>
        <w:t>Additional Benefits</w:t>
      </w:r>
    </w:p>
    <w:tbl>
      <w:tblPr>
        <w:tblStyle w:val="KisiTabe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B421B8" w14:paraId="111A0901" w14:textId="77777777" w:rsidTr="00643B62">
        <w:trPr>
          <w:jc w:val="center"/>
        </w:trPr>
        <w:tc>
          <w:tcPr>
            <w:tcW w:w="9287" w:type="dxa"/>
          </w:tcPr>
          <w:p w14:paraId="364D5AAB" w14:textId="3317C937" w:rsidR="00B421B8" w:rsidRDefault="00B421B8" w:rsidP="000620FC">
            <w:pPr>
              <w:pStyle w:val="BodyChar"/>
              <w:jc w:val="center"/>
            </w:pPr>
          </w:p>
          <w:p w14:paraId="551E93D4" w14:textId="53928EB6" w:rsidR="007230D2" w:rsidRDefault="007230D2" w:rsidP="000620FC">
            <w:pPr>
              <w:pStyle w:val="BodyChar"/>
              <w:jc w:val="center"/>
            </w:pPr>
            <w:r>
              <w:rPr>
                <w:noProof/>
              </w:rPr>
              <w:drawing>
                <wp:inline distT="0" distB="0" distL="0" distR="0" wp14:anchorId="0DA32191" wp14:editId="220308AC">
                  <wp:extent cx="3619500" cy="1787557"/>
                  <wp:effectExtent l="0" t="0" r="0" b="3175"/>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1902" cy="1793682"/>
                          </a:xfrm>
                          <a:prstGeom prst="rect">
                            <a:avLst/>
                          </a:prstGeom>
                          <a:noFill/>
                        </pic:spPr>
                      </pic:pic>
                    </a:graphicData>
                  </a:graphic>
                </wp:inline>
              </w:drawing>
            </w:r>
          </w:p>
        </w:tc>
      </w:tr>
      <w:tr w:rsidR="00C01830" w14:paraId="3688343B" w14:textId="77777777" w:rsidTr="000620FC">
        <w:trPr>
          <w:jc w:val="center"/>
        </w:trPr>
        <w:tc>
          <w:tcPr>
            <w:tcW w:w="9287" w:type="dxa"/>
          </w:tcPr>
          <w:p w14:paraId="2ED82ECD" w14:textId="3FFE5D0A" w:rsidR="00C01830" w:rsidRDefault="00C01830" w:rsidP="00C01830">
            <w:pPr>
              <w:pStyle w:val="BodyChar"/>
              <w:jc w:val="center"/>
            </w:pPr>
            <w:r w:rsidRPr="00CE57CF">
              <w:rPr>
                <w:rFonts w:ascii="Times New Roman" w:hAnsi="Times New Roman"/>
                <w:b/>
              </w:rPr>
              <w:t xml:space="preserve">Figure </w:t>
            </w:r>
            <w:r w:rsidR="003C2E94">
              <w:rPr>
                <w:rFonts w:ascii="Times New Roman" w:hAnsi="Times New Roman"/>
                <w:b/>
              </w:rPr>
              <w:t>4</w:t>
            </w:r>
            <w:r w:rsidRPr="00CE57CF">
              <w:rPr>
                <w:rFonts w:ascii="Times New Roman" w:hAnsi="Times New Roman"/>
                <w:b/>
              </w:rPr>
              <w:t xml:space="preserve">. </w:t>
            </w:r>
            <w:r>
              <w:rPr>
                <w:rFonts w:ascii="Times New Roman" w:hAnsi="Times New Roman"/>
              </w:rPr>
              <w:t>Response Time Comparation</w:t>
            </w:r>
          </w:p>
        </w:tc>
      </w:tr>
    </w:tbl>
    <w:p w14:paraId="2E357AB6" w14:textId="77777777" w:rsidR="001E61EC" w:rsidRDefault="001E61EC" w:rsidP="00D94CB3">
      <w:pPr>
        <w:pStyle w:val="BodyChar"/>
      </w:pPr>
    </w:p>
    <w:p w14:paraId="30D30E55" w14:textId="76B14686" w:rsidR="000620FC" w:rsidRDefault="005442A3" w:rsidP="00D94CB3">
      <w:pPr>
        <w:pStyle w:val="BodyChar"/>
      </w:pPr>
      <w:r w:rsidRPr="005442A3">
        <w:t xml:space="preserve">If </w:t>
      </w:r>
      <w:r w:rsidR="009D4389">
        <w:t>M</w:t>
      </w:r>
      <w:r w:rsidRPr="005442A3">
        <w:t xml:space="preserve">oodle is only served by one single server, this has the potential to increase request failures, because when the server is experiencing an increase in concurrency, of course there are no other server backups that </w:t>
      </w:r>
      <w:proofErr w:type="gramStart"/>
      <w:r w:rsidRPr="005442A3">
        <w:t>are able to</w:t>
      </w:r>
      <w:proofErr w:type="gramEnd"/>
      <w:r w:rsidRPr="005442A3">
        <w:t xml:space="preserve"> back up the service, resulting in the server unable to reply to user requests. In </w:t>
      </w:r>
      <w:r w:rsidR="009D4389">
        <w:t>M</w:t>
      </w:r>
      <w:r w:rsidRPr="005442A3">
        <w:t>oodle service with one single server, there are still 0.11% failures, while by utilizing Load Balancer, 100% of requests from users can be served. In addition, the overall response time has also increased which can be seen in Figure 4.</w:t>
      </w: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502"/>
      </w:tblGrid>
      <w:tr w:rsidR="001E61EC" w14:paraId="1D312F19" w14:textId="77777777" w:rsidTr="001E61EC">
        <w:tc>
          <w:tcPr>
            <w:tcW w:w="4719" w:type="dxa"/>
          </w:tcPr>
          <w:p w14:paraId="1CCB1546" w14:textId="4AE0349B" w:rsidR="001E61EC" w:rsidRDefault="00140810" w:rsidP="005474BC">
            <w:pPr>
              <w:pStyle w:val="BodyChar"/>
            </w:pPr>
            <w:r>
              <w:rPr>
                <w:noProof/>
              </w:rPr>
              <mc:AlternateContent>
                <mc:Choice Requires="wps">
                  <w:drawing>
                    <wp:anchor distT="0" distB="0" distL="114300" distR="114300" simplePos="0" relativeHeight="251659264" behindDoc="0" locked="0" layoutInCell="1" allowOverlap="1" wp14:anchorId="0BBF8994" wp14:editId="6E843C1F">
                      <wp:simplePos x="0" y="0"/>
                      <wp:positionH relativeFrom="column">
                        <wp:posOffset>673928</wp:posOffset>
                      </wp:positionH>
                      <wp:positionV relativeFrom="paragraph">
                        <wp:posOffset>309052</wp:posOffset>
                      </wp:positionV>
                      <wp:extent cx="1192696" cy="254441"/>
                      <wp:effectExtent l="0" t="0" r="7620" b="0"/>
                      <wp:wrapNone/>
                      <wp:docPr id="3" name="Kotak Teks 3"/>
                      <wp:cNvGraphicFramePr/>
                      <a:graphic xmlns:a="http://schemas.openxmlformats.org/drawingml/2006/main">
                        <a:graphicData uri="http://schemas.microsoft.com/office/word/2010/wordprocessingShape">
                          <wps:wsp>
                            <wps:cNvSpPr txBox="1"/>
                            <wps:spPr>
                              <a:xfrm>
                                <a:off x="0" y="0"/>
                                <a:ext cx="1192696" cy="254441"/>
                              </a:xfrm>
                              <a:prstGeom prst="rect">
                                <a:avLst/>
                              </a:prstGeom>
                              <a:solidFill>
                                <a:schemeClr val="lt1"/>
                              </a:solidFill>
                              <a:ln w="6350">
                                <a:noFill/>
                              </a:ln>
                            </wps:spPr>
                            <wps:txbx>
                              <w:txbxContent>
                                <w:p w14:paraId="3EA6E7A4" w14:textId="290209EF" w:rsidR="00140810" w:rsidRPr="00140810" w:rsidRDefault="00140810">
                                  <w:pPr>
                                    <w:rPr>
                                      <w:lang w:val="en-US"/>
                                    </w:rPr>
                                  </w:pPr>
                                  <w:r>
                                    <w:rPr>
                                      <w:lang w:val="en-US"/>
                                    </w:rPr>
                                    <w:t>Single server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F8994" id="_x0000_t202" coordsize="21600,21600" o:spt="202" path="m,l,21600r21600,l21600,xe">
                      <v:stroke joinstyle="miter"/>
                      <v:path gradientshapeok="t" o:connecttype="rect"/>
                    </v:shapetype>
                    <v:shape id="Kotak Teks 3" o:spid="_x0000_s1026" type="#_x0000_t202" style="position:absolute;left:0;text-align:left;margin-left:53.05pt;margin-top:24.35pt;width:93.9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" fillcolor="white [3201]" stroked="f" strokeweight=".5pt">
                      <v:textbox>
                        <w:txbxContent>
                          <w:p w14:paraId="3EA6E7A4" w14:textId="290209EF" w:rsidR="00140810" w:rsidRPr="00140810" w:rsidRDefault="00140810">
                            <w:pPr>
                              <w:rPr>
                                <w:lang w:val="en-US"/>
                              </w:rPr>
                            </w:pPr>
                            <w:r>
                              <w:rPr>
                                <w:lang w:val="en-US"/>
                              </w:rPr>
                              <w:t>Single server</w:t>
                            </w:r>
                          </w:p>
                        </w:txbxContent>
                      </v:textbox>
                    </v:shape>
                  </w:pict>
                </mc:Fallback>
              </mc:AlternateContent>
            </w:r>
            <w:r w:rsidR="001E61EC">
              <w:rPr>
                <w:noProof/>
              </w:rPr>
              <w:drawing>
                <wp:inline distT="0" distB="0" distL="0" distR="0" wp14:anchorId="41828D46" wp14:editId="60A18EDB">
                  <wp:extent cx="2995684" cy="2020462"/>
                  <wp:effectExtent l="0" t="0" r="0" b="0"/>
                  <wp:docPr id="16" name="Gambar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98751" cy="2022531"/>
                          </a:xfrm>
                          <a:prstGeom prst="rect">
                            <a:avLst/>
                          </a:prstGeom>
                        </pic:spPr>
                      </pic:pic>
                    </a:graphicData>
                  </a:graphic>
                </wp:inline>
              </w:drawing>
            </w:r>
          </w:p>
        </w:tc>
        <w:tc>
          <w:tcPr>
            <w:tcW w:w="4568" w:type="dxa"/>
          </w:tcPr>
          <w:p w14:paraId="35FBEFF4" w14:textId="164EF7C7" w:rsidR="001E61EC" w:rsidRDefault="00140810" w:rsidP="005474BC">
            <w:pPr>
              <w:pStyle w:val="BodyChar"/>
            </w:pPr>
            <w:r>
              <w:rPr>
                <w:noProof/>
              </w:rPr>
              <mc:AlternateContent>
                <mc:Choice Requires="wps">
                  <w:drawing>
                    <wp:anchor distT="0" distB="0" distL="114300" distR="114300" simplePos="0" relativeHeight="251661312" behindDoc="0" locked="0" layoutInCell="1" allowOverlap="1" wp14:anchorId="0A2C21FD" wp14:editId="64830E00">
                      <wp:simplePos x="0" y="0"/>
                      <wp:positionH relativeFrom="column">
                        <wp:posOffset>1126075</wp:posOffset>
                      </wp:positionH>
                      <wp:positionV relativeFrom="paragraph">
                        <wp:posOffset>277247</wp:posOffset>
                      </wp:positionV>
                      <wp:extent cx="1494845" cy="254441"/>
                      <wp:effectExtent l="0" t="0" r="0" b="0"/>
                      <wp:wrapNone/>
                      <wp:docPr id="4" name="Kotak Teks 4"/>
                      <wp:cNvGraphicFramePr/>
                      <a:graphic xmlns:a="http://schemas.openxmlformats.org/drawingml/2006/main">
                        <a:graphicData uri="http://schemas.microsoft.com/office/word/2010/wordprocessingShape">
                          <wps:wsp>
                            <wps:cNvSpPr txBox="1"/>
                            <wps:spPr>
                              <a:xfrm>
                                <a:off x="0" y="0"/>
                                <a:ext cx="1494845" cy="254441"/>
                              </a:xfrm>
                              <a:prstGeom prst="rect">
                                <a:avLst/>
                              </a:prstGeom>
                              <a:solidFill>
                                <a:schemeClr val="lt1"/>
                              </a:solidFill>
                              <a:ln w="6350">
                                <a:noFill/>
                              </a:ln>
                            </wps:spPr>
                            <wps:txbx>
                              <w:txbxContent>
                                <w:p w14:paraId="15045C85" w14:textId="44F4DCA8" w:rsidR="00140810" w:rsidRPr="00140810" w:rsidRDefault="001440C6">
                                  <w:pPr>
                                    <w:rPr>
                                      <w:lang w:val="en-US"/>
                                    </w:rPr>
                                  </w:pPr>
                                  <w:r>
                                    <w:rPr>
                                      <w:lang w:val="en-US"/>
                                    </w:rPr>
                                    <w:t>Multiple server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C21FD" id="Kotak Teks 4" o:spid="_x0000_s1027" type="#_x0000_t202" style="position:absolute;left:0;text-align:left;margin-left:88.65pt;margin-top:21.85pt;width:117.7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" fillcolor="white [3201]" stroked="f" strokeweight=".5pt">
                      <v:textbox>
                        <w:txbxContent>
                          <w:p w14:paraId="15045C85" w14:textId="44F4DCA8" w:rsidR="00140810" w:rsidRPr="00140810" w:rsidRDefault="001440C6">
                            <w:pPr>
                              <w:rPr>
                                <w:lang w:val="en-US"/>
                              </w:rPr>
                            </w:pPr>
                            <w:r>
                              <w:rPr>
                                <w:lang w:val="en-US"/>
                              </w:rPr>
                              <w:t>Multiple server</w:t>
                            </w:r>
                          </w:p>
                        </w:txbxContent>
                      </v:textbox>
                    </v:shape>
                  </w:pict>
                </mc:Fallback>
              </mc:AlternateContent>
            </w:r>
            <w:r w:rsidR="001E61EC">
              <w:rPr>
                <w:noProof/>
              </w:rPr>
              <w:drawing>
                <wp:inline distT="0" distB="0" distL="0" distR="0" wp14:anchorId="6B5DD808" wp14:editId="071ED20D">
                  <wp:extent cx="2809564" cy="1937982"/>
                  <wp:effectExtent l="0" t="0" r="0" b="5715"/>
                  <wp:docPr id="17" name="Gambar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14461" cy="1941360"/>
                          </a:xfrm>
                          <a:prstGeom prst="rect">
                            <a:avLst/>
                          </a:prstGeom>
                        </pic:spPr>
                      </pic:pic>
                    </a:graphicData>
                  </a:graphic>
                </wp:inline>
              </w:drawing>
            </w:r>
          </w:p>
        </w:tc>
      </w:tr>
      <w:tr w:rsidR="001E61EC" w14:paraId="57506013" w14:textId="77777777" w:rsidTr="001E61EC">
        <w:tc>
          <w:tcPr>
            <w:tcW w:w="9287" w:type="dxa"/>
            <w:gridSpan w:val="2"/>
          </w:tcPr>
          <w:p w14:paraId="2CD73671" w14:textId="5A8BF935" w:rsidR="001E61EC" w:rsidRDefault="001E61EC" w:rsidP="001E61EC">
            <w:pPr>
              <w:pStyle w:val="BodyChar"/>
              <w:jc w:val="center"/>
            </w:pPr>
            <w:r w:rsidRPr="00CE57CF">
              <w:rPr>
                <w:rFonts w:ascii="Times New Roman" w:hAnsi="Times New Roman"/>
                <w:b/>
              </w:rPr>
              <w:t xml:space="preserve">Figure </w:t>
            </w:r>
            <w:r>
              <w:rPr>
                <w:rFonts w:ascii="Times New Roman" w:hAnsi="Times New Roman"/>
                <w:b/>
              </w:rPr>
              <w:t>5</w:t>
            </w:r>
            <w:r w:rsidRPr="00CE57CF">
              <w:rPr>
                <w:rFonts w:ascii="Times New Roman" w:hAnsi="Times New Roman"/>
                <w:b/>
              </w:rPr>
              <w:t xml:space="preserve">. </w:t>
            </w:r>
            <w:r>
              <w:rPr>
                <w:rFonts w:ascii="Times New Roman" w:hAnsi="Times New Roman"/>
              </w:rPr>
              <w:t>Response Time Distribution Comparation</w:t>
            </w:r>
          </w:p>
        </w:tc>
      </w:tr>
    </w:tbl>
    <w:p w14:paraId="05A6F85F" w14:textId="77777777" w:rsidR="001E61EC" w:rsidRDefault="001E61EC" w:rsidP="00D94CB3">
      <w:pPr>
        <w:pStyle w:val="BodyChar"/>
      </w:pPr>
    </w:p>
    <w:p w14:paraId="3D816A22" w14:textId="329EF48F" w:rsidR="001E61EC" w:rsidRDefault="00621352" w:rsidP="00D94CB3">
      <w:pPr>
        <w:pStyle w:val="BodyChar"/>
      </w:pPr>
      <w:r w:rsidRPr="00621352">
        <w:t xml:space="preserve">Using a single server results in an increased response time distribution range. On a single server the longest response time could reach 12000 </w:t>
      </w:r>
      <w:proofErr w:type="spellStart"/>
      <w:r w:rsidRPr="00621352">
        <w:t>ms</w:t>
      </w:r>
      <w:proofErr w:type="spellEnd"/>
      <w:r w:rsidRPr="00621352">
        <w:t xml:space="preserve">, while the longest response time using a load balancer could only reach 2000 </w:t>
      </w:r>
      <w:proofErr w:type="spellStart"/>
      <w:r w:rsidRPr="00621352">
        <w:t>ms</w:t>
      </w:r>
      <w:proofErr w:type="spellEnd"/>
      <w:r w:rsidRPr="00621352">
        <w:t>.</w:t>
      </w:r>
    </w:p>
    <w:p w14:paraId="633149C6" w14:textId="63452961" w:rsidR="00FF78FD" w:rsidRPr="00CE57CF" w:rsidRDefault="004D02A4" w:rsidP="00717114">
      <w:pPr>
        <w:pStyle w:val="section"/>
      </w:pPr>
      <w:r>
        <w:t>Conclusion</w:t>
      </w:r>
    </w:p>
    <w:p w14:paraId="64C6F280" w14:textId="10291F81" w:rsidR="00EA3F4B" w:rsidRDefault="00BB0E22">
      <w:pPr>
        <w:pStyle w:val="BodyChar"/>
        <w:rPr>
          <w:rFonts w:ascii="Times New Roman" w:hAnsi="Times New Roman"/>
        </w:rPr>
      </w:pPr>
      <w:r w:rsidRPr="00BB0E22">
        <w:rPr>
          <w:rFonts w:ascii="Times New Roman" w:hAnsi="Times New Roman"/>
        </w:rPr>
        <w:t xml:space="preserve">The implementation of the fault tolerance strategy has the prospect of improving the reliability of </w:t>
      </w:r>
      <w:r w:rsidR="006909C2">
        <w:rPr>
          <w:rFonts w:ascii="Times New Roman" w:hAnsi="Times New Roman"/>
        </w:rPr>
        <w:t>M</w:t>
      </w:r>
      <w:r w:rsidRPr="00BB0E22">
        <w:rPr>
          <w:rFonts w:ascii="Times New Roman" w:hAnsi="Times New Roman"/>
        </w:rPr>
        <w:t xml:space="preserve">oodle services. Even though the server experiences a decrease in time when responding to user requests, this does not affect all requests. Delay will occur when one or more servers experience disconnection or failure, the load balancer takes time to redirect to another active server and repeat the request process from the old server. In addition to ensuring that all requests can be served properly, the fault tolerance strategy also </w:t>
      </w:r>
      <w:proofErr w:type="gramStart"/>
      <w:r w:rsidRPr="00BB0E22">
        <w:rPr>
          <w:rFonts w:ascii="Times New Roman" w:hAnsi="Times New Roman"/>
        </w:rPr>
        <w:t>has the opportunity to</w:t>
      </w:r>
      <w:proofErr w:type="gramEnd"/>
      <w:r w:rsidRPr="00BB0E22">
        <w:rPr>
          <w:rFonts w:ascii="Times New Roman" w:hAnsi="Times New Roman"/>
        </w:rPr>
        <w:t xml:space="preserve"> increase the </w:t>
      </w:r>
      <w:proofErr w:type="spellStart"/>
      <w:r w:rsidR="0073303F">
        <w:rPr>
          <w:rFonts w:ascii="Times New Roman" w:hAnsi="Times New Roman"/>
        </w:rPr>
        <w:t>A</w:t>
      </w:r>
      <w:r w:rsidRPr="00BB0E22">
        <w:rPr>
          <w:rFonts w:ascii="Times New Roman" w:hAnsi="Times New Roman"/>
        </w:rPr>
        <w:t>pdex</w:t>
      </w:r>
      <w:proofErr w:type="spellEnd"/>
      <w:r w:rsidRPr="00BB0E22">
        <w:rPr>
          <w:rFonts w:ascii="Times New Roman" w:hAnsi="Times New Roman"/>
        </w:rPr>
        <w:t xml:space="preserve"> score because the response time distribution range is not too far if you only use one server.</w:t>
      </w:r>
    </w:p>
    <w:p w14:paraId="14AA4FEA" w14:textId="77777777" w:rsidR="00BA357F" w:rsidRDefault="00BA357F">
      <w:pPr>
        <w:pStyle w:val="BodyChar"/>
        <w:rPr>
          <w:rFonts w:ascii="Times New Roman" w:hAnsi="Times New Roman"/>
        </w:rPr>
      </w:pPr>
    </w:p>
    <w:p w14:paraId="68B250C3" w14:textId="376C3345" w:rsidR="002D2772" w:rsidRPr="00492671" w:rsidRDefault="002D2772">
      <w:pPr>
        <w:pStyle w:val="BodyChar"/>
        <w:rPr>
          <w:rFonts w:ascii="Times New Roman" w:hAnsi="Times New Roman"/>
          <w:b/>
        </w:rPr>
      </w:pPr>
      <w:r w:rsidRPr="00492671">
        <w:rPr>
          <w:rFonts w:ascii="Times New Roman" w:hAnsi="Times New Roman"/>
          <w:b/>
        </w:rPr>
        <w:t>Reference</w:t>
      </w:r>
      <w:r w:rsidR="00C77D0E">
        <w:rPr>
          <w:rFonts w:ascii="Times New Roman" w:hAnsi="Times New Roman"/>
          <w:b/>
        </w:rPr>
        <w:t>s</w:t>
      </w:r>
    </w:p>
    <w:p w14:paraId="55C4F228" w14:textId="790C5CEB" w:rsidR="00CE1A39" w:rsidRPr="00CE1A39" w:rsidRDefault="002D2772" w:rsidP="00CE1A39">
      <w:pPr>
        <w:widowControl w:val="0"/>
        <w:autoSpaceDE w:val="0"/>
        <w:autoSpaceDN w:val="0"/>
        <w:adjustRightInd w:val="0"/>
        <w:ind w:left="640" w:hanging="640"/>
        <w:rPr>
          <w:rFonts w:ascii="Times New Roman" w:hAnsi="Times New Roman"/>
          <w:noProof/>
          <w:szCs w:val="24"/>
        </w:rPr>
      </w:pPr>
      <w:r>
        <w:rPr>
          <w:rFonts w:ascii="Times New Roman" w:hAnsi="Times New Roman"/>
        </w:rPr>
        <w:fldChar w:fldCharType="begin" w:fldLock="1"/>
      </w:r>
      <w:r>
        <w:rPr>
          <w:rFonts w:ascii="Times New Roman" w:hAnsi="Times New Roman"/>
        </w:rPr>
        <w:instrText xml:space="preserve">ADDIN Mendeley Bibliography CSL_BIBLIOGRAPHY </w:instrText>
      </w:r>
      <w:r>
        <w:rPr>
          <w:rFonts w:ascii="Times New Roman" w:hAnsi="Times New Roman"/>
        </w:rPr>
        <w:fldChar w:fldCharType="separate"/>
      </w:r>
      <w:r w:rsidR="00CE1A39" w:rsidRPr="00CE1A39">
        <w:rPr>
          <w:rFonts w:ascii="Times New Roman" w:hAnsi="Times New Roman"/>
          <w:noProof/>
          <w:szCs w:val="24"/>
        </w:rPr>
        <w:t>[1]</w:t>
      </w:r>
      <w:r w:rsidR="00CE1A39" w:rsidRPr="00CE1A39">
        <w:rPr>
          <w:rFonts w:ascii="Times New Roman" w:hAnsi="Times New Roman"/>
          <w:noProof/>
          <w:szCs w:val="24"/>
        </w:rPr>
        <w:tab/>
        <w:t xml:space="preserve"> Yawson D E and Yamoah F A 2020 Understanding satisfaction essentials of E-learning in higher education: A multi-generational cohort perspective </w:t>
      </w:r>
      <w:r w:rsidR="00CE1A39" w:rsidRPr="00CE1A39">
        <w:rPr>
          <w:rFonts w:ascii="Times New Roman" w:hAnsi="Times New Roman"/>
          <w:i/>
          <w:iCs/>
          <w:noProof/>
          <w:szCs w:val="24"/>
        </w:rPr>
        <w:t>Heliyon</w:t>
      </w:r>
      <w:r w:rsidR="00CE1A39" w:rsidRPr="00CE1A39">
        <w:rPr>
          <w:rFonts w:ascii="Times New Roman" w:hAnsi="Times New Roman"/>
          <w:noProof/>
          <w:szCs w:val="24"/>
        </w:rPr>
        <w:t xml:space="preserve"> </w:t>
      </w:r>
      <w:r w:rsidR="00CE1A39" w:rsidRPr="00CE1A39">
        <w:rPr>
          <w:rFonts w:ascii="Times New Roman" w:hAnsi="Times New Roman"/>
          <w:b/>
          <w:bCs/>
          <w:noProof/>
          <w:szCs w:val="24"/>
        </w:rPr>
        <w:t>6</w:t>
      </w:r>
      <w:r w:rsidR="00CE1A39" w:rsidRPr="00CE1A39">
        <w:rPr>
          <w:rFonts w:ascii="Times New Roman" w:hAnsi="Times New Roman"/>
          <w:noProof/>
          <w:szCs w:val="24"/>
        </w:rPr>
        <w:t xml:space="preserve"> e05519</w:t>
      </w:r>
    </w:p>
    <w:p w14:paraId="7F8AD40D" w14:textId="77777777" w:rsidR="00CE1A39" w:rsidRPr="00CE1A39" w:rsidRDefault="00CE1A39" w:rsidP="00CE1A39">
      <w:pPr>
        <w:widowControl w:val="0"/>
        <w:autoSpaceDE w:val="0"/>
        <w:autoSpaceDN w:val="0"/>
        <w:adjustRightInd w:val="0"/>
        <w:ind w:left="640" w:hanging="640"/>
        <w:rPr>
          <w:rFonts w:ascii="Times New Roman" w:hAnsi="Times New Roman"/>
          <w:noProof/>
          <w:szCs w:val="24"/>
        </w:rPr>
      </w:pPr>
      <w:r w:rsidRPr="00CE1A39">
        <w:rPr>
          <w:rFonts w:ascii="Times New Roman" w:hAnsi="Times New Roman"/>
          <w:noProof/>
          <w:szCs w:val="24"/>
        </w:rPr>
        <w:t>[2]</w:t>
      </w:r>
      <w:r w:rsidRPr="00CE1A39">
        <w:rPr>
          <w:rFonts w:ascii="Times New Roman" w:hAnsi="Times New Roman"/>
          <w:noProof/>
          <w:szCs w:val="24"/>
        </w:rPr>
        <w:tab/>
        <w:t xml:space="preserve"> Badia A, Martín D and Gómez M 2019 Teachers’ Perceptions of the Use of Moodle Activities </w:t>
      </w:r>
      <w:r w:rsidRPr="00CE1A39">
        <w:rPr>
          <w:rFonts w:ascii="Times New Roman" w:hAnsi="Times New Roman"/>
          <w:noProof/>
          <w:szCs w:val="24"/>
        </w:rPr>
        <w:lastRenderedPageBreak/>
        <w:t xml:space="preserve">and Their Learning Impact in Secondary Education </w:t>
      </w:r>
      <w:r w:rsidRPr="00CE1A39">
        <w:rPr>
          <w:rFonts w:ascii="Times New Roman" w:hAnsi="Times New Roman"/>
          <w:i/>
          <w:iCs/>
          <w:noProof/>
          <w:szCs w:val="24"/>
        </w:rPr>
        <w:t>Technol. Knowl. Learn.</w:t>
      </w:r>
      <w:r w:rsidRPr="00CE1A39">
        <w:rPr>
          <w:rFonts w:ascii="Times New Roman" w:hAnsi="Times New Roman"/>
          <w:noProof/>
          <w:szCs w:val="24"/>
        </w:rPr>
        <w:t xml:space="preserve"> </w:t>
      </w:r>
      <w:r w:rsidRPr="00CE1A39">
        <w:rPr>
          <w:rFonts w:ascii="Times New Roman" w:hAnsi="Times New Roman"/>
          <w:b/>
          <w:bCs/>
          <w:noProof/>
          <w:szCs w:val="24"/>
        </w:rPr>
        <w:t>24</w:t>
      </w:r>
      <w:r w:rsidRPr="00CE1A39">
        <w:rPr>
          <w:rFonts w:ascii="Times New Roman" w:hAnsi="Times New Roman"/>
          <w:noProof/>
          <w:szCs w:val="24"/>
        </w:rPr>
        <w:t xml:space="preserve"> 483–99</w:t>
      </w:r>
    </w:p>
    <w:p w14:paraId="0BF5E9AB" w14:textId="77777777" w:rsidR="00CE1A39" w:rsidRPr="00CE1A39" w:rsidRDefault="00CE1A39" w:rsidP="00CE1A39">
      <w:pPr>
        <w:widowControl w:val="0"/>
        <w:autoSpaceDE w:val="0"/>
        <w:autoSpaceDN w:val="0"/>
        <w:adjustRightInd w:val="0"/>
        <w:ind w:left="640" w:hanging="640"/>
        <w:rPr>
          <w:rFonts w:ascii="Times New Roman" w:hAnsi="Times New Roman"/>
          <w:noProof/>
          <w:szCs w:val="24"/>
        </w:rPr>
      </w:pPr>
      <w:r w:rsidRPr="00CE1A39">
        <w:rPr>
          <w:rFonts w:ascii="Times New Roman" w:hAnsi="Times New Roman"/>
          <w:noProof/>
          <w:szCs w:val="24"/>
        </w:rPr>
        <w:t>[3]</w:t>
      </w:r>
      <w:r w:rsidRPr="00CE1A39">
        <w:rPr>
          <w:rFonts w:ascii="Times New Roman" w:hAnsi="Times New Roman"/>
          <w:noProof/>
          <w:szCs w:val="24"/>
        </w:rPr>
        <w:tab/>
        <w:t xml:space="preserve"> García-Martín J and García-Sánchez J-N 2020 The effectiveness of four instructional approaches used in a MOOC promoting personal skills for success in life </w:t>
      </w:r>
      <w:r w:rsidRPr="00CE1A39">
        <w:rPr>
          <w:rFonts w:ascii="Times New Roman" w:hAnsi="Times New Roman"/>
          <w:i/>
          <w:iCs/>
          <w:noProof/>
          <w:szCs w:val="24"/>
        </w:rPr>
        <w:t>Rev. Psicodidáctica (English ed.)</w:t>
      </w:r>
      <w:r w:rsidRPr="00CE1A39">
        <w:rPr>
          <w:rFonts w:ascii="Times New Roman" w:hAnsi="Times New Roman"/>
          <w:noProof/>
          <w:szCs w:val="24"/>
        </w:rPr>
        <w:t xml:space="preserve"> </w:t>
      </w:r>
      <w:r w:rsidRPr="00CE1A39">
        <w:rPr>
          <w:rFonts w:ascii="Times New Roman" w:hAnsi="Times New Roman"/>
          <w:b/>
          <w:bCs/>
          <w:noProof/>
          <w:szCs w:val="24"/>
        </w:rPr>
        <w:t>25</w:t>
      </w:r>
      <w:r w:rsidRPr="00CE1A39">
        <w:rPr>
          <w:rFonts w:ascii="Times New Roman" w:hAnsi="Times New Roman"/>
          <w:noProof/>
          <w:szCs w:val="24"/>
        </w:rPr>
        <w:t xml:space="preserve"> 36–44</w:t>
      </w:r>
    </w:p>
    <w:p w14:paraId="7411EACF" w14:textId="77777777" w:rsidR="00CE1A39" w:rsidRPr="00CE1A39" w:rsidRDefault="00CE1A39" w:rsidP="00CE1A39">
      <w:pPr>
        <w:widowControl w:val="0"/>
        <w:autoSpaceDE w:val="0"/>
        <w:autoSpaceDN w:val="0"/>
        <w:adjustRightInd w:val="0"/>
        <w:ind w:left="640" w:hanging="640"/>
        <w:rPr>
          <w:rFonts w:ascii="Times New Roman" w:hAnsi="Times New Roman"/>
          <w:noProof/>
          <w:szCs w:val="24"/>
        </w:rPr>
      </w:pPr>
      <w:r w:rsidRPr="00CE1A39">
        <w:rPr>
          <w:rFonts w:ascii="Times New Roman" w:hAnsi="Times New Roman"/>
          <w:noProof/>
          <w:szCs w:val="24"/>
        </w:rPr>
        <w:t>[4]</w:t>
      </w:r>
      <w:r w:rsidRPr="00CE1A39">
        <w:rPr>
          <w:rFonts w:ascii="Times New Roman" w:hAnsi="Times New Roman"/>
          <w:noProof/>
          <w:szCs w:val="24"/>
        </w:rPr>
        <w:tab/>
        <w:t xml:space="preserve"> Fernando W 2020 Moodle quizzes and their usability for formative assessment of academic writing </w:t>
      </w:r>
      <w:r w:rsidRPr="00CE1A39">
        <w:rPr>
          <w:rFonts w:ascii="Times New Roman" w:hAnsi="Times New Roman"/>
          <w:i/>
          <w:iCs/>
          <w:noProof/>
          <w:szCs w:val="24"/>
        </w:rPr>
        <w:t>Assess. Writ.</w:t>
      </w:r>
      <w:r w:rsidRPr="00CE1A39">
        <w:rPr>
          <w:rFonts w:ascii="Times New Roman" w:hAnsi="Times New Roman"/>
          <w:noProof/>
          <w:szCs w:val="24"/>
        </w:rPr>
        <w:t xml:space="preserve"> </w:t>
      </w:r>
      <w:r w:rsidRPr="00CE1A39">
        <w:rPr>
          <w:rFonts w:ascii="Times New Roman" w:hAnsi="Times New Roman"/>
          <w:b/>
          <w:bCs/>
          <w:noProof/>
          <w:szCs w:val="24"/>
        </w:rPr>
        <w:t>46</w:t>
      </w:r>
      <w:r w:rsidRPr="00CE1A39">
        <w:rPr>
          <w:rFonts w:ascii="Times New Roman" w:hAnsi="Times New Roman"/>
          <w:noProof/>
          <w:szCs w:val="24"/>
        </w:rPr>
        <w:t xml:space="preserve"> 100485</w:t>
      </w:r>
    </w:p>
    <w:p w14:paraId="6E69EF0C" w14:textId="77777777" w:rsidR="00CE1A39" w:rsidRPr="00CE1A39" w:rsidRDefault="00CE1A39" w:rsidP="00CE1A39">
      <w:pPr>
        <w:widowControl w:val="0"/>
        <w:autoSpaceDE w:val="0"/>
        <w:autoSpaceDN w:val="0"/>
        <w:adjustRightInd w:val="0"/>
        <w:ind w:left="640" w:hanging="640"/>
        <w:rPr>
          <w:rFonts w:ascii="Times New Roman" w:hAnsi="Times New Roman"/>
          <w:noProof/>
          <w:szCs w:val="24"/>
        </w:rPr>
      </w:pPr>
      <w:r w:rsidRPr="00CE1A39">
        <w:rPr>
          <w:rFonts w:ascii="Times New Roman" w:hAnsi="Times New Roman"/>
          <w:noProof/>
          <w:szCs w:val="24"/>
        </w:rPr>
        <w:t>[5]</w:t>
      </w:r>
      <w:r w:rsidRPr="00CE1A39">
        <w:rPr>
          <w:rFonts w:ascii="Times New Roman" w:hAnsi="Times New Roman"/>
          <w:noProof/>
          <w:szCs w:val="24"/>
        </w:rPr>
        <w:tab/>
        <w:t xml:space="preserve"> Melton M and Fenwick J 2019 Alexa Skill Voice Interface for the Moodle Learning Management System </w:t>
      </w:r>
      <w:r w:rsidRPr="00CE1A39">
        <w:rPr>
          <w:rFonts w:ascii="Times New Roman" w:hAnsi="Times New Roman"/>
          <w:i/>
          <w:iCs/>
          <w:noProof/>
          <w:szCs w:val="24"/>
        </w:rPr>
        <w:t>J. Comput. Sci. Coll.</w:t>
      </w:r>
      <w:r w:rsidRPr="00CE1A39">
        <w:rPr>
          <w:rFonts w:ascii="Times New Roman" w:hAnsi="Times New Roman"/>
          <w:noProof/>
          <w:szCs w:val="24"/>
        </w:rPr>
        <w:t xml:space="preserve"> </w:t>
      </w:r>
      <w:r w:rsidRPr="00CE1A39">
        <w:rPr>
          <w:rFonts w:ascii="Times New Roman" w:hAnsi="Times New Roman"/>
          <w:b/>
          <w:bCs/>
          <w:noProof/>
          <w:szCs w:val="24"/>
        </w:rPr>
        <w:t>35</w:t>
      </w:r>
      <w:r w:rsidRPr="00CE1A39">
        <w:rPr>
          <w:rFonts w:ascii="Times New Roman" w:hAnsi="Times New Roman"/>
          <w:noProof/>
          <w:szCs w:val="24"/>
        </w:rPr>
        <w:t xml:space="preserve"> 26–35</w:t>
      </w:r>
    </w:p>
    <w:p w14:paraId="71049645" w14:textId="77777777" w:rsidR="00CE1A39" w:rsidRPr="00CE1A39" w:rsidRDefault="00CE1A39" w:rsidP="00CE1A39">
      <w:pPr>
        <w:widowControl w:val="0"/>
        <w:autoSpaceDE w:val="0"/>
        <w:autoSpaceDN w:val="0"/>
        <w:adjustRightInd w:val="0"/>
        <w:ind w:left="640" w:hanging="640"/>
        <w:rPr>
          <w:rFonts w:ascii="Times New Roman" w:hAnsi="Times New Roman"/>
          <w:noProof/>
          <w:szCs w:val="24"/>
        </w:rPr>
      </w:pPr>
      <w:r w:rsidRPr="00CE1A39">
        <w:rPr>
          <w:rFonts w:ascii="Times New Roman" w:hAnsi="Times New Roman"/>
          <w:noProof/>
          <w:szCs w:val="24"/>
        </w:rPr>
        <w:t>[6]</w:t>
      </w:r>
      <w:r w:rsidRPr="00CE1A39">
        <w:rPr>
          <w:rFonts w:ascii="Times New Roman" w:hAnsi="Times New Roman"/>
          <w:noProof/>
          <w:szCs w:val="24"/>
        </w:rPr>
        <w:tab/>
        <w:t xml:space="preserve"> Aucejo E M, French J, Araya M P U and Zafar B 2020 The Impact of COVID-19 on Student Experiences and Expectations: Evidence from a Survey. </w:t>
      </w:r>
      <w:r w:rsidRPr="00CE1A39">
        <w:rPr>
          <w:rFonts w:ascii="Times New Roman" w:hAnsi="Times New Roman"/>
          <w:i/>
          <w:iCs/>
          <w:noProof/>
          <w:szCs w:val="24"/>
        </w:rPr>
        <w:t>J. Public Econ.</w:t>
      </w:r>
      <w:r w:rsidRPr="00CE1A39">
        <w:rPr>
          <w:rFonts w:ascii="Times New Roman" w:hAnsi="Times New Roman"/>
          <w:noProof/>
          <w:szCs w:val="24"/>
        </w:rPr>
        <w:t xml:space="preserve"> 104271</w:t>
      </w:r>
    </w:p>
    <w:p w14:paraId="5805B918" w14:textId="77777777" w:rsidR="00CE1A39" w:rsidRPr="00CE1A39" w:rsidRDefault="00CE1A39" w:rsidP="00CE1A39">
      <w:pPr>
        <w:widowControl w:val="0"/>
        <w:autoSpaceDE w:val="0"/>
        <w:autoSpaceDN w:val="0"/>
        <w:adjustRightInd w:val="0"/>
        <w:ind w:left="640" w:hanging="640"/>
        <w:rPr>
          <w:rFonts w:ascii="Times New Roman" w:hAnsi="Times New Roman"/>
          <w:noProof/>
          <w:szCs w:val="24"/>
        </w:rPr>
      </w:pPr>
      <w:r w:rsidRPr="00CE1A39">
        <w:rPr>
          <w:rFonts w:ascii="Times New Roman" w:hAnsi="Times New Roman"/>
          <w:noProof/>
          <w:szCs w:val="24"/>
        </w:rPr>
        <w:t>[7]</w:t>
      </w:r>
      <w:r w:rsidRPr="00CE1A39">
        <w:rPr>
          <w:rFonts w:ascii="Times New Roman" w:hAnsi="Times New Roman"/>
          <w:noProof/>
          <w:szCs w:val="24"/>
        </w:rPr>
        <w:tab/>
        <w:t xml:space="preserve"> De Medio C, Limongelli C, Sciarrone F and Temperini M 2020 MoodleREC: A recommendation system for creating courses using the moodle e-learning platform </w:t>
      </w:r>
      <w:r w:rsidRPr="00CE1A39">
        <w:rPr>
          <w:rFonts w:ascii="Times New Roman" w:hAnsi="Times New Roman"/>
          <w:i/>
          <w:iCs/>
          <w:noProof/>
          <w:szCs w:val="24"/>
        </w:rPr>
        <w:t>Comput. Human Behav.</w:t>
      </w:r>
      <w:r w:rsidRPr="00CE1A39">
        <w:rPr>
          <w:rFonts w:ascii="Times New Roman" w:hAnsi="Times New Roman"/>
          <w:noProof/>
          <w:szCs w:val="24"/>
        </w:rPr>
        <w:t xml:space="preserve"> </w:t>
      </w:r>
      <w:r w:rsidRPr="00CE1A39">
        <w:rPr>
          <w:rFonts w:ascii="Times New Roman" w:hAnsi="Times New Roman"/>
          <w:b/>
          <w:bCs/>
          <w:noProof/>
          <w:szCs w:val="24"/>
        </w:rPr>
        <w:t>104</w:t>
      </w:r>
      <w:r w:rsidRPr="00CE1A39">
        <w:rPr>
          <w:rFonts w:ascii="Times New Roman" w:hAnsi="Times New Roman"/>
          <w:noProof/>
          <w:szCs w:val="24"/>
        </w:rPr>
        <w:t xml:space="preserve"> 106168</w:t>
      </w:r>
    </w:p>
    <w:p w14:paraId="6E9ABA70" w14:textId="77777777" w:rsidR="00CE1A39" w:rsidRPr="00CE1A39" w:rsidRDefault="00CE1A39" w:rsidP="00CE1A39">
      <w:pPr>
        <w:widowControl w:val="0"/>
        <w:autoSpaceDE w:val="0"/>
        <w:autoSpaceDN w:val="0"/>
        <w:adjustRightInd w:val="0"/>
        <w:ind w:left="640" w:hanging="640"/>
        <w:rPr>
          <w:rFonts w:ascii="Times New Roman" w:hAnsi="Times New Roman"/>
          <w:noProof/>
          <w:szCs w:val="24"/>
        </w:rPr>
      </w:pPr>
      <w:r w:rsidRPr="00CE1A39">
        <w:rPr>
          <w:rFonts w:ascii="Times New Roman" w:hAnsi="Times New Roman"/>
          <w:noProof/>
          <w:szCs w:val="24"/>
        </w:rPr>
        <w:t>[8]</w:t>
      </w:r>
      <w:r w:rsidRPr="00CE1A39">
        <w:rPr>
          <w:rFonts w:ascii="Times New Roman" w:hAnsi="Times New Roman"/>
          <w:noProof/>
          <w:szCs w:val="24"/>
        </w:rPr>
        <w:tab/>
        <w:t xml:space="preserve"> Zhang Q, Liu L, Pu C, Dou Q, Wu L and Zhou W 2018 A Comparative Study of Containers and Virtual Machines in Big Data Environment </w:t>
      </w:r>
      <w:r w:rsidRPr="00CE1A39">
        <w:rPr>
          <w:rFonts w:ascii="Times New Roman" w:hAnsi="Times New Roman"/>
          <w:i/>
          <w:iCs/>
          <w:noProof/>
          <w:szCs w:val="24"/>
        </w:rPr>
        <w:t>IEEE Int. Conf. Cloud Comput. CLOUD</w:t>
      </w:r>
      <w:r w:rsidRPr="00CE1A39">
        <w:rPr>
          <w:rFonts w:ascii="Times New Roman" w:hAnsi="Times New Roman"/>
          <w:noProof/>
          <w:szCs w:val="24"/>
        </w:rPr>
        <w:t xml:space="preserve"> </w:t>
      </w:r>
      <w:r w:rsidRPr="00CE1A39">
        <w:rPr>
          <w:rFonts w:ascii="Times New Roman" w:hAnsi="Times New Roman"/>
          <w:b/>
          <w:bCs/>
          <w:noProof/>
          <w:szCs w:val="24"/>
        </w:rPr>
        <w:t>2018</w:t>
      </w:r>
      <w:r w:rsidRPr="00CE1A39">
        <w:rPr>
          <w:rFonts w:ascii="Times New Roman" w:hAnsi="Times New Roman"/>
          <w:noProof/>
          <w:szCs w:val="24"/>
        </w:rPr>
        <w:t>-</w:t>
      </w:r>
      <w:r w:rsidRPr="00CE1A39">
        <w:rPr>
          <w:rFonts w:ascii="Times New Roman" w:hAnsi="Times New Roman"/>
          <w:b/>
          <w:bCs/>
          <w:noProof/>
          <w:szCs w:val="24"/>
        </w:rPr>
        <w:t>July</w:t>
      </w:r>
      <w:r w:rsidRPr="00CE1A39">
        <w:rPr>
          <w:rFonts w:ascii="Times New Roman" w:hAnsi="Times New Roman"/>
          <w:noProof/>
          <w:szCs w:val="24"/>
        </w:rPr>
        <w:t xml:space="preserve"> 178–85</w:t>
      </w:r>
    </w:p>
    <w:p w14:paraId="40EF4A08" w14:textId="77777777" w:rsidR="00CE1A39" w:rsidRPr="00CE1A39" w:rsidRDefault="00CE1A39" w:rsidP="00CE1A39">
      <w:pPr>
        <w:widowControl w:val="0"/>
        <w:autoSpaceDE w:val="0"/>
        <w:autoSpaceDN w:val="0"/>
        <w:adjustRightInd w:val="0"/>
        <w:ind w:left="640" w:hanging="640"/>
        <w:rPr>
          <w:rFonts w:ascii="Times New Roman" w:hAnsi="Times New Roman"/>
          <w:noProof/>
          <w:szCs w:val="24"/>
        </w:rPr>
      </w:pPr>
      <w:r w:rsidRPr="00CE1A39">
        <w:rPr>
          <w:rFonts w:ascii="Times New Roman" w:hAnsi="Times New Roman"/>
          <w:noProof/>
          <w:szCs w:val="24"/>
        </w:rPr>
        <w:t>[9]</w:t>
      </w:r>
      <w:r w:rsidRPr="00CE1A39">
        <w:rPr>
          <w:rFonts w:ascii="Times New Roman" w:hAnsi="Times New Roman"/>
          <w:noProof/>
          <w:szCs w:val="24"/>
        </w:rPr>
        <w:tab/>
        <w:t xml:space="preserve"> Fayos-Jordan R, Felici-Castell S, Segura-Garcia J, Lopez-Ballester J and Cobos M 2020 Performance comparison of container orchestration platforms with low cost devices in the fog, assisting Internet of Things applications </w:t>
      </w:r>
      <w:r w:rsidRPr="00CE1A39">
        <w:rPr>
          <w:rFonts w:ascii="Times New Roman" w:hAnsi="Times New Roman"/>
          <w:i/>
          <w:iCs/>
          <w:noProof/>
          <w:szCs w:val="24"/>
        </w:rPr>
        <w:t>J. Netw. Comput. Appl.</w:t>
      </w:r>
      <w:r w:rsidRPr="00CE1A39">
        <w:rPr>
          <w:rFonts w:ascii="Times New Roman" w:hAnsi="Times New Roman"/>
          <w:noProof/>
          <w:szCs w:val="24"/>
        </w:rPr>
        <w:t xml:space="preserve"> </w:t>
      </w:r>
      <w:r w:rsidRPr="00CE1A39">
        <w:rPr>
          <w:rFonts w:ascii="Times New Roman" w:hAnsi="Times New Roman"/>
          <w:b/>
          <w:bCs/>
          <w:noProof/>
          <w:szCs w:val="24"/>
        </w:rPr>
        <w:t>169</w:t>
      </w:r>
      <w:r w:rsidRPr="00CE1A39">
        <w:rPr>
          <w:rFonts w:ascii="Times New Roman" w:hAnsi="Times New Roman"/>
          <w:noProof/>
          <w:szCs w:val="24"/>
        </w:rPr>
        <w:t xml:space="preserve"> 102788</w:t>
      </w:r>
    </w:p>
    <w:p w14:paraId="36F7EBC0" w14:textId="77777777" w:rsidR="00CE1A39" w:rsidRPr="00CE1A39" w:rsidRDefault="00CE1A39" w:rsidP="00CE1A39">
      <w:pPr>
        <w:widowControl w:val="0"/>
        <w:autoSpaceDE w:val="0"/>
        <w:autoSpaceDN w:val="0"/>
        <w:adjustRightInd w:val="0"/>
        <w:ind w:left="640" w:hanging="640"/>
        <w:rPr>
          <w:rFonts w:ascii="Times New Roman" w:hAnsi="Times New Roman"/>
          <w:noProof/>
          <w:szCs w:val="24"/>
        </w:rPr>
      </w:pPr>
      <w:r w:rsidRPr="00CE1A39">
        <w:rPr>
          <w:rFonts w:ascii="Times New Roman" w:hAnsi="Times New Roman"/>
          <w:noProof/>
          <w:szCs w:val="24"/>
        </w:rPr>
        <w:t>[10]</w:t>
      </w:r>
      <w:r w:rsidRPr="00CE1A39">
        <w:rPr>
          <w:rFonts w:ascii="Times New Roman" w:hAnsi="Times New Roman"/>
          <w:noProof/>
          <w:szCs w:val="24"/>
        </w:rPr>
        <w:tab/>
        <w:t xml:space="preserve"> Auliya Y A, Nurdinsyah Y and Wulandari D A R 2019 Performance Comparison of Docker and LXD with ApacheBench </w:t>
      </w:r>
      <w:r w:rsidRPr="00CE1A39">
        <w:rPr>
          <w:rFonts w:ascii="Times New Roman" w:hAnsi="Times New Roman"/>
          <w:i/>
          <w:iCs/>
          <w:noProof/>
          <w:szCs w:val="24"/>
        </w:rPr>
        <w:t>J. Phys. Conf. Ser.</w:t>
      </w:r>
      <w:r w:rsidRPr="00CE1A39">
        <w:rPr>
          <w:rFonts w:ascii="Times New Roman" w:hAnsi="Times New Roman"/>
          <w:noProof/>
          <w:szCs w:val="24"/>
        </w:rPr>
        <w:t xml:space="preserve"> </w:t>
      </w:r>
      <w:r w:rsidRPr="00CE1A39">
        <w:rPr>
          <w:rFonts w:ascii="Times New Roman" w:hAnsi="Times New Roman"/>
          <w:b/>
          <w:bCs/>
          <w:noProof/>
          <w:szCs w:val="24"/>
        </w:rPr>
        <w:t>1211</w:t>
      </w:r>
    </w:p>
    <w:p w14:paraId="601BEC3B" w14:textId="77777777" w:rsidR="00CE1A39" w:rsidRPr="00CE1A39" w:rsidRDefault="00CE1A39" w:rsidP="00CE1A39">
      <w:pPr>
        <w:widowControl w:val="0"/>
        <w:autoSpaceDE w:val="0"/>
        <w:autoSpaceDN w:val="0"/>
        <w:adjustRightInd w:val="0"/>
        <w:ind w:left="640" w:hanging="640"/>
        <w:rPr>
          <w:rFonts w:ascii="Times New Roman" w:hAnsi="Times New Roman"/>
          <w:noProof/>
          <w:szCs w:val="24"/>
        </w:rPr>
      </w:pPr>
      <w:r w:rsidRPr="00CE1A39">
        <w:rPr>
          <w:rFonts w:ascii="Times New Roman" w:hAnsi="Times New Roman"/>
          <w:noProof/>
          <w:szCs w:val="24"/>
        </w:rPr>
        <w:t>[11]</w:t>
      </w:r>
      <w:r w:rsidRPr="00CE1A39">
        <w:rPr>
          <w:rFonts w:ascii="Times New Roman" w:hAnsi="Times New Roman"/>
          <w:noProof/>
          <w:szCs w:val="24"/>
        </w:rPr>
        <w:tab/>
        <w:t xml:space="preserve"> Flauzac O, Mauhourat F and Nolot F 2020 A review of native container security for running applications </w:t>
      </w:r>
      <w:r w:rsidRPr="00CE1A39">
        <w:rPr>
          <w:rFonts w:ascii="Times New Roman" w:hAnsi="Times New Roman"/>
          <w:i/>
          <w:iCs/>
          <w:noProof/>
          <w:szCs w:val="24"/>
        </w:rPr>
        <w:t>Procedia Comput. Sci.</w:t>
      </w:r>
      <w:r w:rsidRPr="00CE1A39">
        <w:rPr>
          <w:rFonts w:ascii="Times New Roman" w:hAnsi="Times New Roman"/>
          <w:noProof/>
          <w:szCs w:val="24"/>
        </w:rPr>
        <w:t xml:space="preserve"> </w:t>
      </w:r>
      <w:r w:rsidRPr="00CE1A39">
        <w:rPr>
          <w:rFonts w:ascii="Times New Roman" w:hAnsi="Times New Roman"/>
          <w:b/>
          <w:bCs/>
          <w:noProof/>
          <w:szCs w:val="24"/>
        </w:rPr>
        <w:t>175</w:t>
      </w:r>
      <w:r w:rsidRPr="00CE1A39">
        <w:rPr>
          <w:rFonts w:ascii="Times New Roman" w:hAnsi="Times New Roman"/>
          <w:noProof/>
          <w:szCs w:val="24"/>
        </w:rPr>
        <w:t xml:space="preserve"> 157–64</w:t>
      </w:r>
    </w:p>
    <w:p w14:paraId="2A427837" w14:textId="77777777" w:rsidR="00CE1A39" w:rsidRPr="00CE1A39" w:rsidRDefault="00CE1A39" w:rsidP="00CE1A39">
      <w:pPr>
        <w:widowControl w:val="0"/>
        <w:autoSpaceDE w:val="0"/>
        <w:autoSpaceDN w:val="0"/>
        <w:adjustRightInd w:val="0"/>
        <w:ind w:left="640" w:hanging="640"/>
        <w:rPr>
          <w:rFonts w:ascii="Times New Roman" w:hAnsi="Times New Roman"/>
          <w:noProof/>
          <w:szCs w:val="24"/>
        </w:rPr>
      </w:pPr>
      <w:r w:rsidRPr="00CE1A39">
        <w:rPr>
          <w:rFonts w:ascii="Times New Roman" w:hAnsi="Times New Roman"/>
          <w:noProof/>
          <w:szCs w:val="24"/>
        </w:rPr>
        <w:t>[12]</w:t>
      </w:r>
      <w:r w:rsidRPr="00CE1A39">
        <w:rPr>
          <w:rFonts w:ascii="Times New Roman" w:hAnsi="Times New Roman"/>
          <w:noProof/>
          <w:szCs w:val="24"/>
        </w:rPr>
        <w:tab/>
        <w:t xml:space="preserve"> Acquaviva L, Bellavista P, Corradi A, Foschini L, Gioia L, Carlo P and Picone M 2018 Cloud Distributed File Systems : a Benchmark of </w:t>
      </w:r>
      <w:r w:rsidRPr="00CE1A39">
        <w:rPr>
          <w:rFonts w:ascii="Times New Roman" w:hAnsi="Times New Roman"/>
          <w:i/>
          <w:iCs/>
          <w:noProof/>
          <w:szCs w:val="24"/>
        </w:rPr>
        <w:t>2018 IEEE Glob. Commun. Conf.</w:t>
      </w:r>
      <w:r w:rsidRPr="00CE1A39">
        <w:rPr>
          <w:rFonts w:ascii="Times New Roman" w:hAnsi="Times New Roman"/>
          <w:noProof/>
          <w:szCs w:val="24"/>
        </w:rPr>
        <w:t xml:space="preserve"> 1–6</w:t>
      </w:r>
    </w:p>
    <w:p w14:paraId="530A9538" w14:textId="77777777" w:rsidR="00CE1A39" w:rsidRPr="00CE1A39" w:rsidRDefault="00CE1A39" w:rsidP="00CE1A39">
      <w:pPr>
        <w:widowControl w:val="0"/>
        <w:autoSpaceDE w:val="0"/>
        <w:autoSpaceDN w:val="0"/>
        <w:adjustRightInd w:val="0"/>
        <w:ind w:left="640" w:hanging="640"/>
        <w:rPr>
          <w:rFonts w:ascii="Times New Roman" w:hAnsi="Times New Roman"/>
          <w:noProof/>
          <w:szCs w:val="24"/>
        </w:rPr>
      </w:pPr>
      <w:r w:rsidRPr="00CE1A39">
        <w:rPr>
          <w:rFonts w:ascii="Times New Roman" w:hAnsi="Times New Roman"/>
          <w:noProof/>
          <w:szCs w:val="24"/>
        </w:rPr>
        <w:t>[13]</w:t>
      </w:r>
      <w:r w:rsidRPr="00CE1A39">
        <w:rPr>
          <w:rFonts w:ascii="Times New Roman" w:hAnsi="Times New Roman"/>
          <w:noProof/>
          <w:szCs w:val="24"/>
        </w:rPr>
        <w:tab/>
        <w:t xml:space="preserve"> Sim H, Khan A, Vazhkudai S S, Lim S H, Butt A R and Kim Y 2020 An Integrated Indexing and Search Service for Distributed File Systems </w:t>
      </w:r>
      <w:r w:rsidRPr="00CE1A39">
        <w:rPr>
          <w:rFonts w:ascii="Times New Roman" w:hAnsi="Times New Roman"/>
          <w:i/>
          <w:iCs/>
          <w:noProof/>
          <w:szCs w:val="24"/>
        </w:rPr>
        <w:t>IEEE Trans. Parallel Distrib. Syst.</w:t>
      </w:r>
      <w:r w:rsidRPr="00CE1A39">
        <w:rPr>
          <w:rFonts w:ascii="Times New Roman" w:hAnsi="Times New Roman"/>
          <w:noProof/>
          <w:szCs w:val="24"/>
        </w:rPr>
        <w:t xml:space="preserve"> </w:t>
      </w:r>
      <w:r w:rsidRPr="00CE1A39">
        <w:rPr>
          <w:rFonts w:ascii="Times New Roman" w:hAnsi="Times New Roman"/>
          <w:b/>
          <w:bCs/>
          <w:noProof/>
          <w:szCs w:val="24"/>
        </w:rPr>
        <w:t>31</w:t>
      </w:r>
      <w:r w:rsidRPr="00CE1A39">
        <w:rPr>
          <w:rFonts w:ascii="Times New Roman" w:hAnsi="Times New Roman"/>
          <w:noProof/>
          <w:szCs w:val="24"/>
        </w:rPr>
        <w:t xml:space="preserve"> 2375–91</w:t>
      </w:r>
    </w:p>
    <w:p w14:paraId="580B6ADF" w14:textId="77777777" w:rsidR="00CE1A39" w:rsidRPr="00CE1A39" w:rsidRDefault="00CE1A39" w:rsidP="00CE1A39">
      <w:pPr>
        <w:widowControl w:val="0"/>
        <w:autoSpaceDE w:val="0"/>
        <w:autoSpaceDN w:val="0"/>
        <w:adjustRightInd w:val="0"/>
        <w:ind w:left="640" w:hanging="640"/>
        <w:rPr>
          <w:rFonts w:ascii="Times New Roman" w:hAnsi="Times New Roman"/>
          <w:noProof/>
          <w:szCs w:val="24"/>
        </w:rPr>
      </w:pPr>
      <w:r w:rsidRPr="00CE1A39">
        <w:rPr>
          <w:rFonts w:ascii="Times New Roman" w:hAnsi="Times New Roman"/>
          <w:noProof/>
          <w:szCs w:val="24"/>
        </w:rPr>
        <w:t>[14]</w:t>
      </w:r>
      <w:r w:rsidRPr="00CE1A39">
        <w:rPr>
          <w:rFonts w:ascii="Times New Roman" w:hAnsi="Times New Roman"/>
          <w:noProof/>
          <w:szCs w:val="24"/>
        </w:rPr>
        <w:tab/>
        <w:t xml:space="preserve"> Zhao Y, Li S, Hu S, Wang H, Yao S, Shao H and Abdelzaher T 2016 An experimental evaluation of datacenter workloads on low-power embedded micro servers </w:t>
      </w:r>
      <w:r w:rsidRPr="00CE1A39">
        <w:rPr>
          <w:rFonts w:ascii="Times New Roman" w:hAnsi="Times New Roman"/>
          <w:i/>
          <w:iCs/>
          <w:noProof/>
          <w:szCs w:val="24"/>
        </w:rPr>
        <w:t>Proc. VLDB Endow.</w:t>
      </w:r>
      <w:r w:rsidRPr="00CE1A39">
        <w:rPr>
          <w:rFonts w:ascii="Times New Roman" w:hAnsi="Times New Roman"/>
          <w:noProof/>
          <w:szCs w:val="24"/>
        </w:rPr>
        <w:t xml:space="preserve"> </w:t>
      </w:r>
      <w:r w:rsidRPr="00CE1A39">
        <w:rPr>
          <w:rFonts w:ascii="Times New Roman" w:hAnsi="Times New Roman"/>
          <w:b/>
          <w:bCs/>
          <w:noProof/>
          <w:szCs w:val="24"/>
        </w:rPr>
        <w:t>9</w:t>
      </w:r>
      <w:r w:rsidRPr="00CE1A39">
        <w:rPr>
          <w:rFonts w:ascii="Times New Roman" w:hAnsi="Times New Roman"/>
          <w:noProof/>
          <w:szCs w:val="24"/>
        </w:rPr>
        <w:t xml:space="preserve"> 696–707</w:t>
      </w:r>
    </w:p>
    <w:p w14:paraId="490FCB92" w14:textId="77777777" w:rsidR="00CE1A39" w:rsidRPr="00CE1A39" w:rsidRDefault="00CE1A39" w:rsidP="00CE1A39">
      <w:pPr>
        <w:widowControl w:val="0"/>
        <w:autoSpaceDE w:val="0"/>
        <w:autoSpaceDN w:val="0"/>
        <w:adjustRightInd w:val="0"/>
        <w:ind w:left="640" w:hanging="640"/>
        <w:rPr>
          <w:rFonts w:ascii="Times New Roman" w:hAnsi="Times New Roman"/>
          <w:noProof/>
          <w:szCs w:val="24"/>
        </w:rPr>
      </w:pPr>
      <w:r w:rsidRPr="00CE1A39">
        <w:rPr>
          <w:rFonts w:ascii="Times New Roman" w:hAnsi="Times New Roman"/>
          <w:noProof/>
          <w:szCs w:val="24"/>
        </w:rPr>
        <w:t>[15]</w:t>
      </w:r>
      <w:r w:rsidRPr="00CE1A39">
        <w:rPr>
          <w:rFonts w:ascii="Times New Roman" w:hAnsi="Times New Roman"/>
          <w:noProof/>
          <w:szCs w:val="24"/>
        </w:rPr>
        <w:tab/>
        <w:t xml:space="preserve"> McMillan C, Poshyvanyk D, Grechanik M, Xie Q and Fu C 2013 Portfolio: Searching for relevant functions and their usages in millions of lines of code </w:t>
      </w:r>
      <w:r w:rsidRPr="00CE1A39">
        <w:rPr>
          <w:rFonts w:ascii="Times New Roman" w:hAnsi="Times New Roman"/>
          <w:i/>
          <w:iCs/>
          <w:noProof/>
          <w:szCs w:val="24"/>
        </w:rPr>
        <w:t>ACM Trans. Softw. Eng. Methodol.</w:t>
      </w:r>
      <w:r w:rsidRPr="00CE1A39">
        <w:rPr>
          <w:rFonts w:ascii="Times New Roman" w:hAnsi="Times New Roman"/>
          <w:noProof/>
          <w:szCs w:val="24"/>
        </w:rPr>
        <w:t xml:space="preserve"> </w:t>
      </w:r>
      <w:r w:rsidRPr="00CE1A39">
        <w:rPr>
          <w:rFonts w:ascii="Times New Roman" w:hAnsi="Times New Roman"/>
          <w:b/>
          <w:bCs/>
          <w:noProof/>
          <w:szCs w:val="24"/>
        </w:rPr>
        <w:t>22</w:t>
      </w:r>
    </w:p>
    <w:p w14:paraId="7E0182B7" w14:textId="77777777" w:rsidR="00CE1A39" w:rsidRPr="00CE1A39" w:rsidRDefault="00CE1A39" w:rsidP="00CE1A39">
      <w:pPr>
        <w:widowControl w:val="0"/>
        <w:autoSpaceDE w:val="0"/>
        <w:autoSpaceDN w:val="0"/>
        <w:adjustRightInd w:val="0"/>
        <w:ind w:left="640" w:hanging="640"/>
        <w:rPr>
          <w:rFonts w:ascii="Times New Roman" w:hAnsi="Times New Roman"/>
          <w:noProof/>
        </w:rPr>
      </w:pPr>
      <w:r w:rsidRPr="00CE1A39">
        <w:rPr>
          <w:rFonts w:ascii="Times New Roman" w:hAnsi="Times New Roman"/>
          <w:noProof/>
          <w:szCs w:val="24"/>
        </w:rPr>
        <w:t>[16]</w:t>
      </w:r>
      <w:r w:rsidRPr="00CE1A39">
        <w:rPr>
          <w:rFonts w:ascii="Times New Roman" w:hAnsi="Times New Roman"/>
          <w:noProof/>
          <w:szCs w:val="24"/>
        </w:rPr>
        <w:tab/>
        <w:t xml:space="preserve"> Kusuma M, Widyawan and Ferdiana R 2017 Performance comparison of caching strategy on wordpress multisite </w:t>
      </w:r>
      <w:r w:rsidRPr="00CE1A39">
        <w:rPr>
          <w:rFonts w:ascii="Times New Roman" w:hAnsi="Times New Roman"/>
          <w:i/>
          <w:iCs/>
          <w:noProof/>
          <w:szCs w:val="24"/>
        </w:rPr>
        <w:t>Proceeding - 2017 3rd Int. Conf. Sci. Technol. ICST 2017</w:t>
      </w:r>
      <w:r w:rsidRPr="00CE1A39">
        <w:rPr>
          <w:rFonts w:ascii="Times New Roman" w:hAnsi="Times New Roman"/>
          <w:noProof/>
          <w:szCs w:val="24"/>
        </w:rPr>
        <w:t xml:space="preserve"> 176–81</w:t>
      </w:r>
    </w:p>
    <w:p w14:paraId="25FAD20C" w14:textId="680051AF" w:rsidR="002D2772" w:rsidRPr="00CE57CF" w:rsidRDefault="002D2772">
      <w:pPr>
        <w:pStyle w:val="BodyChar"/>
        <w:rPr>
          <w:rFonts w:ascii="Times New Roman" w:hAnsi="Times New Roman"/>
        </w:rPr>
      </w:pPr>
      <w:r>
        <w:rPr>
          <w:rFonts w:ascii="Times New Roman" w:hAnsi="Times New Roman"/>
        </w:rPr>
        <w:fldChar w:fldCharType="end"/>
      </w:r>
    </w:p>
    <w:sectPr w:rsidR="002D2772" w:rsidRPr="00CE57CF" w:rsidSect="009A169E">
      <w:headerReference w:type="default" r:id="rId14"/>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BF56F" w14:textId="77777777" w:rsidR="00533A02" w:rsidRDefault="00533A02">
      <w:r>
        <w:separator/>
      </w:r>
    </w:p>
  </w:endnote>
  <w:endnote w:type="continuationSeparator" w:id="0">
    <w:p w14:paraId="3E7C4EFC" w14:textId="77777777" w:rsidR="00533A02" w:rsidRDefault="0053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6A4B9" w14:textId="77777777" w:rsidR="00533A02" w:rsidRPr="00043761" w:rsidRDefault="00533A02">
      <w:pPr>
        <w:pStyle w:val="Bulleted"/>
        <w:numPr>
          <w:ilvl w:val="0"/>
          <w:numId w:val="0"/>
        </w:numPr>
        <w:rPr>
          <w:rFonts w:ascii="Sabon" w:hAnsi="Sabon"/>
          <w:color w:val="auto"/>
          <w:szCs w:val="20"/>
        </w:rPr>
      </w:pPr>
      <w:r>
        <w:separator/>
      </w:r>
    </w:p>
  </w:footnote>
  <w:footnote w:type="continuationSeparator" w:id="0">
    <w:p w14:paraId="51F837D9" w14:textId="77777777" w:rsidR="00533A02" w:rsidRDefault="00533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01C48" w14:textId="77777777" w:rsidR="00FF1960" w:rsidRDefault="00FF1960">
    <w:pPr>
      <w:pStyle w:val="Header"/>
    </w:pPr>
  </w:p>
  <w:p w14:paraId="1959AAAF" w14:textId="77777777" w:rsidR="00FF1960" w:rsidRDefault="00FF1960">
    <w:pPr>
      <w:pStyle w:val="Header"/>
    </w:pPr>
  </w:p>
  <w:p w14:paraId="1FF5BBB7" w14:textId="77777777" w:rsidR="00FF1960" w:rsidRDefault="00FF1960">
    <w:pPr>
      <w:pStyle w:val="Header"/>
    </w:pPr>
  </w:p>
  <w:p w14:paraId="312F218A" w14:textId="77777777" w:rsidR="00FF1960" w:rsidRDefault="00FF1960">
    <w:pPr>
      <w:pStyle w:val="Header"/>
    </w:pPr>
  </w:p>
  <w:p w14:paraId="78267E9A" w14:textId="77777777" w:rsidR="00FF1960" w:rsidRDefault="00FF1960">
    <w:pPr>
      <w:pStyle w:val="Header"/>
    </w:pPr>
  </w:p>
  <w:p w14:paraId="77D3C11E" w14:textId="77777777" w:rsidR="00FF1960" w:rsidRDefault="00FF1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563D9A"/>
    <w:lvl w:ilvl="0">
      <w:start w:val="1"/>
      <w:numFmt w:val="decimal"/>
      <w:pStyle w:val="NomorDafta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NomorDafta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NomorDafta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NomorDafta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PoinDaftar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PoinDaftar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PoinDaftar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PoinDaftar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NomorDafta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PoinDaftar"/>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BagianArtikel"/>
    <w:lvl w:ilvl="0">
      <w:start w:val="1"/>
      <w:numFmt w:val="upperRoman"/>
      <w:pStyle w:val="Judul1"/>
      <w:lvlText w:val="Article %1."/>
      <w:lvlJc w:val="left"/>
      <w:pPr>
        <w:tabs>
          <w:tab w:val="num" w:pos="1440"/>
        </w:tabs>
        <w:ind w:left="0" w:firstLine="0"/>
      </w:pPr>
    </w:lvl>
    <w:lvl w:ilvl="1">
      <w:start w:val="1"/>
      <w:numFmt w:val="decimalZero"/>
      <w:pStyle w:val="Judul2"/>
      <w:isLgl/>
      <w:lvlText w:val="Section %1.%2"/>
      <w:lvlJc w:val="left"/>
      <w:pPr>
        <w:tabs>
          <w:tab w:val="num" w:pos="1080"/>
        </w:tabs>
        <w:ind w:left="0" w:firstLine="0"/>
      </w:pPr>
    </w:lvl>
    <w:lvl w:ilvl="2">
      <w:start w:val="1"/>
      <w:numFmt w:val="lowerLetter"/>
      <w:pStyle w:val="Judul3"/>
      <w:lvlText w:val="(%3)"/>
      <w:lvlJc w:val="left"/>
      <w:pPr>
        <w:tabs>
          <w:tab w:val="num" w:pos="720"/>
        </w:tabs>
        <w:ind w:left="720" w:hanging="432"/>
      </w:pPr>
    </w:lvl>
    <w:lvl w:ilvl="3">
      <w:start w:val="1"/>
      <w:numFmt w:val="lowerRoman"/>
      <w:pStyle w:val="Judul4"/>
      <w:lvlText w:val="(%4)"/>
      <w:lvlJc w:val="right"/>
      <w:pPr>
        <w:tabs>
          <w:tab w:val="num" w:pos="864"/>
        </w:tabs>
        <w:ind w:left="864" w:hanging="144"/>
      </w:pPr>
    </w:lvl>
    <w:lvl w:ilvl="4">
      <w:start w:val="1"/>
      <w:numFmt w:val="decimal"/>
      <w:pStyle w:val="Judul5"/>
      <w:lvlText w:val="%5)"/>
      <w:lvlJc w:val="left"/>
      <w:pPr>
        <w:tabs>
          <w:tab w:val="num" w:pos="1008"/>
        </w:tabs>
        <w:ind w:left="1008" w:hanging="432"/>
      </w:pPr>
    </w:lvl>
    <w:lvl w:ilvl="5">
      <w:start w:val="1"/>
      <w:numFmt w:val="lowerLetter"/>
      <w:pStyle w:val="Judul6"/>
      <w:lvlText w:val="%6)"/>
      <w:lvlJc w:val="left"/>
      <w:pPr>
        <w:tabs>
          <w:tab w:val="num" w:pos="1152"/>
        </w:tabs>
        <w:ind w:left="1152" w:hanging="432"/>
      </w:pPr>
    </w:lvl>
    <w:lvl w:ilvl="6">
      <w:start w:val="1"/>
      <w:numFmt w:val="lowerRoman"/>
      <w:pStyle w:val="Judul7"/>
      <w:lvlText w:val="%7)"/>
      <w:lvlJc w:val="right"/>
      <w:pPr>
        <w:tabs>
          <w:tab w:val="num" w:pos="1296"/>
        </w:tabs>
        <w:ind w:left="1296" w:hanging="288"/>
      </w:pPr>
    </w:lvl>
    <w:lvl w:ilvl="7">
      <w:start w:val="1"/>
      <w:numFmt w:val="lowerLetter"/>
      <w:pStyle w:val="Judul8"/>
      <w:lvlText w:val="%8."/>
      <w:lvlJc w:val="left"/>
      <w:pPr>
        <w:tabs>
          <w:tab w:val="num" w:pos="1440"/>
        </w:tabs>
        <w:ind w:left="1440" w:hanging="432"/>
      </w:pPr>
    </w:lvl>
    <w:lvl w:ilvl="8">
      <w:start w:val="1"/>
      <w:numFmt w:val="lowerRoman"/>
      <w:pStyle w:val="Judul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 w:numId="19">
    <w:abstractNumId w:val="16"/>
  </w:num>
  <w:num w:numId="20">
    <w:abstractNumId w:val="16"/>
  </w:num>
  <w:num w:numId="21">
    <w:abstractNumId w:val="16"/>
  </w:num>
  <w:num w:numId="2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FAE"/>
    <w:rsid w:val="00012903"/>
    <w:rsid w:val="000134E6"/>
    <w:rsid w:val="00013AEF"/>
    <w:rsid w:val="00015001"/>
    <w:rsid w:val="00020175"/>
    <w:rsid w:val="00020E66"/>
    <w:rsid w:val="00021CD5"/>
    <w:rsid w:val="000439C7"/>
    <w:rsid w:val="000475AD"/>
    <w:rsid w:val="00047C3A"/>
    <w:rsid w:val="00053557"/>
    <w:rsid w:val="00056F26"/>
    <w:rsid w:val="00061F8E"/>
    <w:rsid w:val="000620FC"/>
    <w:rsid w:val="00064A64"/>
    <w:rsid w:val="00073C9F"/>
    <w:rsid w:val="00080156"/>
    <w:rsid w:val="00083F7C"/>
    <w:rsid w:val="0009229F"/>
    <w:rsid w:val="000941B5"/>
    <w:rsid w:val="000A304C"/>
    <w:rsid w:val="000A6443"/>
    <w:rsid w:val="000A6A5A"/>
    <w:rsid w:val="000B3BAF"/>
    <w:rsid w:val="000C0909"/>
    <w:rsid w:val="000D519F"/>
    <w:rsid w:val="000E237A"/>
    <w:rsid w:val="000E5940"/>
    <w:rsid w:val="000F5820"/>
    <w:rsid w:val="001264A3"/>
    <w:rsid w:val="00137524"/>
    <w:rsid w:val="00140810"/>
    <w:rsid w:val="001440C6"/>
    <w:rsid w:val="001562EC"/>
    <w:rsid w:val="00163488"/>
    <w:rsid w:val="00165E82"/>
    <w:rsid w:val="00166C67"/>
    <w:rsid w:val="0017062B"/>
    <w:rsid w:val="00181BC2"/>
    <w:rsid w:val="00186AD4"/>
    <w:rsid w:val="00194A11"/>
    <w:rsid w:val="00195BDB"/>
    <w:rsid w:val="001B6FB1"/>
    <w:rsid w:val="001C1472"/>
    <w:rsid w:val="001C7421"/>
    <w:rsid w:val="001D6C16"/>
    <w:rsid w:val="001E61EC"/>
    <w:rsid w:val="001F5594"/>
    <w:rsid w:val="0020189A"/>
    <w:rsid w:val="00206848"/>
    <w:rsid w:val="0021176E"/>
    <w:rsid w:val="0021422C"/>
    <w:rsid w:val="00217E1B"/>
    <w:rsid w:val="00225A46"/>
    <w:rsid w:val="00234D1E"/>
    <w:rsid w:val="00244ADC"/>
    <w:rsid w:val="0024651D"/>
    <w:rsid w:val="00256261"/>
    <w:rsid w:val="00264A45"/>
    <w:rsid w:val="0026510E"/>
    <w:rsid w:val="00267491"/>
    <w:rsid w:val="002677FA"/>
    <w:rsid w:val="00283670"/>
    <w:rsid w:val="002837C4"/>
    <w:rsid w:val="00284F3C"/>
    <w:rsid w:val="002915B2"/>
    <w:rsid w:val="00297339"/>
    <w:rsid w:val="002A6D29"/>
    <w:rsid w:val="002D0A10"/>
    <w:rsid w:val="002D2772"/>
    <w:rsid w:val="002D6C04"/>
    <w:rsid w:val="002E1910"/>
    <w:rsid w:val="002F4385"/>
    <w:rsid w:val="0030045C"/>
    <w:rsid w:val="00302430"/>
    <w:rsid w:val="00304E7B"/>
    <w:rsid w:val="00323499"/>
    <w:rsid w:val="00334BB3"/>
    <w:rsid w:val="00335F58"/>
    <w:rsid w:val="00350E00"/>
    <w:rsid w:val="003608F8"/>
    <w:rsid w:val="00371741"/>
    <w:rsid w:val="0038464A"/>
    <w:rsid w:val="003851A5"/>
    <w:rsid w:val="003858D0"/>
    <w:rsid w:val="00385FB9"/>
    <w:rsid w:val="00387B99"/>
    <w:rsid w:val="00392582"/>
    <w:rsid w:val="003B2391"/>
    <w:rsid w:val="003C2E94"/>
    <w:rsid w:val="003D1888"/>
    <w:rsid w:val="003D1DC3"/>
    <w:rsid w:val="003D6F2B"/>
    <w:rsid w:val="003E186A"/>
    <w:rsid w:val="003E47BA"/>
    <w:rsid w:val="004002D6"/>
    <w:rsid w:val="00404D42"/>
    <w:rsid w:val="004104E7"/>
    <w:rsid w:val="0041454B"/>
    <w:rsid w:val="00416692"/>
    <w:rsid w:val="004210FA"/>
    <w:rsid w:val="0043280B"/>
    <w:rsid w:val="00435478"/>
    <w:rsid w:val="00452BF1"/>
    <w:rsid w:val="00454A44"/>
    <w:rsid w:val="00471846"/>
    <w:rsid w:val="00475EAA"/>
    <w:rsid w:val="00480A2E"/>
    <w:rsid w:val="00480E2E"/>
    <w:rsid w:val="00483A41"/>
    <w:rsid w:val="00492671"/>
    <w:rsid w:val="004D02A4"/>
    <w:rsid w:val="004D0723"/>
    <w:rsid w:val="004D1CF0"/>
    <w:rsid w:val="004D2978"/>
    <w:rsid w:val="004D692D"/>
    <w:rsid w:val="0051023B"/>
    <w:rsid w:val="00512E2B"/>
    <w:rsid w:val="00514BAB"/>
    <w:rsid w:val="00521A70"/>
    <w:rsid w:val="00533A02"/>
    <w:rsid w:val="0053708F"/>
    <w:rsid w:val="0054123B"/>
    <w:rsid w:val="005442A3"/>
    <w:rsid w:val="00544FC9"/>
    <w:rsid w:val="005473F1"/>
    <w:rsid w:val="00555F8B"/>
    <w:rsid w:val="00562593"/>
    <w:rsid w:val="005629B5"/>
    <w:rsid w:val="005635D5"/>
    <w:rsid w:val="005676E2"/>
    <w:rsid w:val="00570D26"/>
    <w:rsid w:val="00572721"/>
    <w:rsid w:val="005749A5"/>
    <w:rsid w:val="00576425"/>
    <w:rsid w:val="00587015"/>
    <w:rsid w:val="005879EA"/>
    <w:rsid w:val="005928FD"/>
    <w:rsid w:val="00595443"/>
    <w:rsid w:val="005A30B6"/>
    <w:rsid w:val="005A522C"/>
    <w:rsid w:val="005B5884"/>
    <w:rsid w:val="005B6968"/>
    <w:rsid w:val="005C1590"/>
    <w:rsid w:val="005C21AA"/>
    <w:rsid w:val="005C24F9"/>
    <w:rsid w:val="005C2D7E"/>
    <w:rsid w:val="005D0573"/>
    <w:rsid w:val="005E4CDC"/>
    <w:rsid w:val="005F03B4"/>
    <w:rsid w:val="005F053E"/>
    <w:rsid w:val="00601B79"/>
    <w:rsid w:val="0060238E"/>
    <w:rsid w:val="00611A28"/>
    <w:rsid w:val="00611E1F"/>
    <w:rsid w:val="00613244"/>
    <w:rsid w:val="00621352"/>
    <w:rsid w:val="00621B12"/>
    <w:rsid w:val="00643B62"/>
    <w:rsid w:val="00643C9A"/>
    <w:rsid w:val="00673335"/>
    <w:rsid w:val="00674C49"/>
    <w:rsid w:val="00681306"/>
    <w:rsid w:val="006816DC"/>
    <w:rsid w:val="00686C91"/>
    <w:rsid w:val="006909C2"/>
    <w:rsid w:val="00696A25"/>
    <w:rsid w:val="006B4FEC"/>
    <w:rsid w:val="006D4387"/>
    <w:rsid w:val="006E490A"/>
    <w:rsid w:val="00717114"/>
    <w:rsid w:val="0072021D"/>
    <w:rsid w:val="00721922"/>
    <w:rsid w:val="007230D2"/>
    <w:rsid w:val="00726E7F"/>
    <w:rsid w:val="0073303F"/>
    <w:rsid w:val="007427BB"/>
    <w:rsid w:val="00742CEE"/>
    <w:rsid w:val="00746CE5"/>
    <w:rsid w:val="00746E23"/>
    <w:rsid w:val="00756154"/>
    <w:rsid w:val="007602EA"/>
    <w:rsid w:val="00765410"/>
    <w:rsid w:val="007677E7"/>
    <w:rsid w:val="00773693"/>
    <w:rsid w:val="00776E2F"/>
    <w:rsid w:val="00787BFF"/>
    <w:rsid w:val="00797D34"/>
    <w:rsid w:val="007A44A0"/>
    <w:rsid w:val="007A5ED1"/>
    <w:rsid w:val="007A6517"/>
    <w:rsid w:val="007C0D16"/>
    <w:rsid w:val="007C264B"/>
    <w:rsid w:val="007C3B9B"/>
    <w:rsid w:val="007C6494"/>
    <w:rsid w:val="007F07D7"/>
    <w:rsid w:val="00800DAE"/>
    <w:rsid w:val="0080379C"/>
    <w:rsid w:val="00807947"/>
    <w:rsid w:val="00824409"/>
    <w:rsid w:val="00831CFE"/>
    <w:rsid w:val="00834BD7"/>
    <w:rsid w:val="00837B64"/>
    <w:rsid w:val="00842341"/>
    <w:rsid w:val="0084567D"/>
    <w:rsid w:val="00845F21"/>
    <w:rsid w:val="0085624D"/>
    <w:rsid w:val="0086729B"/>
    <w:rsid w:val="0088564F"/>
    <w:rsid w:val="008929A9"/>
    <w:rsid w:val="008B0FAC"/>
    <w:rsid w:val="008B6572"/>
    <w:rsid w:val="008C48F3"/>
    <w:rsid w:val="008D5A7A"/>
    <w:rsid w:val="008E0A88"/>
    <w:rsid w:val="008E11A1"/>
    <w:rsid w:val="008E20F8"/>
    <w:rsid w:val="008F4274"/>
    <w:rsid w:val="00935719"/>
    <w:rsid w:val="00935FC0"/>
    <w:rsid w:val="009406AF"/>
    <w:rsid w:val="0094641B"/>
    <w:rsid w:val="009501B9"/>
    <w:rsid w:val="00956A87"/>
    <w:rsid w:val="0096424E"/>
    <w:rsid w:val="0096531B"/>
    <w:rsid w:val="009659A8"/>
    <w:rsid w:val="00976AC1"/>
    <w:rsid w:val="0098075C"/>
    <w:rsid w:val="0099322B"/>
    <w:rsid w:val="00996706"/>
    <w:rsid w:val="009A169E"/>
    <w:rsid w:val="009A2AC3"/>
    <w:rsid w:val="009A73B8"/>
    <w:rsid w:val="009A7C30"/>
    <w:rsid w:val="009C0C22"/>
    <w:rsid w:val="009C291E"/>
    <w:rsid w:val="009D4389"/>
    <w:rsid w:val="009E3AA3"/>
    <w:rsid w:val="009E6463"/>
    <w:rsid w:val="009E7BE1"/>
    <w:rsid w:val="00A02FAE"/>
    <w:rsid w:val="00A07A5D"/>
    <w:rsid w:val="00A411A2"/>
    <w:rsid w:val="00A703EC"/>
    <w:rsid w:val="00A708D4"/>
    <w:rsid w:val="00A70B9E"/>
    <w:rsid w:val="00A76411"/>
    <w:rsid w:val="00A816E8"/>
    <w:rsid w:val="00A827D5"/>
    <w:rsid w:val="00A85825"/>
    <w:rsid w:val="00A90E4F"/>
    <w:rsid w:val="00A92136"/>
    <w:rsid w:val="00AA1BF1"/>
    <w:rsid w:val="00AA57E0"/>
    <w:rsid w:val="00AA6E39"/>
    <w:rsid w:val="00AB155F"/>
    <w:rsid w:val="00AC165D"/>
    <w:rsid w:val="00AC2E8D"/>
    <w:rsid w:val="00AD1C0B"/>
    <w:rsid w:val="00AE72FB"/>
    <w:rsid w:val="00AF2E80"/>
    <w:rsid w:val="00B0574E"/>
    <w:rsid w:val="00B178EC"/>
    <w:rsid w:val="00B20A45"/>
    <w:rsid w:val="00B21421"/>
    <w:rsid w:val="00B34DA2"/>
    <w:rsid w:val="00B4145C"/>
    <w:rsid w:val="00B421B8"/>
    <w:rsid w:val="00B44ACF"/>
    <w:rsid w:val="00B5229E"/>
    <w:rsid w:val="00B57042"/>
    <w:rsid w:val="00B856D3"/>
    <w:rsid w:val="00BA0AB0"/>
    <w:rsid w:val="00BA2E2D"/>
    <w:rsid w:val="00BA357F"/>
    <w:rsid w:val="00BA545F"/>
    <w:rsid w:val="00BB0E22"/>
    <w:rsid w:val="00BB228E"/>
    <w:rsid w:val="00BB3FB7"/>
    <w:rsid w:val="00BC0CD3"/>
    <w:rsid w:val="00BC1AD8"/>
    <w:rsid w:val="00BC1D18"/>
    <w:rsid w:val="00BC7CDC"/>
    <w:rsid w:val="00BD6898"/>
    <w:rsid w:val="00BE0023"/>
    <w:rsid w:val="00BE7887"/>
    <w:rsid w:val="00BF3B13"/>
    <w:rsid w:val="00BF7582"/>
    <w:rsid w:val="00BF7BAD"/>
    <w:rsid w:val="00C01830"/>
    <w:rsid w:val="00C042A7"/>
    <w:rsid w:val="00C40584"/>
    <w:rsid w:val="00C544AB"/>
    <w:rsid w:val="00C63E65"/>
    <w:rsid w:val="00C76578"/>
    <w:rsid w:val="00C77D0E"/>
    <w:rsid w:val="00C84D73"/>
    <w:rsid w:val="00C858D7"/>
    <w:rsid w:val="00C9266C"/>
    <w:rsid w:val="00C9707B"/>
    <w:rsid w:val="00CA0362"/>
    <w:rsid w:val="00CA1DD8"/>
    <w:rsid w:val="00CA644E"/>
    <w:rsid w:val="00CB766C"/>
    <w:rsid w:val="00CC0269"/>
    <w:rsid w:val="00CD6778"/>
    <w:rsid w:val="00CE1A39"/>
    <w:rsid w:val="00CE4986"/>
    <w:rsid w:val="00CE4E8C"/>
    <w:rsid w:val="00CE57CF"/>
    <w:rsid w:val="00CF4619"/>
    <w:rsid w:val="00D01697"/>
    <w:rsid w:val="00D201B6"/>
    <w:rsid w:val="00D21DD8"/>
    <w:rsid w:val="00D30CE7"/>
    <w:rsid w:val="00D33E3E"/>
    <w:rsid w:val="00D42C5D"/>
    <w:rsid w:val="00D8054F"/>
    <w:rsid w:val="00D924E1"/>
    <w:rsid w:val="00D94CB3"/>
    <w:rsid w:val="00D95431"/>
    <w:rsid w:val="00DA0419"/>
    <w:rsid w:val="00DB5846"/>
    <w:rsid w:val="00DB6F37"/>
    <w:rsid w:val="00DC60CF"/>
    <w:rsid w:val="00DD1BD0"/>
    <w:rsid w:val="00DE7C9B"/>
    <w:rsid w:val="00DF010D"/>
    <w:rsid w:val="00DF54A5"/>
    <w:rsid w:val="00DF7D1B"/>
    <w:rsid w:val="00E076EB"/>
    <w:rsid w:val="00E13B6F"/>
    <w:rsid w:val="00E2413D"/>
    <w:rsid w:val="00E251D9"/>
    <w:rsid w:val="00E275FE"/>
    <w:rsid w:val="00E5142D"/>
    <w:rsid w:val="00E515D5"/>
    <w:rsid w:val="00E57763"/>
    <w:rsid w:val="00E6180B"/>
    <w:rsid w:val="00E62DAD"/>
    <w:rsid w:val="00E706FD"/>
    <w:rsid w:val="00E75565"/>
    <w:rsid w:val="00E77A9A"/>
    <w:rsid w:val="00E86868"/>
    <w:rsid w:val="00E90699"/>
    <w:rsid w:val="00E90E88"/>
    <w:rsid w:val="00E941AF"/>
    <w:rsid w:val="00EA3F4B"/>
    <w:rsid w:val="00EE22F4"/>
    <w:rsid w:val="00EE60DC"/>
    <w:rsid w:val="00EF2810"/>
    <w:rsid w:val="00F01651"/>
    <w:rsid w:val="00F01D0A"/>
    <w:rsid w:val="00F05A90"/>
    <w:rsid w:val="00F07F6A"/>
    <w:rsid w:val="00F13238"/>
    <w:rsid w:val="00F236A4"/>
    <w:rsid w:val="00F258BE"/>
    <w:rsid w:val="00F40755"/>
    <w:rsid w:val="00F439F0"/>
    <w:rsid w:val="00F5026B"/>
    <w:rsid w:val="00F76EA5"/>
    <w:rsid w:val="00F92303"/>
    <w:rsid w:val="00F93A39"/>
    <w:rsid w:val="00F96DFB"/>
    <w:rsid w:val="00FA1B55"/>
    <w:rsid w:val="00FA473D"/>
    <w:rsid w:val="00FA71DD"/>
    <w:rsid w:val="00FD1453"/>
    <w:rsid w:val="00FD3975"/>
    <w:rsid w:val="00FF1960"/>
    <w:rsid w:val="00FF2018"/>
    <w:rsid w:val="00FF7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86E91"/>
  <w15:docId w15:val="{63A5BE15-9EF9-45FC-9BC7-F8F44471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Judul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Judul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Judul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Judul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Judul5">
    <w:name w:val="heading 5"/>
    <w:basedOn w:val="Normal"/>
    <w:next w:val="Normal"/>
    <w:qFormat/>
    <w:pPr>
      <w:numPr>
        <w:ilvl w:val="4"/>
        <w:numId w:val="13"/>
      </w:numPr>
      <w:spacing w:before="240" w:after="60"/>
      <w:outlineLvl w:val="4"/>
    </w:pPr>
    <w:rPr>
      <w:b/>
      <w:bCs/>
      <w:i/>
      <w:iCs/>
      <w:sz w:val="26"/>
      <w:szCs w:val="26"/>
    </w:rPr>
  </w:style>
  <w:style w:type="paragraph" w:styleId="Judul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Judul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Judul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Judul9">
    <w:name w:val="heading 9"/>
    <w:basedOn w:val="Normal"/>
    <w:next w:val="Normal"/>
    <w:qFormat/>
    <w:pPr>
      <w:numPr>
        <w:ilvl w:val="8"/>
        <w:numId w:val="13"/>
      </w:numPr>
      <w:spacing w:before="240" w:after="60"/>
      <w:outlineLvl w:val="8"/>
    </w:pPr>
    <w:rPr>
      <w:rFonts w:ascii="Arial" w:hAnsi="Arial" w:cs="Arial"/>
      <w:szCs w:val="2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TeksCatatanKaki">
    <w:name w:val="footnote text"/>
    <w:basedOn w:val="Normal"/>
    <w:semiHidden/>
    <w:rPr>
      <w:rFonts w:ascii="Times" w:hAnsi="Times"/>
      <w:sz w:val="20"/>
    </w:rPr>
  </w:style>
  <w:style w:type="character" w:styleId="ReferensiCatatanKaki">
    <w:name w:val="footnote reference"/>
    <w:semiHidden/>
    <w:rPr>
      <w:rFonts w:ascii="Times New Roman" w:hAnsi="Times New Roman"/>
      <w:sz w:val="22"/>
      <w:szCs w:val="22"/>
      <w:vertAlign w:val="superscript"/>
    </w:rPr>
  </w:style>
  <w:style w:type="table" w:styleId="KisiTabel">
    <w:name w:val="Table Grid"/>
    <w:basedOn w:val="Tabel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TidakAdaDaftar"/>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TidakAdaDaftar"/>
    <w:semiHidden/>
    <w:pPr>
      <w:numPr>
        <w:numId w:val="12"/>
      </w:numPr>
    </w:pPr>
  </w:style>
  <w:style w:type="paragraph" w:styleId="TeksCatatanAkhir">
    <w:name w:val="endnote text"/>
    <w:basedOn w:val="Normal"/>
    <w:semiHidden/>
    <w:rPr>
      <w:sz w:val="20"/>
    </w:rPr>
  </w:style>
  <w:style w:type="character" w:styleId="ReferensiCatatanAkhir">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FontParagrafDefaul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BagianArtikel">
    <w:name w:val="Outline List 3"/>
    <w:basedOn w:val="TidakAdaDaftar"/>
    <w:semiHidden/>
    <w:pPr>
      <w:numPr>
        <w:numId w:val="13"/>
      </w:numPr>
    </w:pPr>
  </w:style>
  <w:style w:type="paragraph" w:styleId="TeksBlok">
    <w:name w:val="Block Text"/>
    <w:basedOn w:val="Normal"/>
    <w:semiHidden/>
    <w:pPr>
      <w:spacing w:after="120"/>
      <w:ind w:left="1440" w:right="1440"/>
    </w:pPr>
  </w:style>
  <w:style w:type="paragraph" w:styleId="TeksIsi">
    <w:name w:val="Body Text"/>
    <w:basedOn w:val="Normal"/>
    <w:semiHidden/>
    <w:pPr>
      <w:spacing w:after="120"/>
    </w:pPr>
  </w:style>
  <w:style w:type="paragraph" w:styleId="TeksIsi2">
    <w:name w:val="Body Text 2"/>
    <w:basedOn w:val="Normal"/>
    <w:semiHidden/>
    <w:pPr>
      <w:spacing w:after="120" w:line="480" w:lineRule="auto"/>
    </w:pPr>
  </w:style>
  <w:style w:type="paragraph" w:styleId="TeksIsi3">
    <w:name w:val="Body Text 3"/>
    <w:basedOn w:val="Normal"/>
    <w:semiHidden/>
    <w:pPr>
      <w:spacing w:after="120"/>
    </w:pPr>
    <w:rPr>
      <w:sz w:val="16"/>
      <w:szCs w:val="16"/>
    </w:rPr>
  </w:style>
  <w:style w:type="paragraph" w:styleId="IndenPertamaTeksIsi">
    <w:name w:val="Body Text First Indent"/>
    <w:basedOn w:val="TeksIsi"/>
    <w:semiHidden/>
    <w:pPr>
      <w:ind w:firstLine="210"/>
    </w:pPr>
  </w:style>
  <w:style w:type="paragraph" w:styleId="IndenTeksIsi">
    <w:name w:val="Body Text Indent"/>
    <w:basedOn w:val="Normal"/>
    <w:semiHidden/>
    <w:pPr>
      <w:spacing w:after="120"/>
      <w:ind w:left="283"/>
    </w:pPr>
  </w:style>
  <w:style w:type="paragraph" w:styleId="IndenPertamaTeksIsi2">
    <w:name w:val="Body Text First Indent 2"/>
    <w:basedOn w:val="IndenTeksIsi"/>
    <w:semiHidden/>
    <w:pPr>
      <w:ind w:firstLine="210"/>
    </w:pPr>
  </w:style>
  <w:style w:type="paragraph" w:styleId="IndenTeksIsi2">
    <w:name w:val="Body Text Indent 2"/>
    <w:basedOn w:val="Normal"/>
    <w:semiHidden/>
    <w:pPr>
      <w:spacing w:after="120" w:line="480" w:lineRule="auto"/>
      <w:ind w:left="283"/>
    </w:pPr>
  </w:style>
  <w:style w:type="paragraph" w:styleId="IndenTeksIsi3">
    <w:name w:val="Body Text Indent 3"/>
    <w:basedOn w:val="Normal"/>
    <w:semiHidden/>
    <w:pPr>
      <w:spacing w:after="120"/>
      <w:ind w:left="283"/>
    </w:pPr>
    <w:rPr>
      <w:sz w:val="16"/>
      <w:szCs w:val="16"/>
    </w:rPr>
  </w:style>
  <w:style w:type="paragraph" w:styleId="Penutup">
    <w:name w:val="Closing"/>
    <w:basedOn w:val="Normal"/>
    <w:semiHidden/>
    <w:pPr>
      <w:ind w:left="4252"/>
    </w:pPr>
  </w:style>
  <w:style w:type="paragraph" w:styleId="Tanggal">
    <w:name w:val="Date"/>
    <w:basedOn w:val="Normal"/>
    <w:next w:val="Normal"/>
    <w:semiHidden/>
  </w:style>
  <w:style w:type="paragraph" w:styleId="TandatanganEmail">
    <w:name w:val="E-mail Signature"/>
    <w:basedOn w:val="Normal"/>
    <w:semiHidden/>
  </w:style>
  <w:style w:type="character" w:styleId="Penekanan">
    <w:name w:val="Emphasis"/>
    <w:qFormat/>
    <w:rPr>
      <w:i/>
      <w:iCs/>
    </w:rPr>
  </w:style>
  <w:style w:type="paragraph" w:styleId="AlamatAmplop">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PengembalianAmplop">
    <w:name w:val="envelope return"/>
    <w:basedOn w:val="Normal"/>
    <w:semiHidden/>
    <w:rPr>
      <w:rFonts w:ascii="Arial" w:hAnsi="Arial" w:cs="Arial"/>
      <w:sz w:val="20"/>
    </w:rPr>
  </w:style>
  <w:style w:type="character" w:styleId="HiperlinkyangDiikuti">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AkronimHTML">
    <w:name w:val="HTML Acronym"/>
    <w:basedOn w:val="FontParagrafDefault"/>
    <w:semiHidden/>
  </w:style>
  <w:style w:type="paragraph" w:styleId="AlamatHTML">
    <w:name w:val="HTML Address"/>
    <w:basedOn w:val="Normal"/>
    <w:semiHidden/>
    <w:rPr>
      <w:i/>
      <w:iCs/>
    </w:rPr>
  </w:style>
  <w:style w:type="character" w:styleId="SebutanHTML">
    <w:name w:val="HTML Cite"/>
    <w:semiHidden/>
    <w:rPr>
      <w:i/>
      <w:iCs/>
    </w:rPr>
  </w:style>
  <w:style w:type="character" w:styleId="KodeHTML">
    <w:name w:val="HTML Code"/>
    <w:semiHidden/>
    <w:rPr>
      <w:rFonts w:ascii="Courier New" w:hAnsi="Courier New" w:cs="Courier New"/>
      <w:sz w:val="20"/>
      <w:szCs w:val="20"/>
    </w:rPr>
  </w:style>
  <w:style w:type="character" w:styleId="DefinisiHTML">
    <w:name w:val="HTML Definition"/>
    <w:semiHidden/>
    <w:rPr>
      <w:i/>
      <w:iCs/>
    </w:rPr>
  </w:style>
  <w:style w:type="character" w:styleId="KeyboardHTML">
    <w:name w:val="HTML Keyboard"/>
    <w:semiHidden/>
    <w:rPr>
      <w:rFonts w:ascii="Courier New" w:hAnsi="Courier New" w:cs="Courier New"/>
      <w:sz w:val="20"/>
      <w:szCs w:val="20"/>
    </w:rPr>
  </w:style>
  <w:style w:type="paragraph" w:styleId="HTMLSudahDiformat">
    <w:name w:val="HTML Preformatted"/>
    <w:basedOn w:val="Normal"/>
    <w:semiHidden/>
    <w:rPr>
      <w:rFonts w:ascii="Courier New" w:hAnsi="Courier New" w:cs="Courier New"/>
      <w:sz w:val="20"/>
    </w:rPr>
  </w:style>
  <w:style w:type="character" w:styleId="ContohHTML">
    <w:name w:val="HTML Sample"/>
    <w:semiHidden/>
    <w:rPr>
      <w:rFonts w:ascii="Courier New" w:hAnsi="Courier New" w:cs="Courier New"/>
    </w:rPr>
  </w:style>
  <w:style w:type="character" w:styleId="MesinTikHTML">
    <w:name w:val="HTML Typewriter"/>
    <w:semiHidden/>
    <w:rPr>
      <w:rFonts w:ascii="Courier New" w:hAnsi="Courier New" w:cs="Courier New"/>
      <w:sz w:val="20"/>
      <w:szCs w:val="20"/>
    </w:rPr>
  </w:style>
  <w:style w:type="character" w:styleId="VariabelHTML">
    <w:name w:val="HTML Variable"/>
    <w:semiHidden/>
    <w:rPr>
      <w:i/>
      <w:iCs/>
    </w:rPr>
  </w:style>
  <w:style w:type="character" w:styleId="Hyperlink">
    <w:name w:val="Hyperlink"/>
    <w:semiHidden/>
    <w:rPr>
      <w:color w:val="0000FF"/>
      <w:u w:val="single"/>
    </w:rPr>
  </w:style>
  <w:style w:type="character" w:styleId="NomorBaris">
    <w:name w:val="line number"/>
    <w:basedOn w:val="FontParagrafDefault"/>
    <w:semiHidden/>
  </w:style>
  <w:style w:type="paragraph" w:styleId="Daftar">
    <w:name w:val="List"/>
    <w:basedOn w:val="Normal"/>
    <w:semiHidden/>
    <w:pPr>
      <w:ind w:left="283" w:hanging="283"/>
    </w:pPr>
  </w:style>
  <w:style w:type="paragraph" w:styleId="Daftar2">
    <w:name w:val="List 2"/>
    <w:basedOn w:val="Normal"/>
    <w:semiHidden/>
    <w:pPr>
      <w:ind w:left="566" w:hanging="283"/>
    </w:pPr>
  </w:style>
  <w:style w:type="paragraph" w:styleId="Daftar3">
    <w:name w:val="List 3"/>
    <w:basedOn w:val="Normal"/>
    <w:semiHidden/>
    <w:pPr>
      <w:ind w:left="849" w:hanging="283"/>
    </w:pPr>
  </w:style>
  <w:style w:type="paragraph" w:styleId="Daftar4">
    <w:name w:val="List 4"/>
    <w:basedOn w:val="Normal"/>
    <w:semiHidden/>
    <w:pPr>
      <w:ind w:left="1132" w:hanging="283"/>
    </w:pPr>
  </w:style>
  <w:style w:type="paragraph" w:styleId="Daftar5">
    <w:name w:val="List 5"/>
    <w:basedOn w:val="Normal"/>
    <w:semiHidden/>
    <w:pPr>
      <w:ind w:left="1415" w:hanging="283"/>
    </w:pPr>
  </w:style>
  <w:style w:type="paragraph" w:styleId="PoinDaftar">
    <w:name w:val="List Bullet"/>
    <w:basedOn w:val="Normal"/>
    <w:autoRedefine/>
    <w:semiHidden/>
    <w:pPr>
      <w:numPr>
        <w:numId w:val="1"/>
      </w:numPr>
    </w:pPr>
  </w:style>
  <w:style w:type="paragraph" w:styleId="PoinDaftar2">
    <w:name w:val="List Bullet 2"/>
    <w:basedOn w:val="Normal"/>
    <w:autoRedefine/>
    <w:semiHidden/>
    <w:pPr>
      <w:numPr>
        <w:numId w:val="2"/>
      </w:numPr>
    </w:pPr>
  </w:style>
  <w:style w:type="paragraph" w:styleId="PoinDaftar3">
    <w:name w:val="List Bullet 3"/>
    <w:basedOn w:val="Normal"/>
    <w:autoRedefine/>
    <w:semiHidden/>
    <w:pPr>
      <w:numPr>
        <w:numId w:val="3"/>
      </w:numPr>
    </w:pPr>
  </w:style>
  <w:style w:type="paragraph" w:styleId="PoinDaftar4">
    <w:name w:val="List Bullet 4"/>
    <w:basedOn w:val="Normal"/>
    <w:autoRedefine/>
    <w:semiHidden/>
    <w:pPr>
      <w:numPr>
        <w:numId w:val="4"/>
      </w:numPr>
    </w:pPr>
  </w:style>
  <w:style w:type="paragraph" w:styleId="PoinDaftar5">
    <w:name w:val="List Bullet 5"/>
    <w:basedOn w:val="Normal"/>
    <w:autoRedefine/>
    <w:semiHidden/>
    <w:pPr>
      <w:numPr>
        <w:numId w:val="5"/>
      </w:numPr>
    </w:pPr>
  </w:style>
  <w:style w:type="paragraph" w:styleId="DaftarBerkelanjutan">
    <w:name w:val="List Continue"/>
    <w:basedOn w:val="Normal"/>
    <w:semiHidden/>
    <w:pPr>
      <w:spacing w:after="120"/>
      <w:ind w:left="283"/>
    </w:pPr>
  </w:style>
  <w:style w:type="paragraph" w:styleId="DaftarBerkelanjutan2">
    <w:name w:val="List Continue 2"/>
    <w:basedOn w:val="Normal"/>
    <w:semiHidden/>
    <w:pPr>
      <w:spacing w:after="120"/>
      <w:ind w:left="566"/>
    </w:pPr>
  </w:style>
  <w:style w:type="paragraph" w:styleId="DaftarBerkelanjutan3">
    <w:name w:val="List Continue 3"/>
    <w:basedOn w:val="Normal"/>
    <w:semiHidden/>
    <w:pPr>
      <w:spacing w:after="120"/>
      <w:ind w:left="849"/>
    </w:pPr>
  </w:style>
  <w:style w:type="paragraph" w:styleId="DaftarBerkelanjutan4">
    <w:name w:val="List Continue 4"/>
    <w:basedOn w:val="Normal"/>
    <w:semiHidden/>
    <w:pPr>
      <w:spacing w:after="120"/>
      <w:ind w:left="1132"/>
    </w:pPr>
  </w:style>
  <w:style w:type="paragraph" w:styleId="DaftarBerkelanjutan5">
    <w:name w:val="List Continue 5"/>
    <w:basedOn w:val="Normal"/>
    <w:semiHidden/>
    <w:pPr>
      <w:spacing w:after="120"/>
      <w:ind w:left="1415"/>
    </w:pPr>
  </w:style>
  <w:style w:type="paragraph" w:styleId="NomorDaftar">
    <w:name w:val="List Number"/>
    <w:basedOn w:val="Normal"/>
    <w:semiHidden/>
    <w:pPr>
      <w:numPr>
        <w:numId w:val="6"/>
      </w:numPr>
    </w:pPr>
  </w:style>
  <w:style w:type="paragraph" w:styleId="NomorDaftar2">
    <w:name w:val="List Number 2"/>
    <w:basedOn w:val="Normal"/>
    <w:semiHidden/>
    <w:pPr>
      <w:numPr>
        <w:numId w:val="7"/>
      </w:numPr>
    </w:pPr>
  </w:style>
  <w:style w:type="paragraph" w:styleId="NomorDaftar3">
    <w:name w:val="List Number 3"/>
    <w:basedOn w:val="Normal"/>
    <w:semiHidden/>
    <w:pPr>
      <w:numPr>
        <w:numId w:val="8"/>
      </w:numPr>
    </w:pPr>
  </w:style>
  <w:style w:type="paragraph" w:styleId="NomorDaftar4">
    <w:name w:val="List Number 4"/>
    <w:basedOn w:val="Normal"/>
    <w:semiHidden/>
    <w:pPr>
      <w:numPr>
        <w:numId w:val="9"/>
      </w:numPr>
    </w:pPr>
  </w:style>
  <w:style w:type="paragraph" w:styleId="NomorDaftar5">
    <w:name w:val="List Number 5"/>
    <w:basedOn w:val="Normal"/>
    <w:semiHidden/>
    <w:pPr>
      <w:numPr>
        <w:numId w:val="10"/>
      </w:numPr>
    </w:pPr>
  </w:style>
  <w:style w:type="paragraph" w:styleId="HeaderPesan">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IndenNormal">
    <w:name w:val="Normal Indent"/>
    <w:basedOn w:val="Normal"/>
    <w:semiHidden/>
    <w:pPr>
      <w:ind w:left="720"/>
    </w:pPr>
  </w:style>
  <w:style w:type="paragraph" w:styleId="JudulCatatan">
    <w:name w:val="Note Heading"/>
    <w:basedOn w:val="Normal"/>
    <w:next w:val="Normal"/>
    <w:semiHidden/>
  </w:style>
  <w:style w:type="character" w:styleId="NomorHalaman">
    <w:name w:val="page number"/>
    <w:basedOn w:val="FontParagrafDefault"/>
    <w:semiHidden/>
  </w:style>
  <w:style w:type="paragraph" w:styleId="TeksBiasa">
    <w:name w:val="Plain Text"/>
    <w:basedOn w:val="Normal"/>
    <w:semiHidden/>
    <w:rPr>
      <w:rFonts w:ascii="Courier New" w:hAnsi="Courier New" w:cs="Courier New"/>
      <w:sz w:val="20"/>
    </w:rPr>
  </w:style>
  <w:style w:type="paragraph" w:styleId="Salam">
    <w:name w:val="Salutation"/>
    <w:basedOn w:val="Normal"/>
    <w:next w:val="Normal"/>
    <w:semiHidden/>
  </w:style>
  <w:style w:type="paragraph" w:styleId="TandaTangan">
    <w:name w:val="Signature"/>
    <w:basedOn w:val="Normal"/>
    <w:semiHidden/>
    <w:pPr>
      <w:ind w:left="4252"/>
    </w:pPr>
  </w:style>
  <w:style w:type="character" w:styleId="Kuat">
    <w:name w:val="Strong"/>
    <w:qFormat/>
    <w:rPr>
      <w:b/>
      <w:bCs/>
    </w:rPr>
  </w:style>
  <w:style w:type="paragraph" w:styleId="Subjudul">
    <w:name w:val="Subtitle"/>
    <w:basedOn w:val="Normal"/>
    <w:qFormat/>
    <w:pPr>
      <w:spacing w:after="60"/>
      <w:jc w:val="center"/>
      <w:outlineLvl w:val="1"/>
    </w:pPr>
    <w:rPr>
      <w:rFonts w:ascii="Arial" w:hAnsi="Arial" w:cs="Arial"/>
      <w:sz w:val="24"/>
      <w:szCs w:val="24"/>
    </w:rPr>
  </w:style>
  <w:style w:type="table" w:styleId="Efek3-DTabel1">
    <w:name w:val="Table 3D effects 1"/>
    <w:basedOn w:val="Tabel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ek3-DTabel2">
    <w:name w:val="Table 3D effects 2"/>
    <w:basedOn w:val="Tabel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ek3-DTabel3">
    <w:name w:val="Table 3D effects 3"/>
    <w:basedOn w:val="Tabel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ik1">
    <w:name w:val="Table Classic 1"/>
    <w:basedOn w:val="Tabel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ik2">
    <w:name w:val="Table Classic 2"/>
    <w:basedOn w:val="Tabel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ik3">
    <w:name w:val="Table Classic 3"/>
    <w:basedOn w:val="Tabel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ik4">
    <w:name w:val="Table Classic 4"/>
    <w:basedOn w:val="Tabel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Berwarna1">
    <w:name w:val="Table Colorful 1"/>
    <w:basedOn w:val="Tabel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Berwarna2">
    <w:name w:val="Table Colorful 2"/>
    <w:basedOn w:val="Tabel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Berwarna3">
    <w:name w:val="Table Colorful 3"/>
    <w:basedOn w:val="Tabel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olomTabel1">
    <w:name w:val="Table Columns 1"/>
    <w:basedOn w:val="Tabel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mTabel2">
    <w:name w:val="Table Columns 2"/>
    <w:basedOn w:val="Tabel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mTabel3">
    <w:name w:val="Table Columns 3"/>
    <w:basedOn w:val="Tabel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KolomTabel4">
    <w:name w:val="Table Columns 4"/>
    <w:basedOn w:val="Tabel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KolomTabel5">
    <w:name w:val="Table Columns 5"/>
    <w:basedOn w:val="Tabel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Kontemporer">
    <w:name w:val="Table Contemporary"/>
    <w:basedOn w:val="Tabel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
    <w:name w:val="Table Elegant"/>
    <w:basedOn w:val="Tabel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KisiTabel1">
    <w:name w:val="Table Grid 1"/>
    <w:basedOn w:val="Tabel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KisiTabel2">
    <w:name w:val="Table Grid 2"/>
    <w:basedOn w:val="Tabel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KisiTabel3">
    <w:name w:val="Table Grid 3"/>
    <w:basedOn w:val="Tabel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KisiTabel4">
    <w:name w:val="Table Grid 4"/>
    <w:basedOn w:val="Tabel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KisiTabel5">
    <w:name w:val="Table Grid 5"/>
    <w:basedOn w:val="Tabel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isiTabel6">
    <w:name w:val="Table Grid 6"/>
    <w:basedOn w:val="Tabel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isiTabel7">
    <w:name w:val="Table Grid 7"/>
    <w:basedOn w:val="Tabel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isiTabel8">
    <w:name w:val="Table Grid 8"/>
    <w:basedOn w:val="Tabel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DaftarTabel1">
    <w:name w:val="Table List 1"/>
    <w:basedOn w:val="Tabel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aftarTabel2">
    <w:name w:val="Table List 2"/>
    <w:basedOn w:val="Tabel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aftarTabel3">
    <w:name w:val="Table List 3"/>
    <w:basedOn w:val="Tabel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DaftarTabel4">
    <w:name w:val="Table List 4"/>
    <w:basedOn w:val="Tabel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DaftarTabel5">
    <w:name w:val="Table List 5"/>
    <w:basedOn w:val="Tabel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DaftarTabel6">
    <w:name w:val="Table List 6"/>
    <w:basedOn w:val="Tabel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DaftarTabel7">
    <w:name w:val="Table List 7"/>
    <w:basedOn w:val="Tabel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DaftarTabel8">
    <w:name w:val="Table List 8"/>
    <w:basedOn w:val="Tabel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ional">
    <w:name w:val="Table Professional"/>
    <w:basedOn w:val="Tabel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ederhana1">
    <w:name w:val="Table Simple 1"/>
    <w:basedOn w:val="Tabel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Sederhana2">
    <w:name w:val="Table Simple 2"/>
    <w:basedOn w:val="Tabel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Sederhana3">
    <w:name w:val="Table Simple 3"/>
    <w:basedOn w:val="Tabel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Tipis1">
    <w:name w:val="Table Subtle 1"/>
    <w:basedOn w:val="Tabel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ipis2">
    <w:name w:val="Table Subtle 2"/>
    <w:basedOn w:val="Tabel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el">
    <w:name w:val="Table Theme"/>
    <w:basedOn w:val="Tabel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Tabel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Tabel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Tabel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Judul">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Judul"/>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TeksBalon">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TidakAdaDaftar"/>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ReferensiKomentar">
    <w:name w:val="annotation reference"/>
    <w:semiHidden/>
    <w:rPr>
      <w:sz w:val="16"/>
      <w:szCs w:val="16"/>
    </w:rPr>
  </w:style>
  <w:style w:type="paragraph" w:styleId="TeksKomentar">
    <w:name w:val="annotation text"/>
    <w:basedOn w:val="Normal"/>
    <w:semiHidden/>
    <w:rPr>
      <w:sz w:val="20"/>
    </w:rPr>
  </w:style>
  <w:style w:type="paragraph" w:styleId="SubjekKomentar">
    <w:name w:val="annotation subject"/>
    <w:basedOn w:val="TeksKomentar"/>
    <w:next w:val="TeksKomentar"/>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
    <w:name w:val="Revision"/>
    <w:hidden/>
    <w:uiPriority w:val="99"/>
    <w:semiHidden/>
    <w:rsid w:val="00165E82"/>
    <w:rPr>
      <w:rFonts w:ascii="Sabon" w:hAnsi="Sabo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9490E2-EE65-42FF-9AC1-87C6AE0D8494}">
  <we:reference id="f78a3046-9e99-4300-aa2b-5814002b01a2" version="1.16.0.0" store="EXCatalog" storeType="EXCatalog"/>
  <we:alternateReferences>
    <we:reference id="WA104382081" version="1.16.0.0" store="id-ID"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13F10-5266-49EA-82D3-85FC324C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1271</TotalTime>
  <Pages>6</Pages>
  <Words>9235</Words>
  <Characters>52644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61756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Installer Office 8</cp:lastModifiedBy>
  <cp:revision>329</cp:revision>
  <cp:lastPrinted>2007-03-22T16:16:00Z</cp:lastPrinted>
  <dcterms:created xsi:type="dcterms:W3CDTF">2015-09-17T13:23:00Z</dcterms:created>
  <dcterms:modified xsi:type="dcterms:W3CDTF">2020-12-14T19:15:00Z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http://www.zotero.org/styles/institute-of-physics-numeric</vt:lpwstr>
  </property>
  <property fmtid="{D5CDD505-2E9C-101B-9397-08002B2CF9AE}" pid="13" name="Mendeley Recent Style Name 5_1">
    <vt:lpwstr>Institute of Physics (numeric)</vt:lpwstr>
  </property>
  <property fmtid="{D5CDD505-2E9C-101B-9397-08002B2CF9AE}" pid="14" name="Mendeley Recent Style Id 6_1">
    <vt:lpwstr>http://www.zotero.org/styles/institute-of-physics-harvard</vt:lpwstr>
  </property>
  <property fmtid="{D5CDD505-2E9C-101B-9397-08002B2CF9AE}" pid="15" name="Mendeley Recent Style Name 6_1">
    <vt:lpwstr>Institute of Physics - Harvard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http://www.zotero.org/styles/institute-of-physics-numeric</vt:lpwstr>
  </property>
  <property fmtid="{D5CDD505-2E9C-101B-9397-08002B2CF9AE}" pid="24" name="Mendeley Unique User Id_1">
    <vt:lpwstr>9b2e66ab-e231-3591-8ed3-7bbd6f68420d</vt:lpwstr>
  </property>
</Properties>
</file>