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50" w:rsidRDefault="00B05B21">
      <w:pPr>
        <w:pStyle w:val="Title"/>
      </w:pPr>
      <w:r>
        <w:rPr>
          <w:rFonts w:ascii="Times New Roman" w:hAnsi="Times New Roman"/>
          <w:lang w:val="en-US"/>
        </w:rPr>
        <w:t>TRANSMISSION ELIMINATION OF LIMFATIC FILARIASIS USING SPATIAL AUTOCORRELATION</w:t>
      </w:r>
    </w:p>
    <w:p w:rsidR="00D80050" w:rsidRPr="008E24CF" w:rsidRDefault="00077E80">
      <w:pPr>
        <w:pStyle w:val="Authors"/>
        <w:spacing w:after="0"/>
        <w:rPr>
          <w:rFonts w:ascii="Times New Roman" w:hAnsi="Times New Roman"/>
          <w:sz w:val="20"/>
          <w:szCs w:val="20"/>
          <w:lang w:val="en-US"/>
        </w:rPr>
      </w:pPr>
      <w:r w:rsidRPr="008E24CF">
        <w:rPr>
          <w:rFonts w:ascii="Times New Roman" w:hAnsi="Times New Roman"/>
          <w:sz w:val="20"/>
          <w:szCs w:val="20"/>
          <w:lang w:val="en-US"/>
        </w:rPr>
        <w:t>E</w:t>
      </w:r>
      <w:r w:rsidR="00B05B21" w:rsidRPr="008E24CF">
        <w:rPr>
          <w:rFonts w:ascii="Times New Roman" w:hAnsi="Times New Roman"/>
          <w:sz w:val="20"/>
          <w:szCs w:val="20"/>
          <w:lang w:val="en-US"/>
        </w:rPr>
        <w:t xml:space="preserve"> Surjati</w:t>
      </w:r>
    </w:p>
    <w:p w:rsidR="00D80050" w:rsidRPr="008E24CF" w:rsidRDefault="00B05B21">
      <w:pPr>
        <w:pStyle w:val="Authors"/>
        <w:spacing w:after="0"/>
        <w:rPr>
          <w:rFonts w:ascii="Times New Roman" w:hAnsi="Times New Roman"/>
          <w:sz w:val="20"/>
          <w:szCs w:val="20"/>
          <w:lang w:val="en-US"/>
        </w:rPr>
      </w:pPr>
      <w:r w:rsidRPr="008E24CF">
        <w:rPr>
          <w:rFonts w:ascii="Times New Roman" w:hAnsi="Times New Roman"/>
          <w:sz w:val="20"/>
          <w:szCs w:val="20"/>
          <w:lang w:val="en-US"/>
        </w:rPr>
        <w:t>Postgraduate Program, Universitas Kanjuruhan Malang, Jl. S. Supriyadi No. 48, Malang 65148, Indonesia</w:t>
      </w:r>
    </w:p>
    <w:p w:rsidR="00D80050" w:rsidRPr="008E24CF" w:rsidRDefault="00F120A5">
      <w:pPr>
        <w:pStyle w:val="Authors"/>
        <w:spacing w:after="0"/>
        <w:rPr>
          <w:rFonts w:ascii="Times New Roman" w:hAnsi="Times New Roman"/>
          <w:sz w:val="20"/>
          <w:szCs w:val="20"/>
          <w:lang w:val="en-US"/>
        </w:rPr>
      </w:pPr>
      <w:hyperlink r:id="rId10" w:history="1">
        <w:r w:rsidR="00B05B21" w:rsidRPr="008E24CF">
          <w:rPr>
            <w:rStyle w:val="Hyperlink"/>
            <w:rFonts w:ascii="Times New Roman" w:hAnsi="Times New Roman"/>
            <w:color w:val="auto"/>
            <w:sz w:val="20"/>
            <w:szCs w:val="20"/>
            <w:u w:val="none"/>
            <w:lang w:val="en-US"/>
          </w:rPr>
          <w:t>surjati@unikama.ac.id</w:t>
        </w:r>
      </w:hyperlink>
    </w:p>
    <w:p w:rsidR="00D80050" w:rsidRPr="008E24CF" w:rsidRDefault="00B05B21">
      <w:pPr>
        <w:pStyle w:val="Authors"/>
        <w:spacing w:after="0"/>
        <w:rPr>
          <w:rFonts w:ascii="Times New Roman" w:hAnsi="Times New Roman"/>
          <w:sz w:val="20"/>
          <w:szCs w:val="20"/>
          <w:lang w:val="en-US"/>
        </w:rPr>
      </w:pPr>
      <w:r w:rsidRPr="008E24CF">
        <w:rPr>
          <w:rFonts w:ascii="Times New Roman" w:hAnsi="Times New Roman"/>
          <w:sz w:val="20"/>
          <w:szCs w:val="20"/>
          <w:lang w:val="en-US"/>
        </w:rPr>
        <w:t>B Setiabudi Wiwoho</w:t>
      </w:r>
    </w:p>
    <w:p w:rsidR="00D80050" w:rsidRPr="008E24CF" w:rsidRDefault="00B05B21">
      <w:pPr>
        <w:pStyle w:val="Abstract"/>
        <w:spacing w:after="0"/>
        <w:rPr>
          <w:rFonts w:ascii="Times New Roman" w:hAnsi="Times New Roman"/>
          <w:b/>
          <w:color w:val="auto"/>
          <w:lang w:val="en-US"/>
        </w:rPr>
      </w:pPr>
      <w:r w:rsidRPr="008E24CF">
        <w:rPr>
          <w:rFonts w:ascii="Times New Roman" w:hAnsi="Times New Roman"/>
          <w:b/>
          <w:color w:val="auto"/>
          <w:lang w:val="en-US"/>
        </w:rPr>
        <w:t>Geography Departement, State University of Malang, Jl. Semarang  No 6 Malang</w:t>
      </w:r>
    </w:p>
    <w:p w:rsidR="00D80050" w:rsidRPr="008E24CF" w:rsidRDefault="00F120A5">
      <w:pPr>
        <w:ind w:left="1418"/>
        <w:rPr>
          <w:rFonts w:ascii="Times New Roman" w:hAnsi="Times New Roman"/>
          <w:b/>
          <w:sz w:val="20"/>
        </w:rPr>
      </w:pPr>
      <w:hyperlink r:id="rId11" w:history="1">
        <w:r w:rsidR="00B05B21" w:rsidRPr="008E24CF">
          <w:rPr>
            <w:rStyle w:val="Hyperlink"/>
            <w:rFonts w:ascii="Times New Roman" w:hAnsi="Times New Roman"/>
            <w:b/>
            <w:color w:val="auto"/>
            <w:sz w:val="20"/>
            <w:u w:val="none"/>
          </w:rPr>
          <w:t>bagus.setiabudi.fis@um.ac.id</w:t>
        </w:r>
      </w:hyperlink>
    </w:p>
    <w:p w:rsidR="00D80050" w:rsidRPr="008E24CF" w:rsidRDefault="00D80050">
      <w:pPr>
        <w:pStyle w:val="E-mail"/>
      </w:pPr>
    </w:p>
    <w:p w:rsidR="00D80050" w:rsidRDefault="00B05B21">
      <w:pPr>
        <w:ind w:left="1418"/>
        <w:jc w:val="both"/>
        <w:rPr>
          <w:rFonts w:ascii="Times New Roman" w:hAnsi="Times New Roman"/>
          <w:sz w:val="20"/>
        </w:rPr>
      </w:pPr>
      <w:r>
        <w:rPr>
          <w:rFonts w:ascii="Times New Roman" w:hAnsi="Times New Roman"/>
          <w:b/>
          <w:sz w:val="20"/>
        </w:rPr>
        <w:t>Abstract</w:t>
      </w:r>
      <w:r>
        <w:rPr>
          <w:rFonts w:ascii="Times New Roman" w:hAnsi="Times New Roman"/>
          <w:sz w:val="20"/>
        </w:rPr>
        <w:t>. At present, spatial analysis have been used on epidemiology. Spatial analysis was used to determine the environmental risk that influence to transmission of Filariasis. The aim of the study was to identify, at industrial area, the environment determinant that are associated with Filariasis cases in Pekalongan City.</w:t>
      </w:r>
    </w:p>
    <w:p w:rsidR="00D80050" w:rsidRDefault="00B05B21">
      <w:pPr>
        <w:ind w:left="1418"/>
        <w:jc w:val="both"/>
        <w:rPr>
          <w:rFonts w:ascii="Times New Roman" w:hAnsi="Times New Roman"/>
          <w:sz w:val="20"/>
        </w:rPr>
      </w:pPr>
      <w:r>
        <w:rPr>
          <w:rFonts w:ascii="Times New Roman" w:hAnsi="Times New Roman"/>
          <w:sz w:val="20"/>
        </w:rPr>
        <w:t>The geocoding method was applied on the prevalence of cases to determine the pattern of spatial. Spatial autocorrelation was used to determine the effect of the environment on filariasis transmission. The kernel method was used to determine the density of filariasis cases.</w:t>
      </w:r>
    </w:p>
    <w:p w:rsidR="00D80050" w:rsidRDefault="00B05B21">
      <w:pPr>
        <w:ind w:left="1418"/>
        <w:jc w:val="both"/>
        <w:rPr>
          <w:rFonts w:ascii="Times New Roman" w:hAnsi="Times New Roman"/>
          <w:sz w:val="20"/>
        </w:rPr>
      </w:pPr>
      <w:r>
        <w:rPr>
          <w:rFonts w:ascii="Times New Roman" w:hAnsi="Times New Roman"/>
          <w:sz w:val="20"/>
        </w:rPr>
        <w:t>Based on the spatial analysis, the statistical values ​​associated with the correlation between the risk of filariasis transmission and environmental factors were obtained. The correlation value of the influence of the environment on the transmission of Filariasis was statistically significant, this coefficient is 0.312. The value of R indicates that the spatial pattern of filariasis cases forms a cluster pattern. The Moran's index calculation obtained a positive spatial autocorrelation value of 0.44 with z-score is 16.05 and P-value is 0.00.</w:t>
      </w:r>
    </w:p>
    <w:p w:rsidR="00D80050" w:rsidRDefault="00B05B21">
      <w:pPr>
        <w:ind w:left="1418"/>
        <w:jc w:val="both"/>
        <w:rPr>
          <w:rFonts w:ascii="Times New Roman" w:hAnsi="Times New Roman"/>
          <w:sz w:val="20"/>
        </w:rPr>
      </w:pPr>
      <w:r>
        <w:rPr>
          <w:rFonts w:ascii="Times New Roman" w:hAnsi="Times New Roman"/>
          <w:sz w:val="20"/>
        </w:rPr>
        <w:t>Spatial autocorrelation was useful to determining the level of risk transmission of filariasis in Pekalongan City which may help to adopt effective control stategies in filariasis eradication programs in Pekalongan City.</w:t>
      </w:r>
    </w:p>
    <w:p w:rsidR="00D80050" w:rsidRDefault="00B05B21">
      <w:pPr>
        <w:pStyle w:val="Abstract"/>
      </w:pPr>
      <w:r>
        <w:rPr>
          <w:rFonts w:ascii="Times New Roman" w:hAnsi="Times New Roman"/>
        </w:rPr>
        <w:t>Keywords: Transmission of Lymphatic Filariasis, Spatial Autocorrelation, Moran's Index, Kernel Density</w:t>
      </w:r>
    </w:p>
    <w:p w:rsidR="00D80050" w:rsidRDefault="00B05B21">
      <w:pPr>
        <w:pStyle w:val="Section"/>
      </w:pPr>
      <w:r>
        <w:rPr>
          <w:lang w:val="en-US"/>
        </w:rPr>
        <w:t>Introduction</w:t>
      </w:r>
    </w:p>
    <w:p w:rsidR="00D80050" w:rsidRDefault="00D80050">
      <w:pPr>
        <w:pStyle w:val="Bodytext"/>
      </w:pPr>
    </w:p>
    <w:p w:rsidR="00D80050" w:rsidRDefault="00B05B21" w:rsidP="00077E80">
      <w:pPr>
        <w:pStyle w:val="Bodytext"/>
        <w:rPr>
          <w:rFonts w:ascii="Times New Roman" w:hAnsi="Times New Roman"/>
        </w:rPr>
      </w:pPr>
      <w:r>
        <w:rPr>
          <w:rFonts w:ascii="Times New Roman" w:hAnsi="Times New Roman"/>
          <w:color w:val="222222"/>
        </w:rPr>
        <w:t xml:space="preserve">Spatial analysis has been widely used in various fields, one of which is in the field of epidemiology. The use of spatial analysis in the field of epidemiology is primarily to determine the relationship between environmental conditions and disease incidence. One method of analysing the relationship between environmental conditions and disease incidence is a spatial autocorrelation. The spatial pattern of objects, phenomena and events is determined by certain environmental variables. An understanding of the degree of spatial structure is often described based on the first law of geography, namely: "Everything is related to everything else, but near things are more related than distant things" </w:t>
      </w:r>
      <w:r w:rsidR="00053769">
        <w:rPr>
          <w:rFonts w:ascii="Times New Roman" w:hAnsi="Times New Roman"/>
          <w:color w:val="222222"/>
        </w:rPr>
        <w:fldChar w:fldCharType="begin" w:fldLock="1"/>
      </w:r>
      <w:r w:rsidR="00053769">
        <w:rPr>
          <w:rFonts w:ascii="Times New Roman" w:hAnsi="Times New Roman"/>
          <w:color w:val="222222"/>
        </w:rPr>
        <w:instrText>ADDIN CSL_CITATION {"citationItems":[{"id":"ITEM-1","itemData":{"DOI":"10.1007/978-1-4020-6450-0_1","ISBN":"9781402064494","author":[{"dropping-particle":"","family":"Liang","given":"Shunlin","non-dropping-particle":"","parse-names":false,"suffix":""}],"container-title":"Advances in Land Remote Sensing: System, Modeling, Inversion and Application","id":"ITEM-1","issued":{"date-parts":[["2008"]]},"title":"Recent advances in land remote sensing: An overview","type":"paper-conference"},"uris":["http://www.mendeley.com/documents/?uuid=62ad80d4-6df2-4c77-864a-8a69f9cc4d17"]}],"mendeley":{"formattedCitation":"(Liang, 2008)","plainTextFormattedCitation":"(Liang, 2008)","previouslyFormattedCitation":"(Liang, 2008)"},"properties":{"noteIndex":0},"schema":"https://github.com/citation-style-language/schema/raw/master/csl-citation.json"}</w:instrText>
      </w:r>
      <w:r w:rsidR="00053769">
        <w:rPr>
          <w:rFonts w:ascii="Times New Roman" w:hAnsi="Times New Roman"/>
          <w:color w:val="222222"/>
        </w:rPr>
        <w:fldChar w:fldCharType="separate"/>
      </w:r>
      <w:r w:rsidR="00053769" w:rsidRPr="00053769">
        <w:rPr>
          <w:rFonts w:ascii="Times New Roman" w:hAnsi="Times New Roman"/>
          <w:noProof/>
          <w:color w:val="222222"/>
        </w:rPr>
        <w:t>(Liang, 2008)</w:t>
      </w:r>
      <w:r w:rsidR="00053769">
        <w:rPr>
          <w:rFonts w:ascii="Times New Roman" w:hAnsi="Times New Roman"/>
          <w:color w:val="222222"/>
        </w:rPr>
        <w:fldChar w:fldCharType="end"/>
      </w:r>
    </w:p>
    <w:p w:rsidR="00077E80" w:rsidRDefault="00077E80">
      <w:pPr>
        <w:ind w:left="440" w:hangingChars="200" w:hanging="440"/>
        <w:jc w:val="both"/>
        <w:rPr>
          <w:rFonts w:ascii="Times New Roman" w:hAnsi="Times New Roman"/>
        </w:rPr>
      </w:pPr>
    </w:p>
    <w:p w:rsidR="00D80050" w:rsidRDefault="00B05B21" w:rsidP="00077E80">
      <w:pPr>
        <w:ind w:firstLineChars="4" w:firstLine="9"/>
        <w:jc w:val="both"/>
        <w:rPr>
          <w:rFonts w:ascii="Times New Roman" w:hAnsi="Times New Roman"/>
        </w:rPr>
      </w:pPr>
      <w:r>
        <w:rPr>
          <w:rFonts w:ascii="Times New Roman" w:hAnsi="Times New Roman"/>
        </w:rPr>
        <w:t>Filariasis is caused by filarial worms which are transmitted through the bite of an infected mosquito into the human body</w:t>
      </w:r>
      <w:r w:rsidR="00053769">
        <w:rPr>
          <w:rFonts w:ascii="Times New Roman" w:hAnsi="Times New Roman"/>
        </w:rPr>
        <w:t xml:space="preserve"> </w:t>
      </w:r>
      <w:r w:rsidR="00053769">
        <w:rPr>
          <w:rFonts w:ascii="Times New Roman" w:hAnsi="Times New Roman"/>
        </w:rPr>
        <w:fldChar w:fldCharType="begin" w:fldLock="1"/>
      </w:r>
      <w:r w:rsidR="00085647">
        <w:rPr>
          <w:rFonts w:ascii="Times New Roman" w:hAnsi="Times New Roman"/>
        </w:rPr>
        <w:instrText>ADDIN CSL_CITATION {"citationItems":[{"id":"ITEM-1","itemData":{"DOI":"10.1089/vbz.2012.1238","ISSN":"15577759","PMID":"23808973","abstract":"The strategy adopted by a global program to interrupt transmission of lymphatic filariasis (LF) is mass drug administration (MDA) using chemotherapy. India also followed this strategy by introducing MDA in the historically known endemic areas. All other areas, which remained unsurveyed, were presumed to be nonendemic and left without any intervention. Therefore, identification of LF transmission risk areas in the entire country has become essential so that they can be targeted for intervention. A geo-environmental risk model (GERM) developed earlier was used to create a filariasis transmission risk map for India. In this model, a Standardized Filariasis Transmission Risk Index (SFTRI, based on geo-environmental risk variables) was used as a predictor of transmission risk. The relationship between SFTRI and endemicity (historically known) of an area was quantified by logistic regression analysis. The quantified relationship was validated by assessing the filarial antigenemia status of children living in the unsurveyed areas through a ground truth study. A significant positive relationship was observed between SFTRI and the endemicity of an area. Overall, the model prediction of filarial endemic status of districts was found to be correct in 92.8% of the total observations. Thus, among the 190 districts hitherto unsurveyed, as many as 113 districts were predicted to be at risk, and the remaining at no risk. The GERM developed on geographic information system (GIS) platform is useful for LF spatial delimitation on a macrogeographic/regional scale. Furthermore, the risk map developed will be useful for the national LF elimination program by identifying areas at risk for intervention and for undertaking surveillance in no-risk areas. © Copyright 2013, Mary Ann Liebert, Inc. 2013.","author":[{"dropping-particle":"","family":"Sabesan","given":"Shanmugavelu","non-dropping-particle":"","parse-names":false,"suffix":""},{"dropping-particle":"","family":"Raju","given":"Konuganti Hari Kishan","non-dropping-particle":"","parse-names":false,"suffix":""},{"dropping-particle":"","family":"Subramanian","given":"Swaminathan","non-dropping-particle":"","parse-names":false,"suffix":""},{"dropping-particle":"","family":"Srivastava","given":"Pradeep Kumar","non-dropping-particle":"","parse-names":false,"suffix":""},{"dropping-particle":"","family":"Jambulingam","given":"Purushothaman","non-dropping-particle":"","parse-names":false,"suffix":""}],"container-title":"Vector-Borne and Zoonotic Diseases","id":"ITEM-1","issued":{"date-parts":[["2013"]]},"title":"Lymphatic filariasis transmission risk map of India, Based on a geo-environmental risk model","type":"article-journal"},"uris":["http://www.mendeley.com/documents/?uuid=b2cc066b-d7d1-4d72-a428-b0842b2fff91"]}],"mendeley":{"formattedCitation":"(Sabesan et al., 2013)","plainTextFormattedCitation":"(Sabesan et al., 2013)","previouslyFormattedCitation":"(Sabesan et al., 2013)"},"properties":{"noteIndex":0},"schema":"https://github.com/citation-style-language/schema/raw/master/csl-citation.json"}</w:instrText>
      </w:r>
      <w:r w:rsidR="00053769">
        <w:rPr>
          <w:rFonts w:ascii="Times New Roman" w:hAnsi="Times New Roman"/>
        </w:rPr>
        <w:fldChar w:fldCharType="separate"/>
      </w:r>
      <w:r w:rsidR="00053769" w:rsidRPr="00053769">
        <w:rPr>
          <w:rFonts w:ascii="Times New Roman" w:hAnsi="Times New Roman"/>
          <w:noProof/>
        </w:rPr>
        <w:t>(Sabesan et al., 2013)</w:t>
      </w:r>
      <w:r w:rsidR="00053769">
        <w:rPr>
          <w:rFonts w:ascii="Times New Roman" w:hAnsi="Times New Roman"/>
        </w:rPr>
        <w:fldChar w:fldCharType="end"/>
      </w:r>
      <w:r>
        <w:rPr>
          <w:rFonts w:ascii="Times New Roman" w:hAnsi="Times New Roman"/>
        </w:rPr>
        <w:t xml:space="preserve">. The abundance of mosquitoes infected with filaria can be </w:t>
      </w:r>
      <w:r>
        <w:rPr>
          <w:rFonts w:ascii="Times New Roman" w:hAnsi="Times New Roman"/>
        </w:rPr>
        <w:lastRenderedPageBreak/>
        <w:t>explained based on the mosquito habitat that supports them as a place to lay eggs and breed. A supportive environment as a place to lay eggs and breed as a factor in the presence of disease endemics in an area. Pekalongan is noticed as endemic for filariasis based on the microfilaria rate (mf rate) which reaches more than 1%</w:t>
      </w:r>
      <w:r>
        <w:rPr>
          <w:rFonts w:ascii="Times New Roman" w:hAnsi="Times New Roman"/>
          <w:lang w:val="en-US"/>
        </w:rPr>
        <w:t xml:space="preserve">. </w:t>
      </w:r>
    </w:p>
    <w:p w:rsidR="00D80050" w:rsidRDefault="00D80050">
      <w:pPr>
        <w:pStyle w:val="Bodytext"/>
        <w:ind w:left="440" w:hangingChars="200" w:hanging="440"/>
      </w:pPr>
    </w:p>
    <w:p w:rsidR="00D80050" w:rsidRDefault="00B05B21" w:rsidP="00077E80">
      <w:pPr>
        <w:pStyle w:val="Bodytext"/>
        <w:rPr>
          <w:rFonts w:ascii="Times New Roman" w:hAnsi="Times New Roman"/>
        </w:rPr>
      </w:pPr>
      <w:r>
        <w:rPr>
          <w:rFonts w:ascii="Times New Roman" w:hAnsi="Times New Roman"/>
        </w:rPr>
        <w:t>Several studies have been conducted regarding the elimination strategy of filariasis transmission. The research approach was carried out using descriptive surveys to determine transmission risk factors such as the presence of shrubs and irrigation s</w:t>
      </w:r>
      <w:r w:rsidR="00085647">
        <w:rPr>
          <w:rFonts w:ascii="Times New Roman" w:hAnsi="Times New Roman"/>
        </w:rPr>
        <w:t xml:space="preserve">ystems, residential environment </w:t>
      </w:r>
      <w:r w:rsidR="00085647">
        <w:rPr>
          <w:rFonts w:ascii="Times New Roman" w:hAnsi="Times New Roman"/>
        </w:rPr>
        <w:fldChar w:fldCharType="begin" w:fldLock="1"/>
      </w:r>
      <w:r w:rsidR="00085647">
        <w:rPr>
          <w:rFonts w:ascii="Times New Roman" w:hAnsi="Times New Roman"/>
        </w:rPr>
        <w:instrText>ADDIN CSL_CITATION {"citationItems":[{"id":"ITEM-1","itemData":{"DOI":"10.1371/journal.pntd.0002714","ISSN":"19352735","PMID":"24587466","abstract":"Background:Past case reports have indicated that lymphatic filariasis (LF) occurs in Zambia, but knowledge about its geographical distribution and prevalence pattern, and the underlying potential environmental drivers, has been limited. As a background for planning and implementation of control, a country-wide mapping survey was undertaken between 2003 and 2011. Here the mapping activities are outlined, the findings across the numerous survey sites are presented, and the ecological requirements of the LF distribution are explored.Methodology/Principal findings:Approximately 10,000 adult volunteers from 108 geo-referenced survey sites across Zambia were examined for circulating filarial antigens (CFA) with rapid format ICT cards, and a map indicating the distribution of CFA prevalences in Zambia was prepared. 78% of survey sites had CFA positive cases, with prevalences ranging between 1% and 54%. Most positive survey sites had low prevalence, but six foci with more than 15% prevalence were identified. The observed geographical variation in prevalence pattern was examined in more detail using a species distribution modeling approach to explore environmental requirements for parasite presence, and to predict potential suitable habitats over unsurveyed areas. Of note, areas associated with human modification of the landscape appeared to play an important role for the general presence of LF, whereas temperature (measured as averaged seasonal land surface temperature) seemed to be an important determinant of medium-high prevalence levels.Conclusions/significance:LF was found to be surprisingly widespread in Zambia, although in most places with low prevalence. The produced maps and the identified environmental correlates of LF infection will provide useful guidance for planning and start-up of geographically targeted and cost-effective LF control in Zambia. © 2014 Mwase et al.","author":[{"dropping-particle":"","family":"Mwase","given":"Enala T.","non-dropping-particle":"","parse-names":false,"suffix":""},{"dropping-particle":"","family":"Stensgaard","given":"Anna Sofie","non-dropping-particle":"","parse-names":false,"suffix":""},{"dropping-particle":"","family":"Nsakashalo-Senkwe","given":"Mutale","non-dropping-particle":"","parse-names":false,"suffix":""},{"dropping-particle":"","family":"Mubila","given":"Likezo","non-dropping-particle":"","parse-names":false,"suffix":""},{"dropping-particle":"","family":"Mwansa","given":"James","non-dropping-particle":"","parse-names":false,"suffix":""},{"dropping-particle":"","family":"Songolo","given":"Peter","non-dropping-particle":"","parse-names":false,"suffix":""},{"dropping-particle":"","family":"Shawa","given":"Sheila T.","non-dropping-particle":"","parse-names":false,"suffix":""},{"dropping-particle":"","family":"Simonsen","given":"Paul E.","non-dropping-particle":"","parse-names":false,"suffix":""}],"container-title":"PLoS Neglected Tropical Diseases","id":"ITEM-1","issued":{"date-parts":[["2014"]]},"title":"Mapping the Geographical Distribution of Lymphatic Filariasis in Zambia","type":"article-journal"},"uris":["http://www.mendeley.com/documents/?uuid=fb1c5f58-c456-45fe-b780-41d9519f82c2"]}],"mendeley":{"formattedCitation":"(Mwase et al., 2014)","plainTextFormattedCitation":"(Mwase et al., 2014)","previouslyFormattedCitation":"(Mwase et al., 2014)"},"properties":{"noteIndex":0},"schema":"https://github.com/citation-style-language/schema/raw/master/csl-citation.json"}</w:instrText>
      </w:r>
      <w:r w:rsidR="00085647">
        <w:rPr>
          <w:rFonts w:ascii="Times New Roman" w:hAnsi="Times New Roman"/>
        </w:rPr>
        <w:fldChar w:fldCharType="separate"/>
      </w:r>
      <w:r w:rsidR="00085647" w:rsidRPr="00085647">
        <w:rPr>
          <w:rFonts w:ascii="Times New Roman" w:hAnsi="Times New Roman"/>
          <w:noProof/>
        </w:rPr>
        <w:t>(Mwase et al., 2014)</w:t>
      </w:r>
      <w:r w:rsidR="00085647">
        <w:rPr>
          <w:rFonts w:ascii="Times New Roman" w:hAnsi="Times New Roman"/>
        </w:rPr>
        <w:fldChar w:fldCharType="end"/>
      </w:r>
      <w:r w:rsidR="00085647">
        <w:rPr>
          <w:rFonts w:ascii="Times New Roman" w:hAnsi="Times New Roman"/>
        </w:rPr>
        <w:t>.</w:t>
      </w:r>
      <w:r>
        <w:rPr>
          <w:rFonts w:ascii="Times New Roman" w:hAnsi="Times New Roman"/>
        </w:rPr>
        <w:t xml:space="preserve"> Filariasis diagnostic test to support transmission mapping and monitoring, mapping risk and visualization are used for filariasis endemic identification and filariasis monitoring of filariasis transmission using geo-climatic variables</w:t>
      </w:r>
      <w:r w:rsidR="00085647">
        <w:rPr>
          <w:rFonts w:ascii="Times New Roman" w:hAnsi="Times New Roman"/>
        </w:rPr>
        <w:t xml:space="preserve"> </w:t>
      </w:r>
      <w:r w:rsidR="00085647">
        <w:rPr>
          <w:rFonts w:ascii="Times New Roman" w:hAnsi="Times New Roman"/>
        </w:rPr>
        <w:fldChar w:fldCharType="begin" w:fldLock="1"/>
      </w:r>
      <w:r w:rsidR="00085647">
        <w:rPr>
          <w:rFonts w:ascii="Times New Roman" w:hAnsi="Times New Roman"/>
        </w:rPr>
        <w:instrText>ADDIN CSL_CITATION {"citationItems":[{"id":"ITEM-1","itemData":{"DOI":"10.1017/S0031182013001972","ISSN":"14698161","PMID":"24476672","abstract":"Fast response and decision making about containment, management, eradication and prevention of diseases, are increasingly important aspects of the work of public health officers and medical providers. Diseases and the agents causing them are spatially and temporally distributed, and effective countermeasures rely on methods that can timely locate the foci of infection, predict the distribution of illnesses and their causes, and evaluate the likelihood of epidemics. These methods require the use of large datasets from ecology, microbiology, health and environmental geography. Geodatabases integrating data from multiple sets of information are managed within the frame of geographic information systems (GIS). Many GIS software packages can be used with minimal training to query, map, analyse and interpret the data. In combination with other statistical or modelling software, predictive and spatio-temporal modelling can be carried out. This paper reviews some of the concepts and tools used in epidemiology and parasitology. The purpose of this review is to provide public health officers with the critical tools to decide about spatial analysis resources and the architecture for the prevention and surveillance systems best suited to their situations.","author":[{"dropping-particle":"","family":"Caprarelli","given":"Graziella","non-dropping-particle":"","parse-names":false,"suffix":""},{"dropping-particle":"","family":"Fletcher","given":"Stephanie","non-dropping-particle":"","parse-names":false,"suffix":""}],"container-title":"Parasitology","id":"ITEM-1","issued":{"date-parts":[["2014"]]},"title":"A brief review of spatial analysis concepts and tools used for mapping, containment and risk modelling of infectious diseases and other illnesses","type":"article"},"uris":["http://www.mendeley.com/documents/?uuid=14311cbc-8b13-4bb8-96ed-15a397afc686"]}],"mendeley":{"formattedCitation":"(Caprarelli &amp; Fletcher, 2014)","plainTextFormattedCitation":"(Caprarelli &amp; Fletcher, 2014)","previouslyFormattedCitation":"(Caprarelli &amp; Fletcher, 2014)"},"properties":{"noteIndex":0},"schema":"https://github.com/citation-style-language/schema/raw/master/csl-citation.json"}</w:instrText>
      </w:r>
      <w:r w:rsidR="00085647">
        <w:rPr>
          <w:rFonts w:ascii="Times New Roman" w:hAnsi="Times New Roman"/>
        </w:rPr>
        <w:fldChar w:fldCharType="separate"/>
      </w:r>
      <w:r w:rsidR="00085647" w:rsidRPr="00085647">
        <w:rPr>
          <w:rFonts w:ascii="Times New Roman" w:hAnsi="Times New Roman"/>
          <w:noProof/>
        </w:rPr>
        <w:t>(Caprarelli &amp; Fletcher, 2014)</w:t>
      </w:r>
      <w:r w:rsidR="00085647">
        <w:rPr>
          <w:rFonts w:ascii="Times New Roman" w:hAnsi="Times New Roman"/>
        </w:rPr>
        <w:fldChar w:fldCharType="end"/>
      </w:r>
      <w:r>
        <w:rPr>
          <w:rFonts w:ascii="Times New Roman" w:hAnsi="Times New Roman"/>
        </w:rPr>
        <w:t xml:space="preserve">. The development / poverty index (especially in urban areas) should be considered as a </w:t>
      </w:r>
      <w:r w:rsidR="00085647">
        <w:rPr>
          <w:rFonts w:ascii="Times New Roman" w:hAnsi="Times New Roman"/>
        </w:rPr>
        <w:t xml:space="preserve">risk factor for LF transmission </w:t>
      </w:r>
      <w:r w:rsidR="00085647">
        <w:rPr>
          <w:rFonts w:ascii="Times New Roman" w:hAnsi="Times New Roman"/>
        </w:rPr>
        <w:fldChar w:fldCharType="begin" w:fldLock="1"/>
      </w:r>
      <w:r w:rsidR="001842E5">
        <w:rPr>
          <w:rFonts w:ascii="Times New Roman" w:hAnsi="Times New Roman"/>
        </w:rPr>
        <w:instrText>ADDIN CSL_CITATION {"citationItems":[{"id":"ITEM-1","itemData":{"DOI":"10.1007/s00436-012-3226-x","ISSN":"09320113","PMID":"23239094","abstract":"Lymphatic filariasis (LF) is a disabling and disfiguring disease resulting from a mosquito-borne parasitic infection. It is a major public health problem in many countries with a warm climate. Research and control activities have mainly focused on LF in rural areas where it also has its major impact. However, with rapid and unplanned growth of cities in the developing world, there is a need also to consider LF transmission and control in urban settings. Here, we review currently available knowledge on urban LF and the environmental and socio-economic basis for its occurrence. Among the three parasite species causing LF in humans, only Wuchereria bancrofti has been documented to have a significant potential for urban transmission. This is primarily because one of its vectors, Culex quinquefasciatus, thrives and proliferates excessively in crowded city areas with poor sanitary, sewerage and drainage facilities. For this reason, urban LF also often shows a marked focality in distribution, with most cases clustered in areas inhabited by the less privileged city populations. More knowledge on urban LF is needed, in particular on its socio-economic and human behavioural context, on the potential for transmission in regions where other LF vector species predominate, and on rapid methods for identification and mapping of risk areas, to provide a strong evidence base for its control. © 2012 The Author(s).","author":[{"dropping-particle":"","family":"Simonsen","given":"Paul E.","non-dropping-particle":"","parse-names":false,"suffix":""},{"dropping-particle":"","family":"Mwakitalu","given":"Mbutolwe E.","non-dropping-particle":"","parse-names":false,"suffix":""}],"container-title":"Parasitology Research","id":"ITEM-1","issued":{"date-parts":[["2013"]]},"title":"Urban lymphatic filariasis","type":"article"},"uris":["http://www.mendeley.com/documents/?uuid=82e36ff7-894d-4960-a1d8-b9ff2809ced1"]}],"mendeley":{"formattedCitation":"(Simonsen &amp; Mwakitalu, 2013)","plainTextFormattedCitation":"(Simonsen &amp; Mwakitalu, 2013)","previouslyFormattedCitation":"(Simonsen &amp; Mwakitalu, 2013)"},"properties":{"noteIndex":0},"schema":"https://github.com/citation-style-language/schema/raw/master/csl-citation.json"}</w:instrText>
      </w:r>
      <w:r w:rsidR="00085647">
        <w:rPr>
          <w:rFonts w:ascii="Times New Roman" w:hAnsi="Times New Roman"/>
        </w:rPr>
        <w:fldChar w:fldCharType="separate"/>
      </w:r>
      <w:r w:rsidR="00085647" w:rsidRPr="00085647">
        <w:rPr>
          <w:rFonts w:ascii="Times New Roman" w:hAnsi="Times New Roman"/>
          <w:noProof/>
        </w:rPr>
        <w:t>(Simonsen &amp; Mwakitalu, 2013)</w:t>
      </w:r>
      <w:r w:rsidR="00085647">
        <w:rPr>
          <w:rFonts w:ascii="Times New Roman" w:hAnsi="Times New Roman"/>
        </w:rPr>
        <w:fldChar w:fldCharType="end"/>
      </w:r>
      <w:r>
        <w:rPr>
          <w:rFonts w:ascii="Times New Roman" w:hAnsi="Times New Roman"/>
        </w:rPr>
        <w:t>. Pekalongan City as a filariasis endemic area is still very potential as an area of ​​transmi</w:t>
      </w:r>
      <w:r w:rsidR="001842E5">
        <w:rPr>
          <w:rFonts w:ascii="Times New Roman" w:hAnsi="Times New Roman"/>
        </w:rPr>
        <w:t>ssion and spread of filariasis</w:t>
      </w:r>
      <w:r>
        <w:rPr>
          <w:rFonts w:ascii="Times New Roman" w:hAnsi="Times New Roman"/>
        </w:rPr>
        <w:t>. Remote sensing and geographic information systems are also increasingly being carried out, especially for mapping the prevalence of disease and modelling the distribution of hosts</w:t>
      </w:r>
      <w:r w:rsidR="001842E5">
        <w:rPr>
          <w:rFonts w:ascii="Times New Roman" w:hAnsi="Times New Roman"/>
        </w:rPr>
        <w:t xml:space="preserve"> </w:t>
      </w:r>
      <w:r w:rsidR="001842E5">
        <w:rPr>
          <w:rFonts w:ascii="Times New Roman" w:hAnsi="Times New Roman"/>
        </w:rPr>
        <w:fldChar w:fldCharType="begin" w:fldLock="1"/>
      </w:r>
      <w:r w:rsidR="001842E5">
        <w:rPr>
          <w:rFonts w:ascii="Times New Roman" w:hAnsi="Times New Roman"/>
        </w:rPr>
        <w:instrText>ADDIN CSL_CITATION {"citationItems":[{"id":"ITEM-1","itemData":{"DOI":"10.1089/vbz.2011.0713","ISSN":"15303667","PMID":"22256792","abstract":"Among various public health diseases, filariasis constitutes a major public health problem in India, wherein an estimated 553.7 million people are at risk of infection. The aim of this article is to present a spatial mapping and analysis of filariasis data over a 3-year period (2004-2007) from Karimnagar, Chittoor, East and West Godavari districts of Andhra Pradesh, India. The data include epidemiological and entomological studies (i.e., infection rate, infectivity rate, mosquito per man hour, and microfilaria rate). These parameters were customized on Geographical Information System (GIS) platform and developed filaria monitoring visualization system (FMVS) for identifying the endemic/risk areas of filariasis among these four districts. GIS map for filariasis transmission from the study areas was created and stratified into different spatial entities like low, medium, and high risk zones. On the basis of the data and FMVS maps, it was demonstrated that filariasis remained unevenly distributed within the districts. Balancing the intervention coverage in different villages with overall mass drug administration and continued promotion of the proper use of control measures are necessary for further reduction of filarial cases in these districts. © Copyright 2012, Mary Ann Liebert, Inc. 2012.","author":[{"dropping-particle":"","family":"Upadhyayula","given":"Suryanaryana Murty","non-dropping-particle":"","parse-names":false,"suffix":""},{"dropping-particle":"","family":"Mutheneni","given":"Srinivasa Rao","non-dropping-particle":"","parse-names":false,"suffix":""},{"dropping-particle":"","family":"Kumaraswamy","given":"Sriram","non-dropping-particle":"","parse-names":false,"suffix":""},{"dropping-particle":"","family":"Kadiri","given":"Madhusudhan Rao","non-dropping-particle":"","parse-names":false,"suffix":""},{"dropping-particle":"","family":"Pabbisetty","given":"Sampath Kumar","non-dropping-particle":"","parse-names":false,"suffix":""},{"dropping-particle":"","family":"Yellepeddi","given":"Venkata Suryanarayana Murthy","non-dropping-particle":"","parse-names":false,"suffix":""}],"container-title":"Vector-Borne and Zoonotic Diseases","id":"ITEM-1","issued":{"date-parts":[["2012"]]},"title":"Filaria monitoring visualization system: A geographical information system-based application to manage lymphatic filariasis in Andhra Pradesh, India","type":"article-journal"},"uris":["http://www.mendeley.com/documents/?uuid=7c21f305-4874-4a7a-9a65-9c8cae24dc2b"]}],"mendeley":{"formattedCitation":"(Upadhyayula et al., 2012)","plainTextFormattedCitation":"(Upadhyayula et al., 2012)","previouslyFormattedCitation":"(Upadhyayula et al., 2012)"},"properties":{"noteIndex":0},"schema":"https://github.com/citation-style-language/schema/raw/master/csl-citation.json"}</w:instrText>
      </w:r>
      <w:r w:rsidR="001842E5">
        <w:rPr>
          <w:rFonts w:ascii="Times New Roman" w:hAnsi="Times New Roman"/>
        </w:rPr>
        <w:fldChar w:fldCharType="separate"/>
      </w:r>
      <w:r w:rsidR="001842E5" w:rsidRPr="001842E5">
        <w:rPr>
          <w:rFonts w:ascii="Times New Roman" w:hAnsi="Times New Roman"/>
          <w:noProof/>
        </w:rPr>
        <w:t>(Upadhyayula et al., 2012)</w:t>
      </w:r>
      <w:r w:rsidR="001842E5">
        <w:rPr>
          <w:rFonts w:ascii="Times New Roman" w:hAnsi="Times New Roman"/>
        </w:rPr>
        <w:fldChar w:fldCharType="end"/>
      </w:r>
      <w:r>
        <w:rPr>
          <w:rFonts w:ascii="Times New Roman" w:hAnsi="Times New Roman"/>
        </w:rPr>
        <w:t xml:space="preserve">. At the stage of adult mosquitoes need water, which in this case still associated with wetlands as an ecology of mosquitoes and diseases caused by vectors </w:t>
      </w:r>
      <w:r w:rsidR="001842E5">
        <w:rPr>
          <w:rFonts w:ascii="Times New Roman" w:hAnsi="Times New Roman"/>
        </w:rPr>
        <w:fldChar w:fldCharType="begin" w:fldLock="1"/>
      </w:r>
      <w:r w:rsidR="00EA1B5A">
        <w:rPr>
          <w:rFonts w:ascii="Times New Roman" w:hAnsi="Times New Roman"/>
        </w:rPr>
        <w:instrText>ADDIN CSL_CITATION {"citationItems":[{"id":"ITEM-1","itemData":{"DOI":"10.21608/eajbse.2009.16462","ISSN":"2090-0856","author":[{"dropping-particle":"","family":"Abdel-Hamid","given":"Yousrya","non-dropping-particle":"","parse-names":false,"suffix":""},{"dropping-particle":"","family":"Soliman","given":"Mohamed","non-dropping-particle":"","parse-names":false,"suffix":""},{"dropping-particle":"","family":"Allam","given":"Kamilia","non-dropping-particle":"","parse-names":false,"suffix":""}],"container-title":"Egyptian Academic Journal of Biological Sciences, E. Medical Entomology &amp; Parasitology","id":"ITEM-1","issued":{"date-parts":[["2009"]]},"title":"Spatial distribution and abundance of culicine mosquitoes in realtion to the risk of filariasis transmission in El Sharqiya Governorate, Egypt","type":"article-journal"},"uris":["http://www.mendeley.com/documents/?uuid=16f1a613-b488-4f7f-bb9b-09ae8881d37d"]}],"mendeley":{"formattedCitation":"(Abdel-Hamid et al., 2009)","plainTextFormattedCitation":"(Abdel-Hamid et al., 2009)","previouslyFormattedCitation":"(Abdel-Hamid et al., 2009)"},"properties":{"noteIndex":0},"schema":"https://github.com/citation-style-language/schema/raw/master/csl-citation.json"}</w:instrText>
      </w:r>
      <w:r w:rsidR="001842E5">
        <w:rPr>
          <w:rFonts w:ascii="Times New Roman" w:hAnsi="Times New Roman"/>
        </w:rPr>
        <w:fldChar w:fldCharType="separate"/>
      </w:r>
      <w:r w:rsidR="001842E5" w:rsidRPr="001842E5">
        <w:rPr>
          <w:rFonts w:ascii="Times New Roman" w:hAnsi="Times New Roman"/>
          <w:noProof/>
        </w:rPr>
        <w:t>(Abdel-Hamid et al., 2009)</w:t>
      </w:r>
      <w:r w:rsidR="001842E5">
        <w:rPr>
          <w:rFonts w:ascii="Times New Roman" w:hAnsi="Times New Roman"/>
        </w:rPr>
        <w:fldChar w:fldCharType="end"/>
      </w:r>
      <w:r>
        <w:rPr>
          <w:rFonts w:ascii="Times New Roman" w:hAnsi="Times New Roman"/>
        </w:rPr>
        <w:t>. Apart from the factors that influence filariasis cases, the spatial relationship between filariasis cases and attributes is also needed in the framework of strategies to break filariasis transmission. This research was conducted to determine the degree of dependency of filariasis cases on risk factors for filariasis transmission.</w:t>
      </w:r>
    </w:p>
    <w:p w:rsidR="00D80050" w:rsidRDefault="00B05B21">
      <w:pPr>
        <w:pStyle w:val="Section"/>
      </w:pPr>
      <w:r>
        <w:rPr>
          <w:lang w:val="en-US"/>
        </w:rPr>
        <w:t>Method</w:t>
      </w:r>
    </w:p>
    <w:p w:rsidR="00C9394F" w:rsidRDefault="00B05B21" w:rsidP="00230C27">
      <w:pPr>
        <w:jc w:val="both"/>
        <w:rPr>
          <w:rFonts w:ascii="Times New Roman" w:hAnsi="Times New Roman"/>
          <w:szCs w:val="22"/>
        </w:rPr>
      </w:pPr>
      <w:r w:rsidRPr="005A5177">
        <w:rPr>
          <w:rFonts w:ascii="Times New Roman" w:hAnsi="Times New Roman"/>
          <w:szCs w:val="22"/>
        </w:rPr>
        <w:t>The data used in this study is  2016 lymphatic filariasis case registered data from the Pekalongan</w:t>
      </w:r>
      <w:r w:rsidR="00C110ED">
        <w:rPr>
          <w:rFonts w:ascii="Times New Roman" w:hAnsi="Times New Roman"/>
          <w:szCs w:val="22"/>
        </w:rPr>
        <w:t xml:space="preserve"> of</w:t>
      </w:r>
      <w:r w:rsidR="00C110ED" w:rsidRPr="00C110ED">
        <w:rPr>
          <w:rFonts w:ascii="Times New Roman" w:hAnsi="Times New Roman"/>
          <w:szCs w:val="22"/>
        </w:rPr>
        <w:t xml:space="preserve"> </w:t>
      </w:r>
      <w:r w:rsidR="00C110ED" w:rsidRPr="005A5177">
        <w:rPr>
          <w:rFonts w:ascii="Times New Roman" w:hAnsi="Times New Roman"/>
          <w:szCs w:val="22"/>
        </w:rPr>
        <w:t>Health Office</w:t>
      </w:r>
      <w:r w:rsidRPr="005A5177">
        <w:rPr>
          <w:rFonts w:ascii="Times New Roman" w:hAnsi="Times New Roman"/>
          <w:szCs w:val="22"/>
        </w:rPr>
        <w:t xml:space="preserve">, Central Java Province. Geocoding method is done by using GPS to plot the location of lymphatic filariasis cases. </w:t>
      </w:r>
      <w:r w:rsidR="003D4111" w:rsidRPr="003D4111">
        <w:rPr>
          <w:rFonts w:ascii="Times New Roman" w:eastAsia="Calibri" w:hAnsi="Times New Roman"/>
          <w:szCs w:val="22"/>
          <w:lang w:val="en-US"/>
        </w:rPr>
        <w:t xml:space="preserve">Disease mapping </w:t>
      </w:r>
      <w:r w:rsidR="009825F5" w:rsidRPr="003D4111">
        <w:rPr>
          <w:rFonts w:ascii="Times New Roman" w:hAnsi="Times New Roman"/>
          <w:szCs w:val="22"/>
        </w:rPr>
        <w:t xml:space="preserve">of lymphatic filariasis </w:t>
      </w:r>
      <w:r w:rsidR="003D4111" w:rsidRPr="003D4111">
        <w:rPr>
          <w:rFonts w:ascii="Times New Roman" w:eastAsia="Calibri" w:hAnsi="Times New Roman"/>
          <w:szCs w:val="22"/>
          <w:lang w:val="en-US"/>
        </w:rPr>
        <w:t xml:space="preserve">outbreaks </w:t>
      </w:r>
      <w:r w:rsidR="003D4111">
        <w:rPr>
          <w:rFonts w:ascii="Times New Roman" w:eastAsia="Calibri" w:hAnsi="Times New Roman"/>
          <w:szCs w:val="22"/>
          <w:lang w:val="en-US"/>
        </w:rPr>
        <w:t>used</w:t>
      </w:r>
      <w:r w:rsidR="009825F5" w:rsidRPr="003D4111">
        <w:rPr>
          <w:rFonts w:ascii="Times New Roman" w:hAnsi="Times New Roman"/>
          <w:szCs w:val="22"/>
        </w:rPr>
        <w:t xml:space="preserve"> geocoding method, which </w:t>
      </w:r>
      <w:r w:rsidR="003D4111" w:rsidRPr="003D4111">
        <w:rPr>
          <w:rFonts w:ascii="Times New Roman" w:hAnsi="Times New Roman"/>
          <w:szCs w:val="22"/>
        </w:rPr>
        <w:t>is statistical data converted into georeferenced data</w:t>
      </w:r>
      <w:r w:rsidR="009825F5" w:rsidRPr="009825F5">
        <w:rPr>
          <w:rFonts w:ascii="Times New Roman" w:hAnsi="Times New Roman"/>
          <w:szCs w:val="22"/>
        </w:rPr>
        <w:t>. The register data were obtained from Health Office in the form of clinical and chronic cases of sufferers and the finger blood survey that had been carried out.</w:t>
      </w:r>
    </w:p>
    <w:p w:rsidR="00C9394F" w:rsidRDefault="00C9394F" w:rsidP="005A5177">
      <w:pPr>
        <w:rPr>
          <w:rFonts w:ascii="Times New Roman" w:hAnsi="Times New Roman"/>
          <w:szCs w:val="22"/>
        </w:rPr>
      </w:pPr>
    </w:p>
    <w:p w:rsidR="00E472FC" w:rsidRDefault="00E472FC" w:rsidP="00230C27">
      <w:pPr>
        <w:jc w:val="both"/>
        <w:rPr>
          <w:rFonts w:ascii="Times New Roman" w:hAnsi="Times New Roman"/>
          <w:szCs w:val="22"/>
        </w:rPr>
      </w:pPr>
      <w:r w:rsidRPr="00E472FC">
        <w:rPr>
          <w:rFonts w:ascii="Times New Roman" w:hAnsi="Times New Roman"/>
          <w:szCs w:val="22"/>
        </w:rPr>
        <w:t xml:space="preserve">Mapping of filariasis incidents was carried out to </w:t>
      </w:r>
      <w:r>
        <w:rPr>
          <w:rFonts w:ascii="Times New Roman" w:hAnsi="Times New Roman"/>
          <w:szCs w:val="22"/>
        </w:rPr>
        <w:t>pinpoint</w:t>
      </w:r>
      <w:r w:rsidRPr="00E472FC">
        <w:rPr>
          <w:rFonts w:ascii="Times New Roman" w:hAnsi="Times New Roman"/>
          <w:szCs w:val="22"/>
        </w:rPr>
        <w:t xml:space="preserve"> the location of the cases based on the address of the patient</w:t>
      </w:r>
      <w:r>
        <w:rPr>
          <w:rFonts w:ascii="Times New Roman" w:hAnsi="Times New Roman"/>
          <w:szCs w:val="22"/>
        </w:rPr>
        <w:t>s</w:t>
      </w:r>
      <w:r w:rsidRPr="00E472FC">
        <w:rPr>
          <w:rFonts w:ascii="Times New Roman" w:hAnsi="Times New Roman"/>
          <w:szCs w:val="22"/>
        </w:rPr>
        <w:t xml:space="preserve"> and their coordinates. The coordinates were recorded using </w:t>
      </w:r>
      <w:r w:rsidR="00EF32E5">
        <w:rPr>
          <w:rFonts w:ascii="Times New Roman" w:hAnsi="Times New Roman"/>
          <w:szCs w:val="22"/>
        </w:rPr>
        <w:t xml:space="preserve">Microsoft </w:t>
      </w:r>
      <w:r w:rsidRPr="00E472FC">
        <w:rPr>
          <w:rFonts w:ascii="Times New Roman" w:hAnsi="Times New Roman"/>
          <w:szCs w:val="22"/>
        </w:rPr>
        <w:t>excel which were then imported into the ArcGIS software for further analysis.</w:t>
      </w:r>
    </w:p>
    <w:p w:rsidR="00D82E8F" w:rsidRDefault="00D82E8F" w:rsidP="005A5177">
      <w:pPr>
        <w:jc w:val="both"/>
        <w:rPr>
          <w:rFonts w:ascii="Times New Roman" w:hAnsi="Times New Roman"/>
          <w:szCs w:val="22"/>
        </w:rPr>
      </w:pPr>
    </w:p>
    <w:p w:rsidR="00EF32E5" w:rsidRPr="00EF32E5" w:rsidRDefault="00E472FC" w:rsidP="00EF32E5">
      <w:pPr>
        <w:autoSpaceDE w:val="0"/>
        <w:autoSpaceDN w:val="0"/>
        <w:adjustRightInd w:val="0"/>
        <w:jc w:val="both"/>
        <w:rPr>
          <w:rFonts w:ascii="Times New Roman" w:eastAsia="Calibri" w:hAnsi="Times New Roman"/>
          <w:color w:val="000000"/>
          <w:szCs w:val="22"/>
          <w:lang w:val="en-US"/>
        </w:rPr>
      </w:pPr>
      <w:r w:rsidRPr="00EF32E5">
        <w:rPr>
          <w:rFonts w:ascii="Times New Roman" w:eastAsia="Calibri" w:hAnsi="Times New Roman"/>
          <w:szCs w:val="22"/>
          <w:lang w:val="en-US"/>
        </w:rPr>
        <w:t xml:space="preserve">Geographical information systems (GIS) and statistical analysis </w:t>
      </w:r>
      <w:r w:rsidR="00EF32E5" w:rsidRPr="00EF32E5">
        <w:rPr>
          <w:rFonts w:ascii="Times New Roman" w:eastAsia="Calibri" w:hAnsi="Times New Roman"/>
          <w:szCs w:val="22"/>
          <w:lang w:val="en-US"/>
        </w:rPr>
        <w:t>used</w:t>
      </w:r>
      <w:r w:rsidRPr="00EF32E5">
        <w:rPr>
          <w:rFonts w:ascii="Times New Roman" w:eastAsia="Calibri" w:hAnsi="Times New Roman"/>
          <w:szCs w:val="22"/>
          <w:lang w:val="en-US"/>
        </w:rPr>
        <w:t xml:space="preserve"> to detect the clustering of cases and link the clustering dynamics with geographical locations that carry certain for the sources of infection (e.g., mosquito breeding sites) and for the spread of infection (e.g., vector exposure)</w:t>
      </w:r>
      <w:r w:rsidR="00EF32E5" w:rsidRPr="00EF32E5">
        <w:rPr>
          <w:rFonts w:ascii="Times New Roman" w:eastAsia="Calibri" w:hAnsi="Times New Roman"/>
          <w:szCs w:val="22"/>
          <w:lang w:val="en-US"/>
        </w:rPr>
        <w:t xml:space="preserve">. </w:t>
      </w:r>
      <w:r w:rsidR="00EF32E5" w:rsidRPr="00EF32E5">
        <w:rPr>
          <w:rFonts w:ascii="Times New Roman" w:eastAsia="Calibri" w:hAnsi="Times New Roman"/>
          <w:color w:val="000000"/>
          <w:szCs w:val="22"/>
          <w:lang w:val="en-US"/>
        </w:rPr>
        <w:t>Spatial autocorrelation refers to the degree of the association between the spatial location of a testing variable and its neighbors.</w:t>
      </w:r>
      <w:r w:rsidR="00EF32E5" w:rsidRPr="00EF32E5">
        <w:rPr>
          <w:rFonts w:ascii="Times New Roman" w:eastAsia="Calibri" w:hAnsi="Times New Roman"/>
          <w:color w:val="000066"/>
          <w:szCs w:val="22"/>
          <w:lang w:val="en-US"/>
        </w:rPr>
        <w:t xml:space="preserve"> </w:t>
      </w:r>
      <w:r w:rsidR="00EF32E5" w:rsidRPr="00EF32E5">
        <w:rPr>
          <w:rFonts w:ascii="Times New Roman" w:eastAsia="Calibri" w:hAnsi="Times New Roman"/>
          <w:color w:val="000000"/>
          <w:szCs w:val="22"/>
          <w:lang w:val="en-US"/>
        </w:rPr>
        <w:t>There are spatial autocorrelations while the values of the variable are interrelated spatially, which also means there are spatial patterns to those correlations.</w:t>
      </w:r>
      <w:r w:rsidR="00EF32E5" w:rsidRPr="00EF32E5">
        <w:rPr>
          <w:rFonts w:ascii="Times New Roman" w:eastAsia="Calibri" w:hAnsi="Times New Roman"/>
          <w:color w:val="000066"/>
          <w:szCs w:val="22"/>
          <w:lang w:val="en-US"/>
        </w:rPr>
        <w:t xml:space="preserve"> </w:t>
      </w:r>
      <w:r w:rsidR="00EF32E5" w:rsidRPr="00EF32E5">
        <w:rPr>
          <w:rFonts w:ascii="Times New Roman" w:eastAsia="Calibri" w:hAnsi="Times New Roman"/>
          <w:color w:val="000000"/>
          <w:szCs w:val="22"/>
          <w:lang w:val="en-US"/>
        </w:rPr>
        <w:t>In this study, we determined the spatial autocorrelations used Moran-I as a spatial risk index to identify significant spatial patterns, including clustering and outliers.</w:t>
      </w:r>
      <w:r w:rsidR="00EF32E5" w:rsidRPr="00EF32E5">
        <w:rPr>
          <w:rFonts w:ascii="Times New Roman" w:eastAsia="Calibri" w:hAnsi="Times New Roman"/>
          <w:color w:val="000066"/>
          <w:szCs w:val="22"/>
          <w:lang w:val="en-US"/>
        </w:rPr>
        <w:t xml:space="preserve"> </w:t>
      </w:r>
      <w:r w:rsidR="00EF32E5" w:rsidRPr="00EF32E5">
        <w:rPr>
          <w:rFonts w:ascii="Times New Roman" w:eastAsia="Calibri" w:hAnsi="Times New Roman"/>
          <w:color w:val="000000"/>
          <w:szCs w:val="22"/>
          <w:lang w:val="en-US"/>
        </w:rPr>
        <w:t>The definition of a Moran’s Index is:</w:t>
      </w:r>
    </w:p>
    <w:p w:rsidR="00EF32E5" w:rsidRPr="00EF32E5" w:rsidRDefault="00EF32E5" w:rsidP="00EF32E5">
      <w:pPr>
        <w:autoSpaceDE w:val="0"/>
        <w:autoSpaceDN w:val="0"/>
        <w:adjustRightInd w:val="0"/>
        <w:jc w:val="both"/>
        <w:rPr>
          <w:rFonts w:ascii="Times New Roman" w:eastAsia="Calibri" w:hAnsi="Times New Roman"/>
          <w:color w:val="000000"/>
          <w:szCs w:val="22"/>
          <w:lang w:val="en-US"/>
        </w:rPr>
      </w:pPr>
    </w:p>
    <w:p w:rsidR="00EF32E5" w:rsidRDefault="00A15543" w:rsidP="005C2DC7">
      <w:pPr>
        <w:autoSpaceDE w:val="0"/>
        <w:autoSpaceDN w:val="0"/>
        <w:adjustRightInd w:val="0"/>
        <w:ind w:left="2970"/>
        <w:jc w:val="center"/>
        <w:rPr>
          <w:rFonts w:ascii="Times New Roman" w:hAnsi="Times New Roman"/>
          <w:szCs w:val="22"/>
        </w:rPr>
      </w:pPr>
      <w:r>
        <w:rPr>
          <w:noProof/>
          <w:lang w:val="en-US"/>
        </w:rPr>
        <w:drawing>
          <wp:inline distT="0" distB="0" distL="0" distR="0" wp14:anchorId="2BAB3395" wp14:editId="61E69FB0">
            <wp:extent cx="1754372" cy="47017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62722" cy="472410"/>
                    </a:xfrm>
                    <a:prstGeom prst="rect">
                      <a:avLst/>
                    </a:prstGeom>
                  </pic:spPr>
                </pic:pic>
              </a:graphicData>
            </a:graphic>
          </wp:inline>
        </w:drawing>
      </w:r>
      <w:r w:rsidR="00EB7E9C">
        <w:rPr>
          <w:rFonts w:ascii="Times New Roman" w:hAnsi="Times New Roman"/>
          <w:szCs w:val="22"/>
        </w:rPr>
        <w:t xml:space="preserve">                                       </w:t>
      </w:r>
      <w:r w:rsidR="005C2DC7">
        <w:rPr>
          <w:rFonts w:ascii="Times New Roman" w:hAnsi="Times New Roman"/>
          <w:szCs w:val="22"/>
        </w:rPr>
        <w:t xml:space="preserve">               </w:t>
      </w:r>
      <w:r w:rsidR="00EB7E9C">
        <w:rPr>
          <w:rFonts w:ascii="Times New Roman" w:hAnsi="Times New Roman"/>
          <w:szCs w:val="22"/>
        </w:rPr>
        <w:t xml:space="preserve">  (1)</w:t>
      </w:r>
    </w:p>
    <w:p w:rsidR="00A15543" w:rsidRPr="00A15543" w:rsidRDefault="00A15543" w:rsidP="00A15543">
      <w:pPr>
        <w:autoSpaceDE w:val="0"/>
        <w:autoSpaceDN w:val="0"/>
        <w:adjustRightInd w:val="0"/>
        <w:jc w:val="both"/>
        <w:rPr>
          <w:rFonts w:ascii="Times New Roman" w:eastAsia="Calibri" w:hAnsi="Times New Roman"/>
          <w:sz w:val="24"/>
          <w:szCs w:val="24"/>
          <w:lang w:val="en-US"/>
        </w:rPr>
      </w:pPr>
      <w:r w:rsidRPr="00A15543">
        <w:rPr>
          <w:rFonts w:ascii="Times New Roman" w:eastAsia="Calibri" w:hAnsi="Times New Roman"/>
          <w:sz w:val="24"/>
          <w:szCs w:val="24"/>
          <w:lang w:val="en-US"/>
        </w:rPr>
        <w:t>where N is the sample size, X is the mean of the variable, Xi is</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the value of the variable at a particular location i, Xj is the variable</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value at location j, and Wij is a spatial weight indexing the location</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 xml:space="preserve">of i relative to j. The value of this statistic is scored between </w:t>
      </w:r>
      <w:r w:rsidR="007A574C">
        <w:rPr>
          <w:rFonts w:ascii="Times New Roman" w:eastAsia="Calibri" w:hAnsi="Times New Roman"/>
          <w:sz w:val="24"/>
          <w:szCs w:val="24"/>
          <w:lang w:val="en-US"/>
        </w:rPr>
        <w:t>-</w:t>
      </w:r>
      <w:r w:rsidRPr="00A15543">
        <w:rPr>
          <w:rFonts w:ascii="Times New Roman" w:eastAsia="Calibri" w:hAnsi="Times New Roman"/>
          <w:sz w:val="24"/>
          <w:szCs w:val="24"/>
          <w:lang w:val="en-US"/>
        </w:rPr>
        <w:t>1</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 xml:space="preserve">and 1. A score </w:t>
      </w:r>
      <w:r w:rsidRPr="00A15543">
        <w:rPr>
          <w:rFonts w:ascii="Times New Roman" w:eastAsia="Calibri" w:hAnsi="Times New Roman"/>
          <w:sz w:val="24"/>
          <w:szCs w:val="24"/>
          <w:lang w:val="en-US"/>
        </w:rPr>
        <w:lastRenderedPageBreak/>
        <w:t>close to 1 represents positive autocorrelation and</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 xml:space="preserve">townships that may be hot spots. A score near </w:t>
      </w:r>
      <w:r w:rsidR="007A574C">
        <w:rPr>
          <w:rFonts w:ascii="Times New Roman" w:eastAsia="Calibri" w:hAnsi="Times New Roman"/>
          <w:sz w:val="24"/>
          <w:szCs w:val="24"/>
          <w:lang w:val="en-US"/>
        </w:rPr>
        <w:t>-</w:t>
      </w:r>
      <w:r w:rsidRPr="00A15543">
        <w:rPr>
          <w:rFonts w:ascii="Times New Roman" w:eastAsia="Calibri" w:hAnsi="Times New Roman"/>
          <w:sz w:val="24"/>
          <w:szCs w:val="24"/>
          <w:lang w:val="en-US"/>
        </w:rPr>
        <w:t>1 shows negative</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autocorrelation, indicating that the values of neighboring areas are</w:t>
      </w:r>
    </w:p>
    <w:p w:rsidR="005A5177" w:rsidRPr="008D6562" w:rsidRDefault="00A15543" w:rsidP="00A15543">
      <w:pPr>
        <w:autoSpaceDE w:val="0"/>
        <w:autoSpaceDN w:val="0"/>
        <w:adjustRightInd w:val="0"/>
        <w:jc w:val="both"/>
        <w:rPr>
          <w:rFonts w:ascii="Times New Roman" w:hAnsi="Times New Roman"/>
          <w:sz w:val="24"/>
          <w:szCs w:val="24"/>
          <w:lang w:val="en-US"/>
        </w:rPr>
      </w:pPr>
      <w:r w:rsidRPr="00A15543">
        <w:rPr>
          <w:rFonts w:ascii="Times New Roman" w:eastAsia="Calibri" w:hAnsi="Times New Roman"/>
          <w:sz w:val="24"/>
          <w:szCs w:val="24"/>
          <w:lang w:val="en-US"/>
        </w:rPr>
        <w:t>opposite that of the township being examined. The significance of</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Moran’s I is evaluated by using a Z score and p-value generated by</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random permutation. The null hypothesis states that there is no</w:t>
      </w:r>
      <w:r>
        <w:rPr>
          <w:rFonts w:ascii="Times New Roman" w:eastAsia="Calibri" w:hAnsi="Times New Roman"/>
          <w:sz w:val="24"/>
          <w:szCs w:val="24"/>
          <w:lang w:val="en-US"/>
        </w:rPr>
        <w:t xml:space="preserve"> </w:t>
      </w:r>
      <w:r w:rsidRPr="00A15543">
        <w:rPr>
          <w:rFonts w:ascii="Times New Roman" w:eastAsia="Calibri" w:hAnsi="Times New Roman"/>
          <w:sz w:val="24"/>
          <w:szCs w:val="24"/>
          <w:lang w:val="en-US"/>
        </w:rPr>
        <w:t>spatial autocorrelation for the variable within the geographic area.</w:t>
      </w:r>
    </w:p>
    <w:p w:rsidR="008D6562" w:rsidRDefault="008D6562">
      <w:pPr>
        <w:pStyle w:val="BodytextIndented"/>
        <w:ind w:left="440" w:hangingChars="200" w:hanging="440"/>
        <w:rPr>
          <w:rFonts w:ascii="Times New Roman" w:hAnsi="Times New Roman"/>
          <w:szCs w:val="24"/>
        </w:rPr>
      </w:pPr>
    </w:p>
    <w:p w:rsidR="00D80050" w:rsidRDefault="00B05B21">
      <w:pPr>
        <w:pStyle w:val="Section"/>
        <w:rPr>
          <w:lang w:val="en-US"/>
        </w:rPr>
      </w:pPr>
      <w:r>
        <w:rPr>
          <w:lang w:val="en-US"/>
        </w:rPr>
        <w:t>Result</w:t>
      </w:r>
      <w:r w:rsidR="00077E80">
        <w:rPr>
          <w:lang w:val="en-US"/>
        </w:rPr>
        <w:t xml:space="preserve"> and Discussion</w:t>
      </w:r>
    </w:p>
    <w:p w:rsidR="00D80050" w:rsidRPr="00077E80" w:rsidRDefault="00B05B21">
      <w:pPr>
        <w:pStyle w:val="Subsection"/>
        <w:rPr>
          <w:i/>
        </w:rPr>
      </w:pPr>
      <w:r w:rsidRPr="00077E80">
        <w:rPr>
          <w:i/>
        </w:rPr>
        <w:t>Spatial distribution of filariasis cases</w:t>
      </w:r>
    </w:p>
    <w:p w:rsidR="00836BE1" w:rsidRPr="00836BE1" w:rsidRDefault="00836BE1" w:rsidP="00836BE1">
      <w:pPr>
        <w:pStyle w:val="Section"/>
        <w:numPr>
          <w:ilvl w:val="0"/>
          <w:numId w:val="0"/>
        </w:numPr>
        <w:jc w:val="both"/>
        <w:rPr>
          <w:b w:val="0"/>
        </w:rPr>
      </w:pPr>
      <w:r w:rsidRPr="00836BE1">
        <w:rPr>
          <w:b w:val="0"/>
        </w:rPr>
        <w:t>Figure 1 and 2 illustrates the spatial distribution of the risk of lymphatic Filariasis transmission. The spread of risk of transmission lies between the City and Pekalongan Regency and spreads outward from the epidemic center of lymphatic Filariasis. Endemicity of lymphatic filariasis in Pekalongan has been demonstrated both qualitatively and quantitatively. Qualitatively it is based on the results of the finger blood survey conducted by the City Health Office and Pekalongan District which states that in some regions it is declared an endemic area because the microfilariae level (mF rate) reaches 1% or more. While quantitatively it has been proven that the prevalence of clinical and chronic cases of lymphatic filariasis has a spatial structure with cluster patterns.</w:t>
      </w:r>
    </w:p>
    <w:p w:rsidR="00836BE1" w:rsidRPr="00836BE1" w:rsidRDefault="00836BE1" w:rsidP="00836BE1">
      <w:pPr>
        <w:pStyle w:val="Section"/>
        <w:numPr>
          <w:ilvl w:val="0"/>
          <w:numId w:val="0"/>
        </w:numPr>
        <w:jc w:val="both"/>
        <w:rPr>
          <w:b w:val="0"/>
        </w:rPr>
      </w:pPr>
      <w:r w:rsidRPr="00836BE1">
        <w:rPr>
          <w:b w:val="0"/>
        </w:rPr>
        <w:t xml:space="preserve">Regions that are predicted to experience transmission risk increases for Pekalongan City, namely North Pekalongan District, Pekalongan Barat and Pekalongan Selatan. While for Pekalongan Regency are Wiradesa Subdistrict, Tirto, Kedungwuni, Kesesi, Bojong, Karangdadap, Sragi and Kajen. These areas are located in areas that are relatively flat and are urban areas. </w:t>
      </w:r>
    </w:p>
    <w:p w:rsidR="00D80050" w:rsidRDefault="00D80050">
      <w:pPr>
        <w:rPr>
          <w:rStyle w:val="fontstyle21"/>
          <w:color w:val="FF0000"/>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3008"/>
        <w:gridCol w:w="340"/>
        <w:gridCol w:w="2997"/>
      </w:tblGrid>
      <w:tr w:rsidR="008451F9" w:rsidRPr="008451F9" w:rsidTr="008451F9">
        <w:trPr>
          <w:trHeight w:val="3673"/>
          <w:jc w:val="center"/>
        </w:trPr>
        <w:tc>
          <w:tcPr>
            <w:tcW w:w="2996" w:type="dxa"/>
            <w:shd w:val="clear" w:color="auto" w:fill="auto"/>
          </w:tcPr>
          <w:p w:rsidR="008451F9" w:rsidRPr="008451F9" w:rsidRDefault="008451F9" w:rsidP="008451F9">
            <w:pPr>
              <w:tabs>
                <w:tab w:val="left" w:pos="567"/>
              </w:tabs>
              <w:jc w:val="center"/>
              <w:rPr>
                <w:rFonts w:ascii="Times New Roman" w:hAnsi="Times New Roman"/>
                <w:color w:val="000000"/>
                <w:szCs w:val="22"/>
              </w:rPr>
            </w:pPr>
            <w:r>
              <w:rPr>
                <w:rFonts w:ascii="TimesNewRomanPSMT" w:hAnsi="TimesNewRomanPSMT"/>
                <w:noProof/>
                <w:color w:val="FF0000"/>
                <w:sz w:val="24"/>
                <w:szCs w:val="24"/>
                <w:lang w:val="en-US"/>
              </w:rPr>
              <w:drawing>
                <wp:inline distT="0" distB="0" distL="0" distR="0" wp14:anchorId="6789047E" wp14:editId="0E7E42A6">
                  <wp:extent cx="1773141" cy="2294654"/>
                  <wp:effectExtent l="0" t="0" r="0" b="0"/>
                  <wp:docPr id="5" name="Picture 5" descr="C:\Users\ASUS\Downloads\Kasus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Kasus 201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9188" cy="2302480"/>
                          </a:xfrm>
                          <a:prstGeom prst="rect">
                            <a:avLst/>
                          </a:prstGeom>
                          <a:noFill/>
                          <a:ln>
                            <a:noFill/>
                          </a:ln>
                        </pic:spPr>
                      </pic:pic>
                    </a:graphicData>
                  </a:graphic>
                </wp:inline>
              </w:drawing>
            </w:r>
          </w:p>
        </w:tc>
        <w:tc>
          <w:tcPr>
            <w:tcW w:w="340" w:type="dxa"/>
            <w:shd w:val="clear" w:color="auto" w:fill="auto"/>
          </w:tcPr>
          <w:p w:rsidR="008451F9" w:rsidRPr="008451F9" w:rsidRDefault="008451F9" w:rsidP="008451F9">
            <w:pPr>
              <w:tabs>
                <w:tab w:val="left" w:pos="567"/>
              </w:tabs>
              <w:jc w:val="center"/>
              <w:rPr>
                <w:rFonts w:ascii="Times New Roman" w:hAnsi="Times New Roman"/>
                <w:color w:val="000000"/>
                <w:szCs w:val="22"/>
              </w:rPr>
            </w:pPr>
          </w:p>
        </w:tc>
        <w:tc>
          <w:tcPr>
            <w:tcW w:w="2997" w:type="dxa"/>
            <w:shd w:val="clear" w:color="auto" w:fill="auto"/>
          </w:tcPr>
          <w:p w:rsidR="008451F9" w:rsidRDefault="008451F9" w:rsidP="008451F9">
            <w:pPr>
              <w:tabs>
                <w:tab w:val="left" w:pos="567"/>
              </w:tabs>
              <w:jc w:val="center"/>
              <w:rPr>
                <w:rFonts w:ascii="Times New Roman" w:hAnsi="Times New Roman"/>
                <w:color w:val="000000"/>
                <w:szCs w:val="22"/>
              </w:rPr>
            </w:pPr>
            <w:r>
              <w:rPr>
                <w:noProof/>
                <w:lang w:val="en-US"/>
              </w:rPr>
              <w:drawing>
                <wp:anchor distT="0" distB="0" distL="114300" distR="114300" simplePos="0" relativeHeight="251666432" behindDoc="1" locked="0" layoutInCell="1" allowOverlap="1" wp14:anchorId="1CCF8ADC" wp14:editId="610EE85F">
                  <wp:simplePos x="0" y="0"/>
                  <wp:positionH relativeFrom="column">
                    <wp:posOffset>-14274</wp:posOffset>
                  </wp:positionH>
                  <wp:positionV relativeFrom="paragraph">
                    <wp:posOffset>19685</wp:posOffset>
                  </wp:positionV>
                  <wp:extent cx="1775041" cy="2297927"/>
                  <wp:effectExtent l="0" t="0" r="0" b="7620"/>
                  <wp:wrapNone/>
                  <wp:docPr id="194" name="Picture 194" descr="r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r20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75041" cy="22979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Default="008451F9" w:rsidP="008451F9">
            <w:pPr>
              <w:tabs>
                <w:tab w:val="left" w:pos="567"/>
              </w:tabs>
              <w:jc w:val="center"/>
              <w:rPr>
                <w:rFonts w:ascii="Times New Roman" w:hAnsi="Times New Roman"/>
                <w:color w:val="000000"/>
                <w:szCs w:val="22"/>
              </w:rPr>
            </w:pPr>
          </w:p>
          <w:p w:rsidR="008451F9" w:rsidRPr="008451F9" w:rsidRDefault="008451F9" w:rsidP="008451F9">
            <w:pPr>
              <w:tabs>
                <w:tab w:val="left" w:pos="567"/>
              </w:tabs>
              <w:rPr>
                <w:rFonts w:ascii="Times New Roman" w:hAnsi="Times New Roman"/>
                <w:color w:val="000000"/>
                <w:szCs w:val="22"/>
              </w:rPr>
            </w:pPr>
          </w:p>
        </w:tc>
      </w:tr>
      <w:tr w:rsidR="008451F9" w:rsidRPr="008451F9" w:rsidTr="008451F9">
        <w:trPr>
          <w:trHeight w:val="649"/>
          <w:jc w:val="center"/>
        </w:trPr>
        <w:tc>
          <w:tcPr>
            <w:tcW w:w="2996" w:type="dxa"/>
            <w:shd w:val="clear" w:color="auto" w:fill="auto"/>
          </w:tcPr>
          <w:p w:rsidR="008451F9" w:rsidRPr="008451F9" w:rsidRDefault="008451F9" w:rsidP="003E05EE">
            <w:pPr>
              <w:tabs>
                <w:tab w:val="left" w:pos="567"/>
              </w:tabs>
              <w:spacing w:before="120"/>
              <w:jc w:val="both"/>
              <w:rPr>
                <w:rFonts w:ascii="Times New Roman" w:hAnsi="Times New Roman"/>
                <w:b/>
                <w:color w:val="000000"/>
                <w:szCs w:val="22"/>
              </w:rPr>
            </w:pPr>
            <w:r w:rsidRPr="008451F9">
              <w:rPr>
                <w:rFonts w:ascii="Times New Roman" w:hAnsi="Times New Roman"/>
                <w:b/>
                <w:color w:val="000000"/>
                <w:szCs w:val="22"/>
              </w:rPr>
              <w:t xml:space="preserve">Figure </w:t>
            </w:r>
            <w:r>
              <w:rPr>
                <w:rFonts w:ascii="Times New Roman" w:hAnsi="Times New Roman"/>
                <w:b/>
                <w:color w:val="000000"/>
                <w:szCs w:val="22"/>
              </w:rPr>
              <w:t>1</w:t>
            </w:r>
            <w:r w:rsidRPr="008451F9">
              <w:rPr>
                <w:rFonts w:ascii="Times New Roman" w:hAnsi="Times New Roman"/>
                <w:b/>
                <w:color w:val="000000"/>
                <w:szCs w:val="22"/>
              </w:rPr>
              <w:t xml:space="preserve">. </w:t>
            </w:r>
            <w:r w:rsidR="003E05EE">
              <w:rPr>
                <w:rFonts w:ascii="Times New Roman" w:hAnsi="Times New Roman"/>
              </w:rPr>
              <w:t>Map of spatial distribution of filariasis cases</w:t>
            </w:r>
          </w:p>
        </w:tc>
        <w:tc>
          <w:tcPr>
            <w:tcW w:w="340" w:type="dxa"/>
            <w:shd w:val="clear" w:color="auto" w:fill="auto"/>
          </w:tcPr>
          <w:p w:rsidR="008451F9" w:rsidRPr="008451F9" w:rsidRDefault="008451F9" w:rsidP="008451F9">
            <w:pPr>
              <w:tabs>
                <w:tab w:val="left" w:pos="567"/>
              </w:tabs>
              <w:spacing w:before="120"/>
              <w:jc w:val="both"/>
              <w:rPr>
                <w:rFonts w:ascii="Times New Roman" w:hAnsi="Times New Roman"/>
                <w:color w:val="000000"/>
                <w:szCs w:val="22"/>
              </w:rPr>
            </w:pPr>
          </w:p>
        </w:tc>
        <w:tc>
          <w:tcPr>
            <w:tcW w:w="2997" w:type="dxa"/>
            <w:shd w:val="clear" w:color="auto" w:fill="auto"/>
          </w:tcPr>
          <w:p w:rsidR="008451F9" w:rsidRPr="008451F9" w:rsidRDefault="008451F9" w:rsidP="003E05EE">
            <w:pPr>
              <w:tabs>
                <w:tab w:val="left" w:pos="567"/>
              </w:tabs>
              <w:jc w:val="both"/>
              <w:rPr>
                <w:rFonts w:ascii="Times New Roman" w:hAnsi="Times New Roman"/>
                <w:color w:val="000000"/>
                <w:szCs w:val="22"/>
              </w:rPr>
            </w:pPr>
            <w:r w:rsidRPr="008451F9">
              <w:rPr>
                <w:rFonts w:ascii="Times New Roman" w:hAnsi="Times New Roman"/>
                <w:b/>
                <w:color w:val="000000"/>
                <w:szCs w:val="22"/>
              </w:rPr>
              <w:t xml:space="preserve">Figure </w:t>
            </w:r>
            <w:r>
              <w:rPr>
                <w:rFonts w:ascii="Times New Roman" w:hAnsi="Times New Roman"/>
                <w:b/>
                <w:color w:val="000000"/>
                <w:szCs w:val="22"/>
              </w:rPr>
              <w:t>2</w:t>
            </w:r>
            <w:r w:rsidRPr="008451F9">
              <w:rPr>
                <w:rFonts w:ascii="Times New Roman" w:hAnsi="Times New Roman"/>
                <w:b/>
                <w:color w:val="000000"/>
                <w:szCs w:val="22"/>
              </w:rPr>
              <w:t xml:space="preserve">. </w:t>
            </w:r>
            <w:r w:rsidR="003E05EE" w:rsidRPr="003E05EE">
              <w:rPr>
                <w:rFonts w:ascii="Times New Roman" w:hAnsi="Times New Roman"/>
                <w:color w:val="000000"/>
                <w:szCs w:val="22"/>
              </w:rPr>
              <w:t>Map of lymphatic filariasis risk</w:t>
            </w:r>
            <w:r w:rsidR="003E05EE" w:rsidRPr="003E05EE">
              <w:rPr>
                <w:rFonts w:ascii="Times New Roman" w:hAnsi="Times New Roman"/>
                <w:b/>
                <w:color w:val="000000"/>
                <w:szCs w:val="22"/>
              </w:rPr>
              <w:t xml:space="preserve"> </w:t>
            </w:r>
          </w:p>
        </w:tc>
      </w:tr>
    </w:tbl>
    <w:p w:rsidR="008451F9" w:rsidRDefault="008451F9">
      <w:pPr>
        <w:spacing w:line="360" w:lineRule="auto"/>
        <w:jc w:val="center"/>
        <w:rPr>
          <w:rFonts w:ascii="Times New Roman" w:hAnsi="Times New Roman"/>
          <w:color w:val="FF0000"/>
          <w:lang w:val="en-US"/>
        </w:rPr>
      </w:pPr>
    </w:p>
    <w:p w:rsidR="00D80050" w:rsidRPr="00077E80" w:rsidRDefault="00CC6DE5">
      <w:pPr>
        <w:pStyle w:val="Subsection"/>
        <w:rPr>
          <w:i/>
        </w:rPr>
      </w:pPr>
      <w:r>
        <w:rPr>
          <w:i/>
        </w:rPr>
        <w:t xml:space="preserve">Spatial </w:t>
      </w:r>
      <w:r w:rsidR="00B05B21" w:rsidRPr="00077E80">
        <w:rPr>
          <w:i/>
        </w:rPr>
        <w:t>Autokorela</w:t>
      </w:r>
      <w:r>
        <w:rPr>
          <w:i/>
        </w:rPr>
        <w:t xml:space="preserve">tion </w:t>
      </w:r>
    </w:p>
    <w:p w:rsidR="00F47FB9" w:rsidRDefault="00F47FB9" w:rsidP="00077E80">
      <w:pPr>
        <w:jc w:val="both"/>
        <w:rPr>
          <w:rFonts w:ascii="Times New Roman" w:hAnsi="Times New Roman"/>
        </w:rPr>
      </w:pPr>
    </w:p>
    <w:p w:rsidR="00F47FB9" w:rsidRDefault="00F47FB9" w:rsidP="00F47FB9">
      <w:pPr>
        <w:jc w:val="both"/>
        <w:rPr>
          <w:rFonts w:ascii="Times New Roman" w:hAnsi="Times New Roman"/>
        </w:rPr>
      </w:pPr>
      <w:r>
        <w:rPr>
          <w:rFonts w:ascii="Times New Roman" w:hAnsi="Times New Roman"/>
        </w:rPr>
        <w:t xml:space="preserve">The results of statistical analysis using the </w:t>
      </w:r>
      <w:bookmarkStart w:id="0" w:name="_Hlk55401465"/>
      <w:r>
        <w:rPr>
          <w:rFonts w:ascii="Times New Roman" w:hAnsi="Times New Roman"/>
        </w:rPr>
        <w:t xml:space="preserve">nearest neighbourhood ratio </w:t>
      </w:r>
      <w:bookmarkEnd w:id="0"/>
      <w:r>
        <w:rPr>
          <w:rFonts w:ascii="Times New Roman" w:hAnsi="Times New Roman"/>
        </w:rPr>
        <w:t>method obtained an R value of 0.31, which means that the spatial distribution of filariasis cases in the study area forms a cluster pattern. The Z score shows a cluster pattern with a very significant statistical value. The Z score for the spatial pattern of lymphatic filariasis cases shows a very significant statistical value, namely -23.54</w:t>
      </w:r>
    </w:p>
    <w:tbl>
      <w:tblPr>
        <w:tblW w:w="7137" w:type="dxa"/>
        <w:jc w:val="center"/>
        <w:tblCellMar>
          <w:top w:w="40" w:type="dxa"/>
          <w:left w:w="0" w:type="dxa"/>
          <w:bottom w:w="40" w:type="dxa"/>
          <w:right w:w="0" w:type="dxa"/>
        </w:tblCellMar>
        <w:tblLook w:val="04A0" w:firstRow="1" w:lastRow="0" w:firstColumn="1" w:lastColumn="0" w:noHBand="0" w:noVBand="1"/>
      </w:tblPr>
      <w:tblGrid>
        <w:gridCol w:w="1457"/>
        <w:gridCol w:w="1450"/>
        <w:gridCol w:w="1600"/>
        <w:gridCol w:w="1350"/>
        <w:gridCol w:w="1280"/>
      </w:tblGrid>
      <w:tr w:rsidR="00F47FB9" w:rsidTr="00073FF2">
        <w:trPr>
          <w:jc w:val="center"/>
        </w:trPr>
        <w:tc>
          <w:tcPr>
            <w:tcW w:w="7137" w:type="dxa"/>
            <w:gridSpan w:val="5"/>
            <w:tcBorders>
              <w:bottom w:val="single" w:sz="4" w:space="0" w:color="auto"/>
            </w:tcBorders>
            <w:shd w:val="clear" w:color="auto" w:fill="auto"/>
          </w:tcPr>
          <w:p w:rsidR="00F47FB9" w:rsidRDefault="00F47FB9" w:rsidP="00073FF2">
            <w:pPr>
              <w:pStyle w:val="TableCaptionCentred"/>
              <w:rPr>
                <w:rFonts w:ascii="Times New Roman" w:hAnsi="Times New Roman"/>
                <w:b/>
              </w:rPr>
            </w:pPr>
            <w:r>
              <w:rPr>
                <w:rFonts w:ascii="Times New Roman" w:hAnsi="Times New Roman"/>
                <w:b/>
              </w:rPr>
              <w:lastRenderedPageBreak/>
              <w:t xml:space="preserve">Table </w:t>
            </w:r>
            <w:r>
              <w:rPr>
                <w:rFonts w:ascii="Times New Roman" w:hAnsi="Times New Roman"/>
                <w:b/>
                <w:lang w:val="en-US"/>
              </w:rPr>
              <w:t>1</w:t>
            </w:r>
            <w:r>
              <w:rPr>
                <w:rFonts w:ascii="Times New Roman" w:hAnsi="Times New Roman"/>
                <w:b/>
              </w:rPr>
              <w:t>.</w:t>
            </w:r>
            <w:r>
              <w:rPr>
                <w:rFonts w:ascii="Times New Roman" w:hAnsi="Times New Roman"/>
              </w:rPr>
              <w:t xml:space="preserve"> Results of spatial statistical analysis using the nearest neighbourhood ratio method.</w:t>
            </w:r>
          </w:p>
        </w:tc>
      </w:tr>
      <w:tr w:rsidR="00F47FB9" w:rsidTr="00073FF2">
        <w:trPr>
          <w:jc w:val="center"/>
        </w:trPr>
        <w:tc>
          <w:tcPr>
            <w:tcW w:w="1457" w:type="dxa"/>
            <w:tcBorders>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r>
              <w:rPr>
                <w:rFonts w:ascii="Times New Roman" w:hAnsi="Times New Roman"/>
                <w:b/>
                <w:szCs w:val="22"/>
              </w:rPr>
              <w:t>R</w:t>
            </w:r>
            <w:r>
              <w:rPr>
                <w:rFonts w:ascii="Times New Roman" w:hAnsi="Times New Roman"/>
                <w:b/>
                <w:i/>
                <w:szCs w:val="22"/>
              </w:rPr>
              <w:t>statistic</w:t>
            </w:r>
          </w:p>
        </w:tc>
        <w:tc>
          <w:tcPr>
            <w:tcW w:w="145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r>
              <w:rPr>
                <w:rFonts w:ascii="Times New Roman" w:hAnsi="Times New Roman"/>
                <w:b/>
                <w:szCs w:val="22"/>
              </w:rPr>
              <w:t>Z-score</w:t>
            </w:r>
          </w:p>
        </w:tc>
        <w:tc>
          <w:tcPr>
            <w:tcW w:w="160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r>
              <w:rPr>
                <w:rFonts w:ascii="Times New Roman" w:hAnsi="Times New Roman"/>
                <w:b/>
                <w:szCs w:val="22"/>
              </w:rPr>
              <w:t>P-value</w:t>
            </w:r>
          </w:p>
        </w:tc>
        <w:tc>
          <w:tcPr>
            <w:tcW w:w="135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r>
              <w:rPr>
                <w:rFonts w:ascii="Times New Roman" w:hAnsi="Times New Roman"/>
                <w:b/>
                <w:szCs w:val="22"/>
              </w:rPr>
              <w:t>R</w:t>
            </w:r>
            <w:r>
              <w:rPr>
                <w:rFonts w:ascii="Times New Roman" w:hAnsi="Times New Roman"/>
                <w:b/>
                <w:szCs w:val="22"/>
                <w:vertAlign w:val="subscript"/>
              </w:rPr>
              <w:t>obs</w:t>
            </w:r>
          </w:p>
        </w:tc>
        <w:tc>
          <w:tcPr>
            <w:tcW w:w="128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b/>
                <w:szCs w:val="22"/>
              </w:rPr>
            </w:pPr>
            <w:r>
              <w:rPr>
                <w:rFonts w:ascii="Times New Roman" w:hAnsi="Times New Roman"/>
                <w:b/>
                <w:szCs w:val="22"/>
              </w:rPr>
              <w:t>R</w:t>
            </w:r>
            <w:r>
              <w:rPr>
                <w:rFonts w:ascii="Times New Roman" w:hAnsi="Times New Roman"/>
                <w:b/>
                <w:szCs w:val="22"/>
                <w:vertAlign w:val="subscript"/>
              </w:rPr>
              <w:t>exp</w:t>
            </w:r>
          </w:p>
        </w:tc>
      </w:tr>
      <w:tr w:rsidR="00F47FB9" w:rsidTr="00073FF2">
        <w:trPr>
          <w:jc w:val="center"/>
        </w:trPr>
        <w:tc>
          <w:tcPr>
            <w:tcW w:w="1457"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rPr>
            </w:pPr>
            <w:r>
              <w:rPr>
                <w:rFonts w:ascii="Times New Roman" w:hAnsi="Times New Roman"/>
                <w:szCs w:val="22"/>
              </w:rPr>
              <w:t>0.31</w:t>
            </w:r>
          </w:p>
        </w:tc>
        <w:tc>
          <w:tcPr>
            <w:tcW w:w="145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lang w:val="en-US"/>
              </w:rPr>
            </w:pPr>
            <w:r>
              <w:rPr>
                <w:rFonts w:ascii="Times New Roman" w:hAnsi="Times New Roman"/>
                <w:szCs w:val="22"/>
              </w:rPr>
              <w:t>-23.5</w:t>
            </w:r>
            <w:r>
              <w:rPr>
                <w:rFonts w:ascii="Times New Roman" w:hAnsi="Times New Roman"/>
                <w:szCs w:val="22"/>
                <w:lang w:val="en-US"/>
              </w:rPr>
              <w:t>4</w:t>
            </w:r>
          </w:p>
        </w:tc>
        <w:tc>
          <w:tcPr>
            <w:tcW w:w="160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rPr>
            </w:pPr>
            <w:r>
              <w:rPr>
                <w:rFonts w:ascii="Times New Roman" w:hAnsi="Times New Roman"/>
                <w:szCs w:val="22"/>
              </w:rPr>
              <w:t>0.00</w:t>
            </w:r>
          </w:p>
        </w:tc>
        <w:tc>
          <w:tcPr>
            <w:tcW w:w="135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rPr>
            </w:pPr>
            <w:r>
              <w:rPr>
                <w:rFonts w:ascii="Times New Roman" w:hAnsi="Times New Roman"/>
                <w:szCs w:val="22"/>
              </w:rPr>
              <w:t>233.92</w:t>
            </w:r>
          </w:p>
        </w:tc>
        <w:tc>
          <w:tcPr>
            <w:tcW w:w="1280" w:type="dxa"/>
            <w:tcBorders>
              <w:top w:val="single" w:sz="4" w:space="0" w:color="auto"/>
              <w:bottom w:val="single" w:sz="4" w:space="0" w:color="auto"/>
            </w:tcBorders>
            <w:shd w:val="clear" w:color="auto" w:fill="auto"/>
          </w:tcPr>
          <w:p w:rsidR="00F47FB9" w:rsidRDefault="00F47FB9" w:rsidP="00073FF2">
            <w:pPr>
              <w:pStyle w:val="ListParagraph"/>
              <w:spacing w:line="360" w:lineRule="auto"/>
              <w:ind w:left="0"/>
              <w:jc w:val="center"/>
              <w:rPr>
                <w:rFonts w:ascii="Times New Roman" w:hAnsi="Times New Roman"/>
                <w:szCs w:val="22"/>
              </w:rPr>
            </w:pPr>
            <w:r>
              <w:rPr>
                <w:rFonts w:ascii="Times New Roman" w:hAnsi="Times New Roman"/>
                <w:szCs w:val="22"/>
              </w:rPr>
              <w:t>749.14</w:t>
            </w:r>
          </w:p>
        </w:tc>
      </w:tr>
    </w:tbl>
    <w:p w:rsidR="00F47FB9" w:rsidRDefault="00F47FB9" w:rsidP="00F47FB9">
      <w:pPr>
        <w:pStyle w:val="BodytextIndented"/>
        <w:ind w:firstLineChars="475" w:firstLine="1045"/>
        <w:rPr>
          <w:sz w:val="20"/>
          <w:szCs w:val="20"/>
        </w:rPr>
      </w:pPr>
      <w:r>
        <w:rPr>
          <w:rFonts w:ascii="Times New Roman" w:hAnsi="Times New Roman"/>
        </w:rPr>
        <w:t>Source: Spatial data analysis (2019)</w:t>
      </w:r>
    </w:p>
    <w:p w:rsidR="00F47FB9" w:rsidRDefault="00F47FB9" w:rsidP="00077E80">
      <w:pPr>
        <w:jc w:val="both"/>
        <w:rPr>
          <w:rFonts w:ascii="Times New Roman" w:hAnsi="Times New Roman"/>
        </w:rPr>
      </w:pPr>
    </w:p>
    <w:p w:rsidR="00D80050" w:rsidRDefault="00B05B21" w:rsidP="00077E80">
      <w:pPr>
        <w:jc w:val="both"/>
        <w:rPr>
          <w:rFonts w:ascii="Times New Roman" w:hAnsi="Times New Roman"/>
        </w:rPr>
      </w:pPr>
      <w:r>
        <w:rPr>
          <w:rFonts w:ascii="Times New Roman" w:hAnsi="Times New Roman"/>
        </w:rPr>
        <w:t>The similarity in the characteristics of the locations is done by calculating the different attributes of spatially adjacent points. The index that is often used to measure spatial autocorrelation in point distributions is the Moran's Index.</w:t>
      </w:r>
    </w:p>
    <w:p w:rsidR="00D80050" w:rsidRDefault="00D80050">
      <w:pPr>
        <w:jc w:val="both"/>
        <w:rPr>
          <w:rFonts w:ascii="Times New Roman" w:hAnsi="Times New Roman"/>
        </w:rPr>
      </w:pPr>
    </w:p>
    <w:tbl>
      <w:tblPr>
        <w:tblW w:w="0" w:type="auto"/>
        <w:jc w:val="center"/>
        <w:tblCellMar>
          <w:top w:w="40" w:type="dxa"/>
          <w:left w:w="0" w:type="dxa"/>
          <w:bottom w:w="40" w:type="dxa"/>
          <w:right w:w="0" w:type="dxa"/>
        </w:tblCellMar>
        <w:tblLook w:val="04A0" w:firstRow="1" w:lastRow="0" w:firstColumn="1" w:lastColumn="0" w:noHBand="0" w:noVBand="1"/>
      </w:tblPr>
      <w:tblGrid>
        <w:gridCol w:w="1424"/>
        <w:gridCol w:w="2552"/>
        <w:gridCol w:w="1186"/>
      </w:tblGrid>
      <w:tr w:rsidR="00D80050">
        <w:trPr>
          <w:jc w:val="center"/>
        </w:trPr>
        <w:tc>
          <w:tcPr>
            <w:tcW w:w="5162" w:type="dxa"/>
            <w:gridSpan w:val="3"/>
            <w:tcBorders>
              <w:bottom w:val="single" w:sz="4" w:space="0" w:color="auto"/>
            </w:tcBorders>
            <w:shd w:val="clear" w:color="auto" w:fill="auto"/>
          </w:tcPr>
          <w:p w:rsidR="00D80050" w:rsidRDefault="00B05B21">
            <w:pPr>
              <w:pStyle w:val="TableCaptionCentred"/>
              <w:rPr>
                <w:rFonts w:ascii="Times New Roman" w:hAnsi="Times New Roman"/>
              </w:rPr>
            </w:pPr>
            <w:r>
              <w:rPr>
                <w:rFonts w:ascii="Times New Roman" w:hAnsi="Times New Roman"/>
                <w:b/>
              </w:rPr>
              <w:t>Table 2.</w:t>
            </w:r>
            <w:r>
              <w:rPr>
                <w:rFonts w:ascii="Times New Roman" w:hAnsi="Times New Roman"/>
              </w:rPr>
              <w:t xml:space="preserve"> </w:t>
            </w:r>
            <w:r>
              <w:rPr>
                <w:rFonts w:ascii="Times New Roman" w:hAnsi="Times New Roman"/>
                <w:lang w:val="en-US"/>
              </w:rPr>
              <w:t>Spatial statistic using Moran’s I</w:t>
            </w:r>
          </w:p>
        </w:tc>
      </w:tr>
      <w:tr w:rsidR="00D80050">
        <w:trPr>
          <w:jc w:val="center"/>
        </w:trPr>
        <w:tc>
          <w:tcPr>
            <w:tcW w:w="1424" w:type="dxa"/>
            <w:shd w:val="clear" w:color="auto" w:fill="auto"/>
          </w:tcPr>
          <w:p w:rsidR="00D80050" w:rsidRDefault="00B05B21">
            <w:pPr>
              <w:pStyle w:val="BodyChar"/>
              <w:spacing w:before="40" w:after="40"/>
              <w:jc w:val="center"/>
              <w:rPr>
                <w:rFonts w:ascii="Times New Roman" w:hAnsi="Times New Roman"/>
                <w:b/>
                <w:lang w:val="en-US"/>
              </w:rPr>
            </w:pPr>
            <w:r>
              <w:rPr>
                <w:rFonts w:ascii="Times New Roman" w:hAnsi="Times New Roman"/>
                <w:b/>
                <w:lang w:val="en-US"/>
              </w:rPr>
              <w:t>Moran’s I</w:t>
            </w:r>
          </w:p>
        </w:tc>
        <w:tc>
          <w:tcPr>
            <w:tcW w:w="2552" w:type="dxa"/>
            <w:tcBorders>
              <w:top w:val="single" w:sz="4" w:space="0" w:color="auto"/>
              <w:bottom w:val="single" w:sz="4" w:space="0" w:color="auto"/>
            </w:tcBorders>
            <w:shd w:val="clear" w:color="auto" w:fill="auto"/>
          </w:tcPr>
          <w:p w:rsidR="00D80050" w:rsidRDefault="00B05B21">
            <w:pPr>
              <w:spacing w:line="360" w:lineRule="auto"/>
              <w:jc w:val="center"/>
              <w:rPr>
                <w:rFonts w:ascii="Times New Roman" w:hAnsi="Times New Roman"/>
                <w:b/>
                <w:sz w:val="24"/>
                <w:szCs w:val="24"/>
              </w:rPr>
            </w:pPr>
            <w:r>
              <w:rPr>
                <w:rFonts w:ascii="Times New Roman" w:hAnsi="Times New Roman"/>
                <w:b/>
                <w:sz w:val="24"/>
                <w:szCs w:val="24"/>
              </w:rPr>
              <w:t>Z-score</w:t>
            </w:r>
          </w:p>
        </w:tc>
        <w:tc>
          <w:tcPr>
            <w:tcW w:w="1186" w:type="dxa"/>
            <w:tcBorders>
              <w:top w:val="single" w:sz="4" w:space="0" w:color="auto"/>
              <w:bottom w:val="single" w:sz="4" w:space="0" w:color="auto"/>
            </w:tcBorders>
            <w:shd w:val="clear" w:color="auto" w:fill="auto"/>
          </w:tcPr>
          <w:p w:rsidR="00D80050" w:rsidRDefault="00B05B21">
            <w:pPr>
              <w:spacing w:line="360" w:lineRule="auto"/>
              <w:jc w:val="center"/>
              <w:rPr>
                <w:rFonts w:ascii="Times New Roman" w:hAnsi="Times New Roman"/>
                <w:b/>
                <w:sz w:val="24"/>
                <w:szCs w:val="24"/>
              </w:rPr>
            </w:pPr>
            <w:r>
              <w:rPr>
                <w:rFonts w:ascii="Times New Roman" w:hAnsi="Times New Roman"/>
                <w:b/>
                <w:sz w:val="24"/>
                <w:szCs w:val="24"/>
              </w:rPr>
              <w:t>P-value</w:t>
            </w:r>
          </w:p>
        </w:tc>
      </w:tr>
      <w:tr w:rsidR="00D80050">
        <w:trPr>
          <w:jc w:val="center"/>
        </w:trPr>
        <w:tc>
          <w:tcPr>
            <w:tcW w:w="1424" w:type="dxa"/>
            <w:tcBorders>
              <w:bottom w:val="single" w:sz="4" w:space="0" w:color="auto"/>
            </w:tcBorders>
            <w:shd w:val="clear" w:color="auto" w:fill="auto"/>
          </w:tcPr>
          <w:p w:rsidR="00D80050" w:rsidRDefault="00B05B21">
            <w:pPr>
              <w:pStyle w:val="BodyChar"/>
              <w:jc w:val="center"/>
              <w:rPr>
                <w:rFonts w:ascii="Times New Roman" w:hAnsi="Times New Roman"/>
              </w:rPr>
            </w:pPr>
            <w:r>
              <w:rPr>
                <w:rFonts w:ascii="Times New Roman" w:hAnsi="Times New Roman"/>
                <w:sz w:val="24"/>
                <w:szCs w:val="24"/>
              </w:rPr>
              <w:t>0.44</w:t>
            </w:r>
          </w:p>
        </w:tc>
        <w:tc>
          <w:tcPr>
            <w:tcW w:w="2552" w:type="dxa"/>
            <w:tcBorders>
              <w:bottom w:val="single" w:sz="4" w:space="0" w:color="auto"/>
            </w:tcBorders>
            <w:shd w:val="clear" w:color="auto" w:fill="auto"/>
          </w:tcPr>
          <w:p w:rsidR="00D80050" w:rsidRDefault="00B05B21">
            <w:pPr>
              <w:pStyle w:val="BodyChar"/>
              <w:jc w:val="center"/>
              <w:rPr>
                <w:rFonts w:ascii="Times New Roman" w:hAnsi="Times New Roman"/>
                <w:lang w:val="en-US"/>
              </w:rPr>
            </w:pPr>
            <w:r>
              <w:rPr>
                <w:rFonts w:ascii="Times New Roman" w:hAnsi="Times New Roman"/>
                <w:lang w:val="en-US"/>
              </w:rPr>
              <w:t>16.05</w:t>
            </w:r>
          </w:p>
        </w:tc>
        <w:tc>
          <w:tcPr>
            <w:tcW w:w="1186" w:type="dxa"/>
            <w:tcBorders>
              <w:bottom w:val="single" w:sz="4" w:space="0" w:color="auto"/>
            </w:tcBorders>
            <w:shd w:val="clear" w:color="auto" w:fill="auto"/>
          </w:tcPr>
          <w:p w:rsidR="00D80050" w:rsidRDefault="00B05B21">
            <w:pPr>
              <w:pStyle w:val="BodyChar"/>
              <w:jc w:val="center"/>
              <w:rPr>
                <w:rFonts w:ascii="Times New Roman" w:hAnsi="Times New Roman"/>
                <w:lang w:val="en-US"/>
              </w:rPr>
            </w:pPr>
            <w:r>
              <w:rPr>
                <w:rFonts w:ascii="Times New Roman" w:hAnsi="Times New Roman"/>
                <w:lang w:val="en-US"/>
              </w:rPr>
              <w:t>0.00</w:t>
            </w:r>
          </w:p>
        </w:tc>
      </w:tr>
    </w:tbl>
    <w:p w:rsidR="00D80050" w:rsidRDefault="00B05B21">
      <w:pPr>
        <w:ind w:firstLineChars="900" w:firstLine="1980"/>
        <w:jc w:val="both"/>
        <w:rPr>
          <w:rFonts w:ascii="Times New Roman" w:hAnsi="Times New Roman"/>
        </w:rPr>
      </w:pPr>
      <w:r>
        <w:rPr>
          <w:rFonts w:ascii="Times New Roman" w:hAnsi="Times New Roman"/>
        </w:rPr>
        <w:t>Source: Statistical spatial data analysis (2019)</w:t>
      </w:r>
    </w:p>
    <w:p w:rsidR="00D80050" w:rsidRPr="00CC6DE5" w:rsidRDefault="00D80050">
      <w:pPr>
        <w:pStyle w:val="ListParagraph"/>
        <w:spacing w:line="360" w:lineRule="auto"/>
        <w:ind w:left="1100"/>
        <w:jc w:val="both"/>
        <w:rPr>
          <w:rStyle w:val="fontstyle21"/>
          <w:color w:val="auto"/>
          <w:sz w:val="22"/>
          <w:szCs w:val="22"/>
        </w:rPr>
      </w:pPr>
    </w:p>
    <w:p w:rsidR="000B543F" w:rsidRPr="00CC6DE5" w:rsidRDefault="000B543F" w:rsidP="000B543F">
      <w:pPr>
        <w:autoSpaceDE w:val="0"/>
        <w:autoSpaceDN w:val="0"/>
        <w:adjustRightInd w:val="0"/>
        <w:jc w:val="both"/>
        <w:rPr>
          <w:rFonts w:ascii="Times New Roman" w:eastAsia="Calibri" w:hAnsi="Times New Roman"/>
          <w:szCs w:val="22"/>
          <w:lang w:val="en-US"/>
        </w:rPr>
      </w:pPr>
      <w:r w:rsidRPr="00CC6DE5">
        <w:rPr>
          <w:rFonts w:ascii="Times New Roman" w:eastAsia="Calibri" w:hAnsi="Times New Roman"/>
          <w:szCs w:val="22"/>
          <w:lang w:val="en-US"/>
        </w:rPr>
        <w:t xml:space="preserve">The value of this statistic is scored between -1 and 1. A score close to 1 represents positive autocorrelation and townships that may be hot spots. A score near -1 shows negative autocorrelation, indicating that the values of neighboring areas are opposite that of the township being examined. The significance of Moran’s I is evaluated by using a Z score and p-value generated by random permutation. The null hypothesis states that there is no spatial autocorrelation for the variable within the geographic area. </w:t>
      </w:r>
    </w:p>
    <w:p w:rsidR="000B543F" w:rsidRDefault="000B543F" w:rsidP="000B543F">
      <w:pPr>
        <w:autoSpaceDE w:val="0"/>
        <w:autoSpaceDN w:val="0"/>
        <w:adjustRightInd w:val="0"/>
        <w:rPr>
          <w:rFonts w:ascii="Times New Roman" w:eastAsia="Calibri" w:hAnsi="Times New Roman"/>
          <w:szCs w:val="22"/>
          <w:lang w:val="en-US"/>
        </w:rPr>
      </w:pPr>
    </w:p>
    <w:p w:rsidR="00FF3925" w:rsidRDefault="00FF3925" w:rsidP="008C4ED2">
      <w:pPr>
        <w:autoSpaceDE w:val="0"/>
        <w:autoSpaceDN w:val="0"/>
        <w:adjustRightInd w:val="0"/>
        <w:jc w:val="both"/>
        <w:rPr>
          <w:rFonts w:ascii="Times New Roman" w:eastAsia="Calibri" w:hAnsi="Times New Roman"/>
          <w:szCs w:val="22"/>
          <w:lang w:val="en-US"/>
        </w:rPr>
      </w:pPr>
      <w:r w:rsidRPr="00FF3925">
        <w:rPr>
          <w:rFonts w:ascii="Times New Roman" w:eastAsia="Calibri" w:hAnsi="Times New Roman"/>
          <w:szCs w:val="22"/>
          <w:lang w:val="en-US"/>
        </w:rPr>
        <w:t xml:space="preserve">Based on table 2, the Moran's Index value was 0.44, which means that the spatial characteristics of filariasis cases are </w:t>
      </w:r>
      <w:r>
        <w:rPr>
          <w:rFonts w:ascii="Times New Roman" w:eastAsia="Calibri" w:hAnsi="Times New Roman"/>
          <w:szCs w:val="22"/>
          <w:lang w:val="en-US"/>
        </w:rPr>
        <w:t>more represent</w:t>
      </w:r>
      <w:r w:rsidRPr="00FF3925">
        <w:rPr>
          <w:rFonts w:ascii="Times New Roman" w:eastAsia="Calibri" w:hAnsi="Times New Roman"/>
          <w:szCs w:val="22"/>
          <w:lang w:val="en-US"/>
        </w:rPr>
        <w:t xml:space="preserve"> positive spatial autocorrelation. This means that the incidence of filariasis cases forms clusters and can be distinguished from the surrounding area.</w:t>
      </w:r>
    </w:p>
    <w:p w:rsidR="00FF3925" w:rsidRDefault="00FF3925" w:rsidP="000B543F">
      <w:pPr>
        <w:autoSpaceDE w:val="0"/>
        <w:autoSpaceDN w:val="0"/>
        <w:adjustRightInd w:val="0"/>
        <w:rPr>
          <w:rFonts w:ascii="Times New Roman" w:eastAsia="Calibri" w:hAnsi="Times New Roman"/>
          <w:szCs w:val="22"/>
          <w:lang w:val="en-US"/>
        </w:rPr>
      </w:pPr>
    </w:p>
    <w:p w:rsidR="00D80050" w:rsidRDefault="00B05B21" w:rsidP="00077E80">
      <w:pPr>
        <w:jc w:val="both"/>
        <w:rPr>
          <w:rFonts w:ascii="Times New Roman" w:hAnsi="Times New Roman"/>
          <w:szCs w:val="22"/>
        </w:rPr>
      </w:pPr>
      <w:r>
        <w:rPr>
          <w:rFonts w:ascii="Times New Roman" w:hAnsi="Times New Roman"/>
        </w:rPr>
        <w:t>The model validation test was carried out by taking 40 sample point locations. 40 samples were considered because the risk classes used were 4 classes and 10 samples were taken for each class. Furthermore, the location of the sample points will be tested for validation to determine the accuracy of the model. The validation test was carried out by comparing the FL transmission risk classes in the model with the transmission risk classes calculated based on the distance to the FL case. Based on the calculation, the accuracy model is 89.77%</w:t>
      </w:r>
    </w:p>
    <w:p w:rsidR="00D80050" w:rsidRDefault="00D80050">
      <w:pPr>
        <w:ind w:left="480" w:hangingChars="200" w:hanging="480"/>
        <w:jc w:val="both"/>
        <w:rPr>
          <w:rFonts w:ascii="Times New Roman" w:hAnsi="Times New Roman"/>
          <w:sz w:val="24"/>
          <w:szCs w:val="24"/>
        </w:rPr>
      </w:pPr>
    </w:p>
    <w:p w:rsidR="00D80050" w:rsidRDefault="00B05B21" w:rsidP="00077E80">
      <w:pPr>
        <w:jc w:val="both"/>
        <w:rPr>
          <w:rFonts w:ascii="Times New Roman" w:hAnsi="Times New Roman"/>
        </w:rPr>
      </w:pPr>
      <w:r>
        <w:rPr>
          <w:rFonts w:ascii="Times New Roman" w:hAnsi="Times New Roman"/>
        </w:rPr>
        <w:t>At the first step, a mapping stage needs to be done to determine the environmental conditions that influence and the spread of the disease. To determine environmental factors, Remote sensing technology is used. Some of the advantages of remote sensing are covering a large area, fast, relatively cheaper, and it can reach remote areas.</w:t>
      </w:r>
    </w:p>
    <w:p w:rsidR="00077E80" w:rsidRDefault="00077E80">
      <w:pPr>
        <w:ind w:left="440" w:hangingChars="200" w:hanging="440"/>
        <w:jc w:val="both"/>
        <w:rPr>
          <w:rFonts w:ascii="Times New Roman" w:hAnsi="Times New Roman"/>
        </w:rPr>
      </w:pPr>
    </w:p>
    <w:p w:rsidR="0079599A" w:rsidRPr="004842C4" w:rsidRDefault="00B05B21">
      <w:pPr>
        <w:jc w:val="both"/>
        <w:rPr>
          <w:rFonts w:ascii="Times New Roman" w:hAnsi="Times New Roman"/>
          <w:szCs w:val="22"/>
        </w:rPr>
      </w:pPr>
      <w:r>
        <w:rPr>
          <w:rFonts w:ascii="Times New Roman" w:hAnsi="Times New Roman"/>
        </w:rPr>
        <w:t>Identifying FL transmission requires an understanding of the distribution of disease incidence and environmental factors as causes. By knowing the environmental factors that infl</w:t>
      </w:r>
      <w:r w:rsidRPr="004842C4">
        <w:rPr>
          <w:rFonts w:ascii="Times New Roman" w:hAnsi="Times New Roman"/>
          <w:szCs w:val="22"/>
        </w:rPr>
        <w:t>uence the incidence of a disease, it can then be used to assist in the implementation of eradication and surveillance programs against infectious diseases caused by environmental factors.</w:t>
      </w:r>
      <w:r w:rsidR="000F5F04" w:rsidRPr="004842C4">
        <w:rPr>
          <w:rFonts w:ascii="Times New Roman" w:hAnsi="Times New Roman"/>
          <w:szCs w:val="22"/>
        </w:rPr>
        <w:t xml:space="preserve"> </w:t>
      </w:r>
      <w:r w:rsidR="0079599A" w:rsidRPr="004842C4">
        <w:rPr>
          <w:rFonts w:ascii="Times New Roman" w:hAnsi="Times New Roman"/>
          <w:szCs w:val="22"/>
        </w:rPr>
        <w:t xml:space="preserve">These results support previous studies into the relationship between the environment and </w:t>
      </w:r>
      <w:r w:rsidR="0079599A" w:rsidRPr="004842C4">
        <w:rPr>
          <w:rFonts w:ascii="Times New Roman" w:hAnsi="Times New Roman"/>
          <w:szCs w:val="22"/>
        </w:rPr>
        <w:t>trans</w:t>
      </w:r>
      <w:r w:rsidR="00044E1C" w:rsidRPr="004842C4">
        <w:rPr>
          <w:rFonts w:ascii="Times New Roman" w:hAnsi="Times New Roman"/>
          <w:szCs w:val="22"/>
        </w:rPr>
        <w:t xml:space="preserve">mission filariasis in Burkino Paso  </w:t>
      </w:r>
      <w:r w:rsidR="00044E1C" w:rsidRPr="004842C4">
        <w:rPr>
          <w:rFonts w:ascii="Times New Roman" w:hAnsi="Times New Roman"/>
          <w:szCs w:val="22"/>
        </w:rPr>
        <w:fldChar w:fldCharType="begin" w:fldLock="1"/>
      </w:r>
      <w:r w:rsidR="00AA445C" w:rsidRPr="004842C4">
        <w:rPr>
          <w:rFonts w:ascii="Times New Roman" w:hAnsi="Times New Roman"/>
          <w:szCs w:val="22"/>
        </w:rPr>
        <w:instrText>ADDIN CSL_CITATION {"citationItems":[{"id":"ITEM-1","itemData":{"DOI":"10.4081/gh.2013.63","ISSN":"19707096","PMID":"24258892","abstract":"Lymphatic filariasis (LF) is a parasitic disease that is endemic throughout sub-Saharan Africa, infecting approximately 40 million people. In Burkina Faso, mass drug administration (MDA) for LF with ivermectin and albendazole has been ongoing since 2001, and by 2006 all endemic health districts were receiving MDA with a therapeutic coverage of at least 65%. As MDA activities scale down, the focus is now on targeting areas where LF transmission persists with alternative elimination strategies. This study explored the relationship between village-level, baseline LF prevalence data collected in 2000 with publicly available meteorological, environmental and demographic variables in order to determine the factors that influence the geographical distribution of the disease. A fitted multiple logistic regression model indicated that the length of the rainy season, variability in normalized difference vegetation index (NDVI) and population density were significantly positively associated with LF prevalence, whereas total annual rainfall, average June-September temperature, mean NDVI, elevation and the area of cotton crops were significantly negatively associated. This model was used to produce a baseline LF risk map for Burkina Faso. An extended model which incorporated potential socio-demographic risk factors also indicated a significant positive relationship between LF prevalence and wealth. In overlaying the baseline LF risk map with the number of MDA rounds, plus an insecticide-treated net (ITN) ownership measure, the central southern area of the country was highlighted as an area where baseline LF prevalence was high and ITN coverage relatively low (&lt;50%), while at least 10 rounds of MDA had been undertaken, suggesting that more concentrated efforts will be needed to eliminate the disease in these areas.","author":[{"dropping-particle":"","family":"Stanton","given":"Michelle C.","non-dropping-particle":"","parse-names":false,"suffix":""},{"dropping-particle":"","family":"Molyneux","given":"David H.","non-dropping-particle":"","parse-names":false,"suffix":""},{"dropping-particle":"","family":"Kyelem","given":"Dominique","non-dropping-particle":"","parse-names":false,"suffix":""},{"dropping-particle":"","family":"Bougma","given":"Roland W.","non-dropping-particle":"","parse-names":false,"suffix":""},{"dropping-particle":"","family":"Koudou","given":"Benjamin G.","non-dropping-particle":"","parse-names":false,"suffix":""},{"dropping-particle":"","family":"Kelly-Hope","given":"Louise A.","non-dropping-particle":"","parse-names":false,"suffix":""}],"container-title":"Geospatial Health","id":"ITEM-1","issued":{"date-parts":[["2013"]]},"title":"Baseline drivers of lymphatic filariasis in Burkina Faso","type":"article-journal"},"uris":["http://www.mendeley.com/documents/?uuid=6247864d-1ac6-4505-b44d-7a6d01d1d805"]}],"mendeley":{"formattedCitation":"(Stanton et al., 2013)","plainTextFormattedCitation":"(Stanton et al., 2013)","previouslyFormattedCitation":"(Stanton et al., 2013)"},"properties":{"noteIndex":0},"schema":"https://github.com/citation-style-language/schema/raw/master/csl-citation.json"}</w:instrText>
      </w:r>
      <w:r w:rsidR="00044E1C" w:rsidRPr="004842C4">
        <w:rPr>
          <w:rFonts w:ascii="Times New Roman" w:hAnsi="Times New Roman"/>
          <w:szCs w:val="22"/>
        </w:rPr>
        <w:fldChar w:fldCharType="separate"/>
      </w:r>
      <w:r w:rsidR="00044E1C" w:rsidRPr="004842C4">
        <w:rPr>
          <w:rFonts w:ascii="Times New Roman" w:hAnsi="Times New Roman"/>
          <w:noProof/>
          <w:szCs w:val="22"/>
        </w:rPr>
        <w:t>(Stanton et al., 2013)</w:t>
      </w:r>
      <w:r w:rsidR="00044E1C" w:rsidRPr="004842C4">
        <w:rPr>
          <w:rFonts w:ascii="Times New Roman" w:hAnsi="Times New Roman"/>
          <w:szCs w:val="22"/>
        </w:rPr>
        <w:fldChar w:fldCharType="end"/>
      </w:r>
      <w:r w:rsidR="00044E1C" w:rsidRPr="004842C4">
        <w:rPr>
          <w:rFonts w:ascii="Times New Roman" w:hAnsi="Times New Roman"/>
          <w:szCs w:val="22"/>
        </w:rPr>
        <w:t xml:space="preserve"> </w:t>
      </w:r>
      <w:r w:rsidR="0079599A" w:rsidRPr="004842C4">
        <w:rPr>
          <w:rFonts w:ascii="Times New Roman" w:hAnsi="Times New Roman"/>
          <w:szCs w:val="22"/>
        </w:rPr>
        <w:t xml:space="preserve">and studies in </w:t>
      </w:r>
      <w:r w:rsidR="00AA445C" w:rsidRPr="004842C4">
        <w:rPr>
          <w:rFonts w:ascii="Times New Roman" w:hAnsi="Times New Roman"/>
          <w:szCs w:val="22"/>
        </w:rPr>
        <w:t>southern  India</w:t>
      </w:r>
      <w:r w:rsidR="00AA445C" w:rsidRPr="004842C4">
        <w:rPr>
          <w:rFonts w:ascii="Times New Roman" w:hAnsi="Times New Roman"/>
          <w:szCs w:val="22"/>
        </w:rPr>
        <w:t xml:space="preserve"> </w:t>
      </w:r>
      <w:r w:rsidR="00AA445C" w:rsidRPr="004842C4">
        <w:rPr>
          <w:rFonts w:ascii="Times New Roman" w:hAnsi="Times New Roman"/>
          <w:szCs w:val="22"/>
        </w:rPr>
        <w:fldChar w:fldCharType="begin" w:fldLock="1"/>
      </w:r>
      <w:r w:rsidR="00AA445C" w:rsidRPr="004842C4">
        <w:rPr>
          <w:rFonts w:ascii="Times New Roman" w:hAnsi="Times New Roman"/>
          <w:szCs w:val="22"/>
        </w:rPr>
        <w:instrText>ADDIN CSL_CITATION {"citationItems":[{"id":"ITEM-1","itemData":{"DOI":"10.1089/vbz.2012.1238","ISSN":"15577759","PMID":"23808973","abstract":"The strategy adopted by a global program to interrupt transmission of lymphatic filariasis (LF) is mass drug administration (MDA) using chemotherapy. India also followed this strategy by introducing MDA in the historically known endemic areas. All other areas, which remained unsurveyed, were presumed to be nonendemic and left without any intervention. Therefore, identification of LF transmission risk areas in the entire country has become essential so that they can be targeted for intervention. A geo-environmental risk model (GERM) developed earlier was used to create a filariasis transmission risk map for India. In this model, a Standardized Filariasis Transmission Risk Index (SFTRI, based on geo-environmental risk variables) was used as a predictor of transmission risk. The relationship between SFTRI and endemicity (historically known) of an area was quantified by logistic regression analysis. The quantified relationship was validated by assessing the filarial antigenemia status of children living in the unsurveyed areas through a ground truth study. A significant positive relationship was observed between SFTRI and the endemicity of an area. Overall, the model prediction of filarial endemic status of districts was found to be correct in 92.8% of the total observations. Thus, among the 190 districts hitherto unsurveyed, as many as 113 districts were predicted to be at risk, and the remaining at no risk. The GERM developed on geographic information system (GIS) platform is useful for LF spatial delimitation on a macrogeographic/regional scale. Furthermore, the risk map developed will be useful for the national LF elimination program by identifying areas at risk for intervention and for undertaking surveillance in no-risk areas. © Copyright 2013, Mary Ann Liebert, Inc. 2013.","author":[{"dropping-particle":"","family":"Sabesan","given":"Shanmugavelu","non-dropping-particle":"","parse-names":false,"suffix":""},{"dropping-particle":"","family":"Raju","given":"Konuganti Hari Kishan","non-dropping-particle":"","parse-names":false,"suffix":""},{"dropping-particle":"","family":"Subramanian","given":"Swaminathan","non-dropping-particle":"","parse-names":false,"suffix":""},{"dropping-particle":"","family":"Srivastava","given":"Pradeep Kumar","non-dropping-particle":"","parse-names":false,"suffix":""},{"dropping-particle":"","family":"Jambulingam","given":"Purushothaman","non-dropping-particle":"","parse-names":false,"suffix":""}],"container-title":"Vector-Borne and Zoonotic Diseases","id":"ITEM-1","issued":{"date-parts":[["2013"]]},"title":"Lymphatic filariasis transmission risk map of India, Based on a geo-environmental risk model","type":"article-journal"},"uris":["http://www.mendeley.com/documents/?uuid=b2cc066b-d7d1-4d72-a428-b0842b2fff91"]}],"mendeley":{"formattedCitation":"(Sabesan et al., 2013)","plainTextFormattedCitation":"(Sabesan et al., 2013)","previouslyFormattedCitation":"(Sabesan et al., 2013)"},"properties":{"noteIndex":0},"schema":"https://github.com/citation-style-language/schema/raw/master/csl-citation.json"}</w:instrText>
      </w:r>
      <w:r w:rsidR="00AA445C" w:rsidRPr="004842C4">
        <w:rPr>
          <w:rFonts w:ascii="Times New Roman" w:hAnsi="Times New Roman"/>
          <w:szCs w:val="22"/>
        </w:rPr>
        <w:fldChar w:fldCharType="separate"/>
      </w:r>
      <w:r w:rsidR="00AA445C" w:rsidRPr="004842C4">
        <w:rPr>
          <w:rFonts w:ascii="Times New Roman" w:hAnsi="Times New Roman"/>
          <w:noProof/>
          <w:szCs w:val="22"/>
        </w:rPr>
        <w:t>(Sabesan et al., 2013)</w:t>
      </w:r>
      <w:r w:rsidR="00AA445C" w:rsidRPr="004842C4">
        <w:rPr>
          <w:rFonts w:ascii="Times New Roman" w:hAnsi="Times New Roman"/>
          <w:szCs w:val="22"/>
        </w:rPr>
        <w:fldChar w:fldCharType="end"/>
      </w:r>
      <w:r w:rsidR="00AA445C" w:rsidRPr="004842C4">
        <w:rPr>
          <w:rFonts w:ascii="Times New Roman" w:hAnsi="Times New Roman"/>
          <w:szCs w:val="22"/>
        </w:rPr>
        <w:t>.</w:t>
      </w:r>
      <w:r w:rsidR="0079599A" w:rsidRPr="004842C4">
        <w:rPr>
          <w:rFonts w:ascii="Times New Roman" w:hAnsi="Times New Roman"/>
          <w:szCs w:val="22"/>
        </w:rPr>
        <w:t xml:space="preserve">  In  health  districts  where  the</w:t>
      </w:r>
      <w:r w:rsidR="00402603" w:rsidRPr="004842C4">
        <w:rPr>
          <w:rFonts w:ascii="Times New Roman" w:hAnsi="Times New Roman"/>
          <w:szCs w:val="22"/>
        </w:rPr>
        <w:t xml:space="preserve"> </w:t>
      </w:r>
      <w:r w:rsidR="0079599A" w:rsidRPr="004842C4">
        <w:rPr>
          <w:rFonts w:ascii="Times New Roman" w:hAnsi="Times New Roman"/>
          <w:szCs w:val="22"/>
        </w:rPr>
        <w:t xml:space="preserve">risk fluctuates, it is possible that poorly located prevalence survey sites may result in LF risk being underestimated. </w:t>
      </w:r>
    </w:p>
    <w:p w:rsidR="0079599A" w:rsidRDefault="0079599A">
      <w:pPr>
        <w:jc w:val="both"/>
        <w:rPr>
          <w:rFonts w:ascii="Times New Roman" w:hAnsi="Times New Roman"/>
        </w:rPr>
      </w:pPr>
    </w:p>
    <w:p w:rsidR="00D80050" w:rsidRDefault="00B05B21" w:rsidP="00077E80">
      <w:pPr>
        <w:jc w:val="both"/>
        <w:rPr>
          <w:rFonts w:ascii="Times New Roman" w:hAnsi="Times New Roman"/>
        </w:rPr>
      </w:pPr>
      <w:r>
        <w:rPr>
          <w:rFonts w:ascii="Times New Roman" w:hAnsi="Times New Roman"/>
        </w:rPr>
        <w:t>Mapping is an alternative method in assisting the lymphatic filariasis elimination program and  it shows areas with a high enough prevalence so that intervention is necessary.</w:t>
      </w:r>
      <w:r>
        <w:rPr>
          <w:rFonts w:ascii="Times New Roman" w:hAnsi="Times New Roman"/>
          <w:lang w:val="en-US"/>
        </w:rPr>
        <w:t xml:space="preserve"> </w:t>
      </w:r>
      <w:r>
        <w:rPr>
          <w:rFonts w:ascii="Times New Roman" w:hAnsi="Times New Roman"/>
        </w:rPr>
        <w:t>The risk factors for FL transmission have various factors and are influenced by several things, including land cover conditions, vegetation density, building density, and surface water conditions. The vegetation condition that affects is the presence of shrubs and forests. Shrubs are a great place to settle for mosquitoes. Meanwhile, the forest will provide a suitable environment for mosquito breeding. The building density condition is a representation of the population density condition. Occupation density is a risk factor for FL transmission. The denser the population, the possibility of FL transmission will also be very high. Soil moisture conditions also make it easier for water</w:t>
      </w:r>
      <w:r w:rsidR="000B543F">
        <w:rPr>
          <w:rFonts w:ascii="Times New Roman" w:hAnsi="Times New Roman"/>
        </w:rPr>
        <w:t xml:space="preserve"> </w:t>
      </w:r>
      <w:r>
        <w:rPr>
          <w:rFonts w:ascii="Times New Roman" w:hAnsi="Times New Roman"/>
        </w:rPr>
        <w:t>logging to occur where is a breeding ground for mosquito larvae</w:t>
      </w:r>
      <w:r w:rsidRPr="00EE6FA6">
        <w:rPr>
          <w:rFonts w:ascii="Times New Roman" w:hAnsi="Times New Roman"/>
          <w:szCs w:val="22"/>
        </w:rPr>
        <w:t>.</w:t>
      </w:r>
      <w:r w:rsidR="00EE6FA6" w:rsidRPr="00EE6FA6">
        <w:rPr>
          <w:rFonts w:ascii="Times New Roman" w:hAnsi="Times New Roman"/>
          <w:szCs w:val="22"/>
        </w:rPr>
        <w:t xml:space="preserve"> </w:t>
      </w:r>
      <w:r w:rsidR="00EE6FA6" w:rsidRPr="00EE6FA6">
        <w:rPr>
          <w:rFonts w:ascii="Times New Roman" w:hAnsi="Times New Roman"/>
          <w:szCs w:val="22"/>
        </w:rPr>
        <w:t>These results support previous studies</w:t>
      </w:r>
      <w:r w:rsidR="00EE6FA6" w:rsidRPr="00EE6FA6">
        <w:rPr>
          <w:szCs w:val="22"/>
        </w:rPr>
        <w:t xml:space="preserve"> provides the national program for elimination of</w:t>
      </w:r>
      <w:r w:rsidR="00EE6FA6" w:rsidRPr="00EE6FA6">
        <w:rPr>
          <w:szCs w:val="22"/>
        </w:rPr>
        <w:t xml:space="preserve"> </w:t>
      </w:r>
      <w:r w:rsidR="00EE6FA6" w:rsidRPr="00EE6FA6">
        <w:rPr>
          <w:szCs w:val="22"/>
        </w:rPr>
        <w:t>LF in Cameroon with a country</w:t>
      </w:r>
      <w:r w:rsidR="00EE6FA6" w:rsidRPr="00EE6FA6">
        <w:rPr>
          <w:szCs w:val="22"/>
        </w:rPr>
        <w:t xml:space="preserve"> </w:t>
      </w:r>
      <w:r w:rsidR="00EE6FA6" w:rsidRPr="00EE6FA6">
        <w:rPr>
          <w:szCs w:val="22"/>
        </w:rPr>
        <w:t>wide map of the infection and highlight areas where MDA</w:t>
      </w:r>
      <w:r w:rsidR="00EE6FA6" w:rsidRPr="00EE6FA6">
        <w:rPr>
          <w:szCs w:val="22"/>
        </w:rPr>
        <w:t xml:space="preserve"> </w:t>
      </w:r>
      <w:r w:rsidR="00EE6FA6" w:rsidRPr="00EE6FA6">
        <w:rPr>
          <w:szCs w:val="22"/>
        </w:rPr>
        <w:t>should be prioritized</w:t>
      </w:r>
      <w:r w:rsidR="00EE6FA6" w:rsidRPr="00EE6FA6">
        <w:rPr>
          <w:szCs w:val="22"/>
        </w:rPr>
        <w:t xml:space="preserve"> </w:t>
      </w:r>
      <w:r w:rsidR="00EE6FA6" w:rsidRPr="00EE6FA6">
        <w:rPr>
          <w:szCs w:val="22"/>
        </w:rPr>
        <w:fldChar w:fldCharType="begin" w:fldLock="1"/>
      </w:r>
      <w:r w:rsidR="00EE6FA6" w:rsidRPr="00EE6FA6">
        <w:rPr>
          <w:szCs w:val="22"/>
        </w:rPr>
        <w:instrText>ADDIN CSL_CITATION {"citationItems":[{"id":"ITEM-1","itemData":{"DOI":"10.1371/journal.pntd.0004001","ISSN":"19352735","PMID":"26353087","abstract":"Background: Lymphatic filariasis (LF) is one of the most debilitating neglected tropical diseases (NTDs). It still presents as an important public health problem in many countries in the tropics. In Cameroon, where many NTDs are endemic, only scant data describing the situation regarding LF epidemiology was available. The aim of this study was to describe the current situation regarding LF infection in Cameroon, and to map this infection and accurately delineate areas where mass drug administration (MDA) was required. Methodology: The endemicity status and distribution of LF was assessed in eight of the ten Regions of Cameroon by a rapid-format card test for detection of W. bancrofti antigen (immunochromatographic test, ICT). The baseline data required to monitor the effectiveness of MDA was collected by assessing microfilariaemia in nocturnal calibrated thick blood smears in sentinel sites selected in the health districts where ICT positivity rate was ≥ 1%. Principal findings: Among the 120 health districts visited in the eight Regions during ICT survey, 106 (88.3%) were found to be endemic for LF (i.e. had ICT positivity rate ≥ 1%), with infection rate from 1.0% (95% CI: 0.2–5.5) to 20.0% (95% CI: 10–30). The overall infection rate during the night blood survey was 0.11% (95% CI: 0.08–0.16) in 11 health districts out of the 106 surveyed; the arithmetic mean for microfilaria density was 1.19 mf/ml (95% CI: 0.13–2.26) for the total population examined. Conclusion/significance: ICT card test results showed that LF was endemic in all the Regions and in about 90% of the health districts surveyed. All of these health districts qualified for MDA (i.e. ICT positivity rate ≥ 1%). Microfilariaemia data collected as part of this study provided the national program with baseline data (sentinel sites) necessary to measure the impact of MDA on the endemicity level and transmission of LF important for the 2020 deadline for global elimination.","author":[{"dropping-particle":"","family":"Nana-Djeunga","given":"Hugues C.","non-dropping-particle":"","parse-names":false,"suffix":""},{"dropping-particle":"","family":"Tchatchueng-Mbougua","given":"Jules B.","non-dropping-particle":"","parse-names":false,"suffix":""},{"dropping-particle":"","family":"Bopda","given":"Jean","non-dropping-particle":"","parse-names":false,"suffix":""},{"dropping-particle":"","family":"Mbickmen-Tchana","given":"Steve","non-dropping-particle":"","parse-names":false,"suffix":""},{"dropping-particle":"","family":"Elong-Kana","given":"Nathalie","non-dropping-particle":"","parse-names":false,"suffix":""},{"dropping-particle":"","family":"Nnomzo’o","given":"Etienne","non-dropping-particle":"","parse-names":false,"suffix":""},{"dropping-particle":"","family":"Akame","given":"Julie","non-dropping-particle":"","parse-names":false,"suffix":""},{"dropping-particle":"","family":"Tarini","given":"Ann","non-dropping-particle":"","parse-names":false,"suffix":""},{"dropping-particle":"","family":"Zhang","given":"Yaobi","non-dropping-particle":"","parse-names":false,"suffix":""},{"dropping-particle":"","family":"Njiokou","given":"Flobert","non-dropping-particle":"","parse-names":false,"suffix":""},{"dropping-particle":"","family":"Kamgno","given":"Joseph","non-dropping-particle":"","parse-names":false,"suffix":""}],"container-title":"PLoS Neglected Tropical Diseases","id":"ITEM-1","issued":{"date-parts":[["2015"]]},"title":"Mapping of Bancroftian Filariasis in Cameroon: Prospects for Elimination","type":"article-journal"},"uris":["http://www.mendeley.com/documents/?uuid=ea3ae50a-f544-4a1d-be4d-b04e1cb75a66"]}],"mendeley":{"formattedCitation":"(Nana-Djeunga et al., 2015)","plainTextFormattedCitation":"(Nana-Djeunga et al., 2015)"},"properties":{"noteIndex":0},"schema":"https://github.com/citation-style-language/schema/raw/master/csl-citation.json"}</w:instrText>
      </w:r>
      <w:r w:rsidR="00EE6FA6" w:rsidRPr="00EE6FA6">
        <w:rPr>
          <w:szCs w:val="22"/>
        </w:rPr>
        <w:fldChar w:fldCharType="separate"/>
      </w:r>
      <w:r w:rsidR="00EE6FA6" w:rsidRPr="00EE6FA6">
        <w:rPr>
          <w:noProof/>
          <w:szCs w:val="22"/>
        </w:rPr>
        <w:t>(Nana-Djeunga et al., 2015)</w:t>
      </w:r>
      <w:r w:rsidR="00EE6FA6" w:rsidRPr="00EE6FA6">
        <w:rPr>
          <w:szCs w:val="22"/>
        </w:rPr>
        <w:fldChar w:fldCharType="end"/>
      </w:r>
    </w:p>
    <w:p w:rsidR="000B543F" w:rsidRDefault="000B543F" w:rsidP="00077E80">
      <w:pPr>
        <w:jc w:val="both"/>
        <w:rPr>
          <w:rFonts w:ascii="Times New Roman" w:hAnsi="Times New Roman"/>
        </w:rPr>
      </w:pPr>
    </w:p>
    <w:p w:rsidR="000B543F" w:rsidRPr="000B543F" w:rsidRDefault="000B543F" w:rsidP="000B543F">
      <w:pPr>
        <w:autoSpaceDE w:val="0"/>
        <w:autoSpaceDN w:val="0"/>
        <w:adjustRightInd w:val="0"/>
        <w:rPr>
          <w:rFonts w:ascii="Times New Roman" w:hAnsi="Times New Roman"/>
          <w:szCs w:val="22"/>
        </w:rPr>
      </w:pPr>
      <w:r w:rsidRPr="000B543F">
        <w:rPr>
          <w:rFonts w:ascii="Times New Roman" w:eastAsia="Calibri" w:hAnsi="Times New Roman"/>
          <w:szCs w:val="22"/>
          <w:lang w:val="en-US"/>
        </w:rPr>
        <w:t xml:space="preserve">The findings of this study show that </w:t>
      </w:r>
      <w:r>
        <w:rPr>
          <w:rFonts w:ascii="Times New Roman" w:eastAsia="Calibri" w:hAnsi="Times New Roman"/>
          <w:szCs w:val="22"/>
          <w:lang w:val="en-US"/>
        </w:rPr>
        <w:t>Gegraphic information system and statistical spatial</w:t>
      </w:r>
      <w:r w:rsidRPr="000B543F">
        <w:rPr>
          <w:rFonts w:ascii="Times New Roman" w:eastAsia="Calibri" w:hAnsi="Times New Roman"/>
          <w:szCs w:val="22"/>
          <w:lang w:val="en-US"/>
        </w:rPr>
        <w:t xml:space="preserve"> can be used to identify risk areas </w:t>
      </w:r>
      <w:r>
        <w:rPr>
          <w:rFonts w:ascii="Times New Roman" w:eastAsia="Calibri" w:hAnsi="Times New Roman"/>
          <w:szCs w:val="22"/>
          <w:lang w:val="en-US"/>
        </w:rPr>
        <w:t xml:space="preserve">of filariasis </w:t>
      </w:r>
      <w:r w:rsidRPr="000B543F">
        <w:rPr>
          <w:rFonts w:ascii="Times New Roman" w:eastAsia="Calibri" w:hAnsi="Times New Roman"/>
          <w:szCs w:val="22"/>
          <w:lang w:val="en-US"/>
        </w:rPr>
        <w:t>more effectively</w:t>
      </w:r>
      <w:r>
        <w:rPr>
          <w:rFonts w:ascii="Times New Roman" w:eastAsia="Calibri" w:hAnsi="Times New Roman"/>
          <w:szCs w:val="22"/>
          <w:lang w:val="en-US"/>
        </w:rPr>
        <w:t>.</w:t>
      </w:r>
      <w:r w:rsidR="00EE6FA6" w:rsidRPr="00EE6FA6">
        <w:t xml:space="preserve"> </w:t>
      </w:r>
      <w:r w:rsidR="001A77E6" w:rsidRPr="001A77E6">
        <w:t>This research has similarities with research conducted by a</w:t>
      </w:r>
      <w:r w:rsidR="001A77E6">
        <w:t xml:space="preserve"> Jambulingam (2016), </w:t>
      </w:r>
      <w:r w:rsidR="00EE6FA6">
        <w:t xml:space="preserve"> </w:t>
      </w:r>
      <w:r w:rsidR="001A77E6">
        <w:t>mathematical simulation models for transmission and control of lymphatic filariasis are useful tools for studying the prospects of lymphatic filariasis elimination</w:t>
      </w:r>
      <w:r w:rsidR="001A77E6">
        <w:t xml:space="preserve"> </w:t>
      </w:r>
      <w:r w:rsidR="00EE6FA6">
        <w:fldChar w:fldCharType="begin" w:fldLock="1"/>
      </w:r>
      <w:r w:rsidR="00EE6FA6">
        <w:instrText>ADDIN CSL_CITATION {"citationItems":[{"id":"ITEM-1","itemData":{"DOI":"10.1186/s13071-016-1768-y","ISSN":"17563305","PMID":"27624157","abstract":"Background: India has made great progress towards the elimination of lymphatic filariasis. By 2015, most endemic districts had completed at least five annual rounds of mass drug administration (MDA). The next challenge is to determine when MDA can be stopped. We performed a simulation study with the individual-based model LYMFASIM to help clarify this. Methods: We used a model-variant for Indian settings. We considered different hypotheses on detectability of antigenaemia (Ag) in relation to underlying adult worm burden, choosing the most likely hypothesis by comparing the model predicted association between community-level microfilaraemia (Mf) and antigenaemia (Ag) prevalence levels to observed data (collated from literature). Next, we estimated how long MDA must be continued in order to achieve elimination in different transmission settings and what Mf and Ag prevalence may still remain 1 year after the last required MDA round. The robustness of key-outcomes was assessed in a sensitivity analysis. Results: Our model matched observed data qualitatively well when we assumed an Ag detection rate of 50 % for single worm infections, which increases with the number of adult worms (modelled by relating detection to the presence of female worms). The required duration of annual MDA increased with higher baseline endemicity and lower coverage (varying between 2 and 12 rounds), while the remaining residual infection 1 year after the last required treatment declined with transmission intensity. For low and high transmission settings, the median residual infection levels were 1.0 % and 0.4 % (Mf prevalence in the 5+ population), and 3.5 % and 2.0 % (Ag prevalence in 6-7 year-old children). Conclusion: To achieve elimination in high transmission settings, MDA must be continued longer and infection levels must be reduced to lower levels than in low-endemic communities. Although our simulations were for Indian settings, qualitatively similar patterns are also expected in other areas. This should be taken into account in decision algorithms to define whether MDA can be interrupted. Transmission assessment surveys should ideally be targeted to communities with the highest pre-control transmission levels, to minimize the risk of programme failure.","author":[{"dropping-particle":"","family":"Jambulingam","given":"Purushothaman","non-dropping-particle":"","parse-names":false,"suffix":""},{"dropping-particle":"","family":"Subramanian","given":"Swaminathan","non-dropping-particle":"","parse-names":false,"suffix":""},{"dropping-particle":"","family":"Vlas","given":"S. J.","non-dropping-particle":"De","parse-names":false,"suffix":""},{"dropping-particle":"","family":"Vinubala","given":"Chellasamy","non-dropping-particle":"","parse-names":false,"suffix":""},{"dropping-particle":"","family":"Stolk","given":"W. A.","non-dropping-particle":"","parse-names":false,"suffix":""}],"container-title":"Parasites and Vectors","id":"ITEM-1","issued":{"date-parts":[["2016"]]},"title":"Mathematical modelling of lymphatic filariasis elimination programmes in India: Required duration of mass drug administration and post-treatment level of infection indicators","type":"article-journal"},"uris":["http://www.mendeley.com/documents/?uuid=55ccb5b3-f4a8-479a-87ab-23e6226b2b5f"]}],"mendeley":{"formattedCitation":"(Jambulingam et al., 2016)","plainTextFormattedCitation":"(Jambulingam et al., 2016)","previouslyFormattedCitation":"(Jambulingam et al., 2016)"},"properties":{"noteIndex":0},"schema":"https://github.com/citation-style-language/schema/raw/master/csl-citation.json"}</w:instrText>
      </w:r>
      <w:r w:rsidR="00EE6FA6">
        <w:fldChar w:fldCharType="separate"/>
      </w:r>
      <w:r w:rsidR="00EE6FA6" w:rsidRPr="00EE6FA6">
        <w:rPr>
          <w:noProof/>
        </w:rPr>
        <w:t>(Jambulingam et al., 2016)</w:t>
      </w:r>
      <w:r w:rsidR="00EE6FA6">
        <w:fldChar w:fldCharType="end"/>
      </w:r>
      <w:r w:rsidR="001A77E6">
        <w:t>.</w:t>
      </w:r>
      <w:bookmarkStart w:id="1" w:name="_GoBack"/>
      <w:bookmarkEnd w:id="1"/>
    </w:p>
    <w:p w:rsidR="00D80050" w:rsidRDefault="00B05B21">
      <w:pPr>
        <w:pStyle w:val="Section"/>
        <w:rPr>
          <w:lang w:val="en-US"/>
        </w:rPr>
      </w:pPr>
      <w:r>
        <w:rPr>
          <w:lang w:val="en-US"/>
        </w:rPr>
        <w:t>Conclusion</w:t>
      </w:r>
    </w:p>
    <w:p w:rsidR="00D80050" w:rsidRDefault="00B05B21" w:rsidP="00077E80">
      <w:pPr>
        <w:pStyle w:val="Bodytext"/>
        <w:rPr>
          <w:rFonts w:ascii="Times New Roman" w:hAnsi="Times New Roman"/>
          <w:color w:val="FF0000"/>
          <w:sz w:val="24"/>
          <w:szCs w:val="24"/>
        </w:rPr>
      </w:pPr>
      <w:r>
        <w:rPr>
          <w:szCs w:val="24"/>
        </w:rPr>
        <w:t>The spatial structure of the filariasis case is influenced by its attribute as a result of the spatial dependence between variables. Spatial dependence is a case response to environmental conditions (spatial autocorrelation). A high moran index value indicates a high level of spatial aucorrelation and a z-score value indicates the strength of this relationship. Based on the spatial statistical analysis, the Moran's index value was 0.44. Filariasis spread even more over a wider area. Based on the description above, in general the research area is included in the category of positive spatial autocorrelation, this indicates that the cluster pattern of filariasis cases is influenced by environmental factors.</w:t>
      </w:r>
    </w:p>
    <w:p w:rsidR="000547D5" w:rsidRDefault="000547D5" w:rsidP="000547D5">
      <w:pPr>
        <w:pStyle w:val="Default"/>
        <w:rPr>
          <w:sz w:val="22"/>
          <w:szCs w:val="22"/>
        </w:rPr>
      </w:pPr>
    </w:p>
    <w:p w:rsidR="000547D5" w:rsidRPr="000547D5" w:rsidRDefault="000547D5" w:rsidP="000547D5">
      <w:pPr>
        <w:pStyle w:val="Default"/>
        <w:rPr>
          <w:b/>
          <w:sz w:val="22"/>
          <w:szCs w:val="22"/>
        </w:rPr>
      </w:pPr>
      <w:r w:rsidRPr="000547D5">
        <w:rPr>
          <w:b/>
          <w:sz w:val="22"/>
          <w:szCs w:val="22"/>
        </w:rPr>
        <w:t xml:space="preserve">Acknowledge </w:t>
      </w:r>
    </w:p>
    <w:p w:rsidR="000547D5" w:rsidRPr="000547D5" w:rsidRDefault="000547D5" w:rsidP="000547D5">
      <w:pPr>
        <w:pStyle w:val="Sectionnonumber"/>
        <w:rPr>
          <w:b w:val="0"/>
          <w:color w:val="auto"/>
        </w:rPr>
      </w:pPr>
      <w:r w:rsidRPr="000547D5">
        <w:rPr>
          <w:b w:val="0"/>
        </w:rPr>
        <w:t>Thank you to the Indonesia Ministry of Higher Education for funding this research.</w:t>
      </w:r>
    </w:p>
    <w:p w:rsidR="00D80050" w:rsidRDefault="00B05B21">
      <w:pPr>
        <w:pStyle w:val="Sectionnonumber"/>
        <w:rPr>
          <w:color w:val="auto"/>
        </w:rPr>
      </w:pPr>
      <w:r w:rsidRPr="00063B0F">
        <w:rPr>
          <w:color w:val="auto"/>
        </w:rPr>
        <w:t>References</w:t>
      </w:r>
    </w:p>
    <w:p w:rsidR="00EE6FA6" w:rsidRPr="00EE6FA6" w:rsidRDefault="00AA445C" w:rsidP="00EE6FA6">
      <w:pPr>
        <w:widowControl w:val="0"/>
        <w:autoSpaceDE w:val="0"/>
        <w:autoSpaceDN w:val="0"/>
        <w:adjustRightInd w:val="0"/>
        <w:ind w:left="480" w:hanging="480"/>
        <w:rPr>
          <w:rFonts w:cs="Times"/>
          <w:noProof/>
          <w:szCs w:val="24"/>
        </w:rPr>
      </w:pPr>
      <w:r>
        <w:fldChar w:fldCharType="begin" w:fldLock="1"/>
      </w:r>
      <w:r>
        <w:instrText xml:space="preserve">ADDIN Mendeley Bibliography CSL_BIBLIOGRAPHY </w:instrText>
      </w:r>
      <w:r>
        <w:fldChar w:fldCharType="separate"/>
      </w:r>
      <w:r w:rsidR="00EE6FA6" w:rsidRPr="00EE6FA6">
        <w:rPr>
          <w:rFonts w:cs="Times"/>
          <w:noProof/>
          <w:szCs w:val="24"/>
        </w:rPr>
        <w:t xml:space="preserve">Abdel-Hamid, Y., Soliman, M., &amp; Allam, K. (2009). Spatial distribution and abundance of culicine mosquitoes in realtion to the risk of filariasis transmission in El Sharqiya Governorate, Egypt. </w:t>
      </w:r>
      <w:r w:rsidR="00EE6FA6" w:rsidRPr="00EE6FA6">
        <w:rPr>
          <w:rFonts w:cs="Times"/>
          <w:i/>
          <w:iCs/>
          <w:noProof/>
          <w:szCs w:val="24"/>
        </w:rPr>
        <w:t>Egyptian Academic Journal of Biological Sciences, E. Medical Entomology &amp; Parasitology</w:t>
      </w:r>
      <w:r w:rsidR="00EE6FA6" w:rsidRPr="00EE6FA6">
        <w:rPr>
          <w:rFonts w:cs="Times"/>
          <w:noProof/>
          <w:szCs w:val="24"/>
        </w:rPr>
        <w:t>. https://doi.org/10.21608/eajbse.2009.16462</w:t>
      </w:r>
    </w:p>
    <w:p w:rsidR="00EE6FA6" w:rsidRPr="00EE6FA6" w:rsidRDefault="00EE6FA6" w:rsidP="00EE6FA6">
      <w:pPr>
        <w:widowControl w:val="0"/>
        <w:autoSpaceDE w:val="0"/>
        <w:autoSpaceDN w:val="0"/>
        <w:adjustRightInd w:val="0"/>
        <w:ind w:left="480" w:hanging="480"/>
        <w:rPr>
          <w:rFonts w:cs="Times"/>
          <w:noProof/>
          <w:szCs w:val="24"/>
        </w:rPr>
      </w:pPr>
      <w:r w:rsidRPr="00EE6FA6">
        <w:rPr>
          <w:rFonts w:cs="Times"/>
          <w:noProof/>
          <w:szCs w:val="24"/>
        </w:rPr>
        <w:t xml:space="preserve">Caprarelli, G., &amp; Fletcher, S. (2014). A brief review of spatial analysis concepts and tools used for mapping, containment and risk modelling of infectious diseases and other illnesses. In </w:t>
      </w:r>
      <w:r w:rsidRPr="00EE6FA6">
        <w:rPr>
          <w:rFonts w:cs="Times"/>
          <w:i/>
          <w:iCs/>
          <w:noProof/>
          <w:szCs w:val="24"/>
        </w:rPr>
        <w:t>Parasitology</w:t>
      </w:r>
      <w:r w:rsidRPr="00EE6FA6">
        <w:rPr>
          <w:rFonts w:cs="Times"/>
          <w:noProof/>
          <w:szCs w:val="24"/>
        </w:rPr>
        <w:t>. https://doi.org/10.1017/S0031182013001972</w:t>
      </w:r>
    </w:p>
    <w:p w:rsidR="00EE6FA6" w:rsidRPr="00EE6FA6" w:rsidRDefault="00EE6FA6" w:rsidP="00EE6FA6">
      <w:pPr>
        <w:widowControl w:val="0"/>
        <w:autoSpaceDE w:val="0"/>
        <w:autoSpaceDN w:val="0"/>
        <w:adjustRightInd w:val="0"/>
        <w:ind w:left="480" w:hanging="480"/>
        <w:rPr>
          <w:rFonts w:cs="Times"/>
          <w:noProof/>
          <w:szCs w:val="24"/>
        </w:rPr>
      </w:pPr>
      <w:r w:rsidRPr="00EE6FA6">
        <w:rPr>
          <w:rFonts w:cs="Times"/>
          <w:noProof/>
          <w:szCs w:val="24"/>
        </w:rPr>
        <w:t xml:space="preserve">Jambulingam, P., Subramanian, S., De Vlas, S. J., Vinubala, C., &amp; Stolk, W. A. (2016). Mathematical modelling of lymphatic filariasis elimination programmes in India: Required duration of mass drug administration and post-treatment level of infection indicators. </w:t>
      </w:r>
      <w:r w:rsidRPr="00EE6FA6">
        <w:rPr>
          <w:rFonts w:cs="Times"/>
          <w:i/>
          <w:iCs/>
          <w:noProof/>
          <w:szCs w:val="24"/>
        </w:rPr>
        <w:t>Parasites and Vectors</w:t>
      </w:r>
      <w:r w:rsidRPr="00EE6FA6">
        <w:rPr>
          <w:rFonts w:cs="Times"/>
          <w:noProof/>
          <w:szCs w:val="24"/>
        </w:rPr>
        <w:t>. https://doi.org/10.1186/s13071-016-1768-y</w:t>
      </w:r>
    </w:p>
    <w:p w:rsidR="00EE6FA6" w:rsidRPr="00EE6FA6" w:rsidRDefault="00EE6FA6" w:rsidP="00EE6FA6">
      <w:pPr>
        <w:widowControl w:val="0"/>
        <w:autoSpaceDE w:val="0"/>
        <w:autoSpaceDN w:val="0"/>
        <w:adjustRightInd w:val="0"/>
        <w:ind w:left="480" w:hanging="480"/>
        <w:rPr>
          <w:rFonts w:cs="Times"/>
          <w:noProof/>
          <w:szCs w:val="24"/>
        </w:rPr>
      </w:pPr>
      <w:r w:rsidRPr="00EE6FA6">
        <w:rPr>
          <w:rFonts w:cs="Times"/>
          <w:noProof/>
          <w:szCs w:val="24"/>
        </w:rPr>
        <w:t xml:space="preserve">Liang, S. (2008). Recent advances in land remote sensing: An overview. </w:t>
      </w:r>
      <w:r w:rsidRPr="00EE6FA6">
        <w:rPr>
          <w:rFonts w:cs="Times"/>
          <w:i/>
          <w:iCs/>
          <w:noProof/>
          <w:szCs w:val="24"/>
        </w:rPr>
        <w:t>Advances in Land Remote Sensing: System, Modeling, Inversion and Application</w:t>
      </w:r>
      <w:r w:rsidRPr="00EE6FA6">
        <w:rPr>
          <w:rFonts w:cs="Times"/>
          <w:noProof/>
          <w:szCs w:val="24"/>
        </w:rPr>
        <w:t>. https://doi.org/10.1007/978-1-4020-6450-0_1</w:t>
      </w:r>
    </w:p>
    <w:p w:rsidR="00EE6FA6" w:rsidRPr="00EE6FA6" w:rsidRDefault="00EE6FA6" w:rsidP="00EE6FA6">
      <w:pPr>
        <w:widowControl w:val="0"/>
        <w:autoSpaceDE w:val="0"/>
        <w:autoSpaceDN w:val="0"/>
        <w:adjustRightInd w:val="0"/>
        <w:ind w:left="480" w:hanging="480"/>
        <w:rPr>
          <w:rFonts w:cs="Times"/>
          <w:noProof/>
          <w:szCs w:val="24"/>
        </w:rPr>
      </w:pPr>
      <w:r w:rsidRPr="00EE6FA6">
        <w:rPr>
          <w:rFonts w:cs="Times"/>
          <w:noProof/>
          <w:szCs w:val="24"/>
        </w:rPr>
        <w:t xml:space="preserve">Mwase, E. T., Stensgaard, A. S., Nsakashalo-Senkwe, M., Mubila, L., Mwansa, J., Songolo, P., Shawa, S. T., &amp; Simonsen, P. E. (2014). Mapping the Geographical Distribution of Lymphatic Filariasis in Zambia. </w:t>
      </w:r>
      <w:r w:rsidRPr="00EE6FA6">
        <w:rPr>
          <w:rFonts w:cs="Times"/>
          <w:i/>
          <w:iCs/>
          <w:noProof/>
          <w:szCs w:val="24"/>
        </w:rPr>
        <w:t>PLoS Neglected Tropical Diseases</w:t>
      </w:r>
      <w:r w:rsidRPr="00EE6FA6">
        <w:rPr>
          <w:rFonts w:cs="Times"/>
          <w:noProof/>
          <w:szCs w:val="24"/>
        </w:rPr>
        <w:t xml:space="preserve">. </w:t>
      </w:r>
      <w:r w:rsidRPr="00EE6FA6">
        <w:rPr>
          <w:rFonts w:cs="Times"/>
          <w:noProof/>
          <w:szCs w:val="24"/>
        </w:rPr>
        <w:lastRenderedPageBreak/>
        <w:t>https://doi.org/10.1371/journal.pntd.0002714</w:t>
      </w:r>
    </w:p>
    <w:p w:rsidR="00EE6FA6" w:rsidRPr="00EE6FA6" w:rsidRDefault="00EE6FA6" w:rsidP="00EE6FA6">
      <w:pPr>
        <w:widowControl w:val="0"/>
        <w:autoSpaceDE w:val="0"/>
        <w:autoSpaceDN w:val="0"/>
        <w:adjustRightInd w:val="0"/>
        <w:ind w:left="480" w:hanging="480"/>
        <w:rPr>
          <w:rFonts w:cs="Times"/>
          <w:noProof/>
          <w:szCs w:val="24"/>
        </w:rPr>
      </w:pPr>
      <w:r w:rsidRPr="00EE6FA6">
        <w:rPr>
          <w:rFonts w:cs="Times"/>
          <w:noProof/>
          <w:szCs w:val="24"/>
        </w:rPr>
        <w:t xml:space="preserve">Nana-Djeunga, H. C., Tchatchueng-Mbougua, J. B., Bopda, J., Mbickmen-Tchana, S., Elong-Kana, N., Nnomzo’o, E., Akame, J., Tarini, A., Zhang, Y., Njiokou, F., &amp; Kamgno, J. (2015). Mapping of Bancroftian Filariasis in Cameroon: Prospects for Elimination. </w:t>
      </w:r>
      <w:r w:rsidRPr="00EE6FA6">
        <w:rPr>
          <w:rFonts w:cs="Times"/>
          <w:i/>
          <w:iCs/>
          <w:noProof/>
          <w:szCs w:val="24"/>
        </w:rPr>
        <w:t>PLoS Neglected Tropical Diseases</w:t>
      </w:r>
      <w:r w:rsidRPr="00EE6FA6">
        <w:rPr>
          <w:rFonts w:cs="Times"/>
          <w:noProof/>
          <w:szCs w:val="24"/>
        </w:rPr>
        <w:t>. https://doi.org/10.1371/journal.pntd.0004001</w:t>
      </w:r>
    </w:p>
    <w:p w:rsidR="00EE6FA6" w:rsidRPr="00EE6FA6" w:rsidRDefault="00EE6FA6" w:rsidP="00EE6FA6">
      <w:pPr>
        <w:widowControl w:val="0"/>
        <w:autoSpaceDE w:val="0"/>
        <w:autoSpaceDN w:val="0"/>
        <w:adjustRightInd w:val="0"/>
        <w:ind w:left="480" w:hanging="480"/>
        <w:rPr>
          <w:rFonts w:cs="Times"/>
          <w:noProof/>
          <w:szCs w:val="24"/>
        </w:rPr>
      </w:pPr>
      <w:r w:rsidRPr="00EE6FA6">
        <w:rPr>
          <w:rFonts w:cs="Times"/>
          <w:noProof/>
          <w:szCs w:val="24"/>
        </w:rPr>
        <w:t xml:space="preserve">Sabesan, S., Raju, K. H. K., Subramanian, S., Srivastava, P. K., &amp; Jambulingam, P. (2013). Lymphatic filariasis transmission risk map of India, Based on a geo-environmental risk model. </w:t>
      </w:r>
      <w:r w:rsidRPr="00EE6FA6">
        <w:rPr>
          <w:rFonts w:cs="Times"/>
          <w:i/>
          <w:iCs/>
          <w:noProof/>
          <w:szCs w:val="24"/>
        </w:rPr>
        <w:t>Vector-Borne and Zoonotic Diseases</w:t>
      </w:r>
      <w:r w:rsidRPr="00EE6FA6">
        <w:rPr>
          <w:rFonts w:cs="Times"/>
          <w:noProof/>
          <w:szCs w:val="24"/>
        </w:rPr>
        <w:t>. https://doi.org/10.1089/vbz.2012.1238</w:t>
      </w:r>
    </w:p>
    <w:p w:rsidR="00EE6FA6" w:rsidRPr="00EE6FA6" w:rsidRDefault="00EE6FA6" w:rsidP="00EE6FA6">
      <w:pPr>
        <w:widowControl w:val="0"/>
        <w:autoSpaceDE w:val="0"/>
        <w:autoSpaceDN w:val="0"/>
        <w:adjustRightInd w:val="0"/>
        <w:ind w:left="480" w:hanging="480"/>
        <w:rPr>
          <w:rFonts w:cs="Times"/>
          <w:noProof/>
          <w:szCs w:val="24"/>
        </w:rPr>
      </w:pPr>
      <w:r w:rsidRPr="00EE6FA6">
        <w:rPr>
          <w:rFonts w:cs="Times"/>
          <w:noProof/>
          <w:szCs w:val="24"/>
        </w:rPr>
        <w:t xml:space="preserve">Simonsen, P. E., &amp; Mwakitalu, M. E. (2013). Urban lymphatic filariasis. In </w:t>
      </w:r>
      <w:r w:rsidRPr="00EE6FA6">
        <w:rPr>
          <w:rFonts w:cs="Times"/>
          <w:i/>
          <w:iCs/>
          <w:noProof/>
          <w:szCs w:val="24"/>
        </w:rPr>
        <w:t>Parasitology Research</w:t>
      </w:r>
      <w:r w:rsidRPr="00EE6FA6">
        <w:rPr>
          <w:rFonts w:cs="Times"/>
          <w:noProof/>
          <w:szCs w:val="24"/>
        </w:rPr>
        <w:t>. https://doi.org/10.1007/s00436-012-3226-x</w:t>
      </w:r>
    </w:p>
    <w:p w:rsidR="00EE6FA6" w:rsidRPr="00EE6FA6" w:rsidRDefault="00EE6FA6" w:rsidP="00EE6FA6">
      <w:pPr>
        <w:widowControl w:val="0"/>
        <w:autoSpaceDE w:val="0"/>
        <w:autoSpaceDN w:val="0"/>
        <w:adjustRightInd w:val="0"/>
        <w:ind w:left="480" w:hanging="480"/>
        <w:rPr>
          <w:rFonts w:cs="Times"/>
          <w:noProof/>
          <w:szCs w:val="24"/>
        </w:rPr>
      </w:pPr>
      <w:r w:rsidRPr="00EE6FA6">
        <w:rPr>
          <w:rFonts w:cs="Times"/>
          <w:noProof/>
          <w:szCs w:val="24"/>
        </w:rPr>
        <w:t xml:space="preserve">Stanton, M. C., Molyneux, D. H., Kyelem, D., Bougma, R. W., Koudou, B. G., &amp; Kelly-Hope, L. A. (2013). Baseline drivers of lymphatic filariasis in Burkina Faso. </w:t>
      </w:r>
      <w:r w:rsidRPr="00EE6FA6">
        <w:rPr>
          <w:rFonts w:cs="Times"/>
          <w:i/>
          <w:iCs/>
          <w:noProof/>
          <w:szCs w:val="24"/>
        </w:rPr>
        <w:t>Geospatial Health</w:t>
      </w:r>
      <w:r w:rsidRPr="00EE6FA6">
        <w:rPr>
          <w:rFonts w:cs="Times"/>
          <w:noProof/>
          <w:szCs w:val="24"/>
        </w:rPr>
        <w:t>. https://doi.org/10.4081/gh.2013.63</w:t>
      </w:r>
    </w:p>
    <w:p w:rsidR="00EE6FA6" w:rsidRPr="00EE6FA6" w:rsidRDefault="00EE6FA6" w:rsidP="00EE6FA6">
      <w:pPr>
        <w:widowControl w:val="0"/>
        <w:autoSpaceDE w:val="0"/>
        <w:autoSpaceDN w:val="0"/>
        <w:adjustRightInd w:val="0"/>
        <w:ind w:left="480" w:hanging="480"/>
        <w:rPr>
          <w:rFonts w:cs="Times"/>
          <w:noProof/>
        </w:rPr>
      </w:pPr>
      <w:r w:rsidRPr="00EE6FA6">
        <w:rPr>
          <w:rFonts w:cs="Times"/>
          <w:noProof/>
          <w:szCs w:val="24"/>
        </w:rPr>
        <w:t xml:space="preserve">Upadhyayula, S. M., Mutheneni, S. R., Kumaraswamy, S., Kadiri, M. R., Pabbisetty, S. K., &amp; Yellepeddi, V. S. M. (2012). Filaria monitoring visualization system: A geographical information system-based application to manage lymphatic filariasis in Andhra Pradesh, India. </w:t>
      </w:r>
      <w:r w:rsidRPr="00EE6FA6">
        <w:rPr>
          <w:rFonts w:cs="Times"/>
          <w:i/>
          <w:iCs/>
          <w:noProof/>
          <w:szCs w:val="24"/>
        </w:rPr>
        <w:t>Vector-Borne and Zoonotic Diseases</w:t>
      </w:r>
      <w:r w:rsidRPr="00EE6FA6">
        <w:rPr>
          <w:rFonts w:cs="Times"/>
          <w:noProof/>
          <w:szCs w:val="24"/>
        </w:rPr>
        <w:t>. https://doi.org/10.1089/vbz.2011.0713</w:t>
      </w:r>
    </w:p>
    <w:p w:rsidR="00AA445C" w:rsidRPr="00AA445C" w:rsidRDefault="00AA445C" w:rsidP="00EE6FA6">
      <w:pPr>
        <w:widowControl w:val="0"/>
        <w:autoSpaceDE w:val="0"/>
        <w:autoSpaceDN w:val="0"/>
        <w:adjustRightInd w:val="0"/>
        <w:ind w:left="480" w:hanging="480"/>
      </w:pPr>
      <w:r>
        <w:fldChar w:fldCharType="end"/>
      </w:r>
    </w:p>
    <w:sectPr w:rsidR="00AA445C" w:rsidRPr="00AA445C">
      <w:headerReference w:type="default" r:id="rId15"/>
      <w:footnotePr>
        <w:pos w:val="beneathText"/>
      </w:footnotePr>
      <w:endnotePr>
        <w:numFmt w:val="chicago"/>
        <w:numStart w:val="4"/>
      </w:endnotePr>
      <w:pgSz w:w="11907" w:h="16840"/>
      <w:pgMar w:top="2275" w:right="1411" w:bottom="1526" w:left="141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A5" w:rsidRDefault="00F120A5">
      <w:r>
        <w:separator/>
      </w:r>
    </w:p>
  </w:endnote>
  <w:endnote w:type="continuationSeparator" w:id="0">
    <w:p w:rsidR="00F120A5" w:rsidRDefault="00F1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A5" w:rsidRDefault="00F120A5">
      <w:r>
        <w:separator/>
      </w:r>
    </w:p>
  </w:footnote>
  <w:footnote w:type="continuationSeparator" w:id="0">
    <w:p w:rsidR="00F120A5" w:rsidRDefault="00F1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050" w:rsidRDefault="00D80050"/>
  <w:p w:rsidR="00D80050" w:rsidRDefault="00D80050"/>
  <w:p w:rsidR="00D80050" w:rsidRDefault="00D80050"/>
  <w:p w:rsidR="00D80050" w:rsidRDefault="00D80050"/>
  <w:p w:rsidR="00D80050" w:rsidRDefault="00D80050"/>
  <w:p w:rsidR="00D80050" w:rsidRDefault="00D800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04491C6A"/>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D9556E6"/>
    <w:multiLevelType w:val="multilevel"/>
    <w:tmpl w:val="5D9556E6"/>
    <w:lvl w:ilvl="0">
      <w:start w:val="1"/>
      <w:numFmt w:val="decimal"/>
      <w:pStyle w:val="Reference"/>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7FCE5D00"/>
    <w:multiLevelType w:val="multilevel"/>
    <w:tmpl w:val="7FCE5D00"/>
    <w:lvl w:ilvl="0">
      <w:start w:val="1"/>
      <w:numFmt w:val="upperRoman"/>
      <w:pStyle w:val="Heading1"/>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pos w:val="beneathText"/>
    <w:footnote w:id="-1"/>
    <w:footnote w:id="0"/>
  </w:footnotePr>
  <w:endnotePr>
    <w:numFmt w:val="chicago"/>
    <w:numStart w:val="4"/>
    <w:endnote w:id="-1"/>
    <w:endnote w:id="0"/>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44E1C"/>
    <w:rsid w:val="00045A15"/>
    <w:rsid w:val="00053769"/>
    <w:rsid w:val="000547D5"/>
    <w:rsid w:val="00063B0F"/>
    <w:rsid w:val="00077E80"/>
    <w:rsid w:val="00085647"/>
    <w:rsid w:val="000B543F"/>
    <w:rsid w:val="000F5F04"/>
    <w:rsid w:val="001601F5"/>
    <w:rsid w:val="001842E5"/>
    <w:rsid w:val="001A77E6"/>
    <w:rsid w:val="001B3F38"/>
    <w:rsid w:val="00217A99"/>
    <w:rsid w:val="00230C27"/>
    <w:rsid w:val="003D4111"/>
    <w:rsid w:val="003E05EE"/>
    <w:rsid w:val="00402603"/>
    <w:rsid w:val="004842C4"/>
    <w:rsid w:val="004D7262"/>
    <w:rsid w:val="005158FA"/>
    <w:rsid w:val="00542454"/>
    <w:rsid w:val="005A5177"/>
    <w:rsid w:val="005C2DC7"/>
    <w:rsid w:val="005F3FAA"/>
    <w:rsid w:val="006164B3"/>
    <w:rsid w:val="006F45A4"/>
    <w:rsid w:val="00733CB3"/>
    <w:rsid w:val="00765CAD"/>
    <w:rsid w:val="0079599A"/>
    <w:rsid w:val="007A574C"/>
    <w:rsid w:val="0080008B"/>
    <w:rsid w:val="00836BE1"/>
    <w:rsid w:val="008451F9"/>
    <w:rsid w:val="008573EB"/>
    <w:rsid w:val="00863B7B"/>
    <w:rsid w:val="008C4ED2"/>
    <w:rsid w:val="008D6562"/>
    <w:rsid w:val="008E24CF"/>
    <w:rsid w:val="00902F41"/>
    <w:rsid w:val="009825F5"/>
    <w:rsid w:val="009A0487"/>
    <w:rsid w:val="009E43A7"/>
    <w:rsid w:val="00A15543"/>
    <w:rsid w:val="00A37ECF"/>
    <w:rsid w:val="00AA445C"/>
    <w:rsid w:val="00B05982"/>
    <w:rsid w:val="00B05B21"/>
    <w:rsid w:val="00B83F45"/>
    <w:rsid w:val="00BA7E38"/>
    <w:rsid w:val="00BB3B69"/>
    <w:rsid w:val="00C110ED"/>
    <w:rsid w:val="00C8613C"/>
    <w:rsid w:val="00C9394F"/>
    <w:rsid w:val="00CC6DE5"/>
    <w:rsid w:val="00D048CE"/>
    <w:rsid w:val="00D7756B"/>
    <w:rsid w:val="00D80050"/>
    <w:rsid w:val="00D82E8F"/>
    <w:rsid w:val="00E472FC"/>
    <w:rsid w:val="00EA1B5A"/>
    <w:rsid w:val="00EB7E9C"/>
    <w:rsid w:val="00EE6FA6"/>
    <w:rsid w:val="00EF32E5"/>
    <w:rsid w:val="00EF6BE4"/>
    <w:rsid w:val="00F120A5"/>
    <w:rsid w:val="00F47FB9"/>
    <w:rsid w:val="00FF3925"/>
    <w:rsid w:val="030B7E81"/>
    <w:rsid w:val="03E2778A"/>
    <w:rsid w:val="045E7A3C"/>
    <w:rsid w:val="056C0205"/>
    <w:rsid w:val="0601580B"/>
    <w:rsid w:val="068F3D16"/>
    <w:rsid w:val="06DD6561"/>
    <w:rsid w:val="07161822"/>
    <w:rsid w:val="07191EE3"/>
    <w:rsid w:val="08A578C8"/>
    <w:rsid w:val="08BA0132"/>
    <w:rsid w:val="08F008FF"/>
    <w:rsid w:val="0B24100D"/>
    <w:rsid w:val="0B580900"/>
    <w:rsid w:val="0C094C22"/>
    <w:rsid w:val="0C661D15"/>
    <w:rsid w:val="0D105326"/>
    <w:rsid w:val="0ECA1659"/>
    <w:rsid w:val="10457309"/>
    <w:rsid w:val="15A617A6"/>
    <w:rsid w:val="17033115"/>
    <w:rsid w:val="178251BF"/>
    <w:rsid w:val="1BB642B5"/>
    <w:rsid w:val="1D1B626E"/>
    <w:rsid w:val="21E97903"/>
    <w:rsid w:val="233B4391"/>
    <w:rsid w:val="233B4801"/>
    <w:rsid w:val="236827E9"/>
    <w:rsid w:val="24C2168B"/>
    <w:rsid w:val="24F47860"/>
    <w:rsid w:val="27CE12E9"/>
    <w:rsid w:val="2E5A375F"/>
    <w:rsid w:val="32DD7DD8"/>
    <w:rsid w:val="34095BE9"/>
    <w:rsid w:val="38D92593"/>
    <w:rsid w:val="3B860021"/>
    <w:rsid w:val="3D062D0D"/>
    <w:rsid w:val="3E6162BF"/>
    <w:rsid w:val="3F704AE2"/>
    <w:rsid w:val="4054759C"/>
    <w:rsid w:val="456A2A27"/>
    <w:rsid w:val="4A4311FA"/>
    <w:rsid w:val="4CE218B4"/>
    <w:rsid w:val="4F711A05"/>
    <w:rsid w:val="52564494"/>
    <w:rsid w:val="53DC6221"/>
    <w:rsid w:val="54FF3532"/>
    <w:rsid w:val="591921A4"/>
    <w:rsid w:val="5CF35C48"/>
    <w:rsid w:val="5E182CCA"/>
    <w:rsid w:val="5E896C28"/>
    <w:rsid w:val="66264AE5"/>
    <w:rsid w:val="67F846B9"/>
    <w:rsid w:val="68742EBB"/>
    <w:rsid w:val="68FD5B9C"/>
    <w:rsid w:val="69820413"/>
    <w:rsid w:val="6A556917"/>
    <w:rsid w:val="6C6E32F3"/>
    <w:rsid w:val="6E122F2C"/>
    <w:rsid w:val="6F896DA1"/>
    <w:rsid w:val="6FA9144F"/>
    <w:rsid w:val="70656A52"/>
    <w:rsid w:val="72816FFF"/>
    <w:rsid w:val="73077A29"/>
    <w:rsid w:val="74C80B3C"/>
    <w:rsid w:val="753B2042"/>
    <w:rsid w:val="76BB149D"/>
    <w:rsid w:val="7AD92474"/>
    <w:rsid w:val="7ADF3D19"/>
    <w:rsid w:val="7C7B0F2D"/>
    <w:rsid w:val="7DFA7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caption" w:semiHidden="0" w:uiPriority="35" w:qFormat="1"/>
    <w:lsdException w:name="footnote reference" w:uiPriority="0" w:unhideWhenUsed="0" w:qFormat="1"/>
    <w:lsdException w:name="page number" w:uiPriority="0" w:unhideWhenUsed="0" w:qFormat="1"/>
    <w:lsdException w:name="endnote reference" w:uiPriority="0" w:unhideWhenUsed="0" w:qFormat="1"/>
    <w:lsdException w:name="endnote text" w:uiPriority="0" w:unhideWhenUsed="0" w:qFormat="1"/>
    <w:lsdException w:name="Title" w:semiHidden="0" w:uiPriority="0" w:unhideWhenUsed="0" w:qFormat="1"/>
    <w:lsdException w:name="Default Paragraph Fo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New Roman" w:hAnsi="Times"/>
      <w:sz w:val="22"/>
      <w:lang w:val="en-GB"/>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qFormat/>
    <w:pPr>
      <w:numPr>
        <w:ilvl w:val="1"/>
        <w:numId w:val="2"/>
      </w:numPr>
      <w:spacing w:before="240"/>
    </w:pPr>
    <w:rPr>
      <w:rFonts w:ascii="Times" w:eastAsia="Times New Roman" w:hAnsi="Times"/>
      <w:iCs/>
      <w:color w:val="000000"/>
      <w:sz w:val="22"/>
      <w:szCs w:val="22"/>
      <w:lang w:val="en-GB"/>
    </w:rPr>
  </w:style>
  <w:style w:type="paragraph" w:customStyle="1" w:styleId="Bodytext">
    <w:name w:val="Bodytext"/>
    <w:next w:val="BodytextIndented"/>
    <w:qFormat/>
    <w:pPr>
      <w:jc w:val="both"/>
    </w:pPr>
    <w:rPr>
      <w:rFonts w:ascii="Times" w:eastAsia="Times New Roman" w:hAnsi="Times"/>
      <w:iCs/>
      <w:color w:val="000000"/>
      <w:sz w:val="22"/>
      <w:szCs w:val="22"/>
    </w:rPr>
  </w:style>
  <w:style w:type="paragraph" w:customStyle="1" w:styleId="BodytextIndented">
    <w:name w:val="BodytextIndented"/>
    <w:basedOn w:val="Bodytext"/>
    <w:qFormat/>
    <w:pPr>
      <w:ind w:firstLine="284"/>
    </w:pPr>
  </w:style>
  <w:style w:type="paragraph" w:styleId="Caption">
    <w:name w:val="caption"/>
    <w:basedOn w:val="Normal"/>
    <w:next w:val="Normal"/>
    <w:uiPriority w:val="35"/>
    <w:unhideWhenUsed/>
    <w:qFormat/>
    <w:pPr>
      <w:spacing w:after="200" w:line="276" w:lineRule="auto"/>
    </w:pPr>
    <w:rPr>
      <w:rFonts w:ascii="Times New Roman" w:hAnsi="Times New Roman"/>
      <w:b/>
      <w:bCs/>
      <w:sz w:val="20"/>
    </w:rPr>
  </w:style>
  <w:style w:type="paragraph" w:styleId="EndnoteText">
    <w:name w:val="endnote text"/>
    <w:basedOn w:val="Normal"/>
    <w:semiHidden/>
    <w:qFormat/>
    <w:rPr>
      <w:sz w:val="20"/>
    </w:rPr>
  </w:style>
  <w:style w:type="paragraph" w:styleId="FootnoteText">
    <w:name w:val="footnote text"/>
    <w:basedOn w:val="Normal"/>
    <w:semiHidden/>
    <w:qFormat/>
    <w:rPr>
      <w:sz w:val="20"/>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qFormat/>
    <w:pPr>
      <w:spacing w:after="113"/>
      <w:ind w:left="1418"/>
    </w:pPr>
    <w:rPr>
      <w:rFonts w:ascii="Times" w:eastAsia="Times New Roman" w:hAnsi="Times"/>
      <w:b/>
      <w:sz w:val="22"/>
      <w:szCs w:val="22"/>
      <w:lang w:val="en-GB"/>
    </w:rPr>
  </w:style>
  <w:style w:type="paragraph" w:customStyle="1" w:styleId="Addresses">
    <w:name w:val="Addresses"/>
    <w:next w:val="E-mail"/>
    <w:qFormat/>
    <w:pPr>
      <w:spacing w:after="240"/>
      <w:ind w:left="1418"/>
    </w:pPr>
    <w:rPr>
      <w:rFonts w:ascii="Times" w:eastAsia="Times New Roman" w:hAnsi="Times"/>
      <w:sz w:val="22"/>
      <w:szCs w:val="22"/>
      <w:lang w:val="en-GB"/>
    </w:rPr>
  </w:style>
  <w:style w:type="paragraph" w:customStyle="1" w:styleId="E-mail">
    <w:name w:val="E-mail"/>
    <w:next w:val="Abstract"/>
    <w:qFormat/>
    <w:pPr>
      <w:spacing w:after="240"/>
      <w:ind w:left="1418"/>
    </w:pPr>
    <w:rPr>
      <w:rFonts w:ascii="Times" w:eastAsia="Times New Roman" w:hAnsi="Times"/>
      <w:sz w:val="22"/>
      <w:szCs w:val="22"/>
    </w:rPr>
  </w:style>
  <w:style w:type="paragraph" w:customStyle="1" w:styleId="Abstract">
    <w:name w:val="Abstract"/>
    <w:next w:val="Normal"/>
    <w:qFormat/>
    <w:pPr>
      <w:spacing w:after="454"/>
      <w:ind w:left="1418"/>
      <w:jc w:val="both"/>
    </w:pPr>
    <w:rPr>
      <w:rFonts w:ascii="Times" w:eastAsia="Times New Roman" w:hAnsi="Times"/>
      <w:color w:val="000000"/>
      <w:lang w:val="en-GB"/>
    </w:rPr>
  </w:style>
  <w:style w:type="character" w:styleId="EndnoteReference">
    <w:name w:val="endnote reference"/>
    <w:semiHidden/>
    <w:qFormat/>
    <w:rPr>
      <w:vertAlign w:val="superscript"/>
    </w:rPr>
  </w:style>
  <w:style w:type="character" w:styleId="FootnoteReference">
    <w:name w:val="footnote reference"/>
    <w:semiHidden/>
    <w:qFormat/>
    <w:rPr>
      <w:rFonts w:ascii="Times New Roman" w:hAnsi="Times New Roman"/>
      <w:sz w:val="22"/>
      <w:szCs w:val="22"/>
      <w:vertAlign w:val="superscript"/>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semiHidden/>
    <w:qFormat/>
  </w:style>
  <w:style w:type="table" w:styleId="TableGrid">
    <w:name w:val="Table Grid"/>
    <w:basedOn w:val="TableNormal"/>
    <w:uiPriority w:val="3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subsection">
    <w:name w:val="Subsubsection"/>
    <w:next w:val="Bodytext"/>
    <w:link w:val="SubsubsectionChar"/>
    <w:qFormat/>
    <w:pPr>
      <w:numPr>
        <w:ilvl w:val="2"/>
        <w:numId w:val="2"/>
      </w:numPr>
      <w:spacing w:before="240"/>
      <w:ind w:firstLine="0"/>
    </w:pPr>
    <w:rPr>
      <w:rFonts w:ascii="Times" w:eastAsia="Times New Roman" w:hAnsi="Times"/>
      <w:i/>
      <w:iCs/>
      <w:color w:val="000000"/>
      <w:sz w:val="22"/>
      <w:szCs w:val="22"/>
      <w:lang w:val="en-GB"/>
    </w:rPr>
  </w:style>
  <w:style w:type="character" w:customStyle="1" w:styleId="SubsubsectionChar">
    <w:name w:val="Subsubsection Char"/>
    <w:link w:val="Subsubsection"/>
    <w:qFormat/>
    <w:rPr>
      <w:rFonts w:ascii="Times" w:hAnsi="Times"/>
      <w:i/>
      <w:iCs/>
      <w:color w:val="000000"/>
      <w:sz w:val="22"/>
      <w:szCs w:val="22"/>
      <w:lang w:eastAsia="en-US"/>
    </w:rPr>
  </w:style>
  <w:style w:type="paragraph" w:customStyle="1" w:styleId="Section">
    <w:name w:val="Section"/>
    <w:next w:val="Bodytext"/>
    <w:qFormat/>
    <w:pPr>
      <w:numPr>
        <w:numId w:val="2"/>
      </w:numPr>
      <w:spacing w:before="240"/>
    </w:pPr>
    <w:rPr>
      <w:rFonts w:ascii="Times" w:eastAsia="Times New Roman" w:hAnsi="Times"/>
      <w:b/>
      <w:iCs/>
      <w:color w:val="000000"/>
      <w:sz w:val="22"/>
      <w:szCs w:val="22"/>
      <w:lang w:val="en-GB"/>
    </w:rPr>
  </w:style>
  <w:style w:type="paragraph" w:customStyle="1" w:styleId="Bulleted">
    <w:name w:val="Bulleted"/>
    <w:qFormat/>
    <w:pPr>
      <w:numPr>
        <w:numId w:val="3"/>
      </w:numPr>
      <w:jc w:val="both"/>
    </w:pPr>
    <w:rPr>
      <w:rFonts w:ascii="Times" w:eastAsia="Times New Roman" w:hAnsi="Times"/>
      <w:color w:val="000000"/>
      <w:sz w:val="22"/>
      <w:szCs w:val="22"/>
      <w:lang w:val="en-GB"/>
    </w:rPr>
  </w:style>
  <w:style w:type="paragraph" w:customStyle="1" w:styleId="Sectionnonumber">
    <w:name w:val="Section (no number)"/>
    <w:next w:val="Bodytext"/>
    <w:qFormat/>
    <w:pPr>
      <w:spacing w:before="240"/>
    </w:pPr>
    <w:rPr>
      <w:rFonts w:ascii="Times" w:eastAsia="Times New Roman" w:hAnsi="Times"/>
      <w:b/>
      <w:iCs/>
      <w:color w:val="000000"/>
      <w:sz w:val="22"/>
      <w:szCs w:val="22"/>
    </w:rPr>
  </w:style>
  <w:style w:type="paragraph" w:customStyle="1" w:styleId="FigureCaption">
    <w:name w:val="FigureCaption"/>
    <w:qFormat/>
    <w:pPr>
      <w:spacing w:before="170"/>
      <w:ind w:left="28"/>
      <w:jc w:val="center"/>
    </w:pPr>
    <w:rPr>
      <w:rFonts w:ascii="Times" w:eastAsia="Times New Roman" w:hAnsi="Times"/>
      <w:color w:val="000000"/>
      <w:sz w:val="22"/>
      <w:szCs w:val="22"/>
      <w:lang w:val="en-GB"/>
    </w:rPr>
  </w:style>
  <w:style w:type="paragraph" w:customStyle="1" w:styleId="Referencenonumber">
    <w:name w:val="Reference (no number)"/>
    <w:basedOn w:val="Reference"/>
    <w:qFormat/>
    <w:pPr>
      <w:numPr>
        <w:numId w:val="0"/>
      </w:numPr>
      <w:tabs>
        <w:tab w:val="clear" w:pos="0"/>
      </w:tabs>
      <w:ind w:left="851" w:hanging="284"/>
    </w:pPr>
  </w:style>
  <w:style w:type="paragraph" w:customStyle="1" w:styleId="Reference">
    <w:name w:val="Reference"/>
    <w:qFormat/>
    <w:pPr>
      <w:widowControl w:val="0"/>
      <w:numPr>
        <w:numId w:val="4"/>
      </w:numPr>
      <w:tabs>
        <w:tab w:val="clear" w:pos="0"/>
        <w:tab w:val="left" w:pos="567"/>
      </w:tabs>
      <w:ind w:left="851" w:hanging="851"/>
      <w:jc w:val="both"/>
    </w:pPr>
    <w:rPr>
      <w:rFonts w:ascii="Times" w:eastAsia="Times New Roman" w:hAnsi="Times"/>
      <w:iCs/>
      <w:color w:val="000000"/>
      <w:sz w:val="22"/>
      <w:szCs w:val="22"/>
      <w:lang w:val="en-GB"/>
    </w:r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qFormat/>
    <w:rPr>
      <w:rFonts w:ascii="TimesNewRomanPSMT" w:hAnsi="TimesNewRomanPSMT" w:hint="default"/>
      <w:color w:val="000000"/>
      <w:sz w:val="24"/>
      <w:szCs w:val="24"/>
    </w:rPr>
  </w:style>
  <w:style w:type="paragraph" w:customStyle="1" w:styleId="TableCaptionCentred">
    <w:name w:val="Table.Caption.Centred"/>
    <w:basedOn w:val="TableCaption"/>
    <w:qFormat/>
    <w:pPr>
      <w:jc w:val="center"/>
    </w:pPr>
  </w:style>
  <w:style w:type="paragraph" w:customStyle="1" w:styleId="TableCaption">
    <w:name w:val="Table.Caption"/>
    <w:qFormat/>
    <w:pPr>
      <w:spacing w:after="120"/>
      <w:jc w:val="both"/>
    </w:pPr>
    <w:rPr>
      <w:rFonts w:ascii="Times" w:eastAsia="Times New Roman" w:hAnsi="Times"/>
      <w:color w:val="000000"/>
      <w:sz w:val="22"/>
      <w:szCs w:val="22"/>
      <w:lang w:val="en-GB"/>
    </w:rPr>
  </w:style>
  <w:style w:type="paragraph" w:customStyle="1" w:styleId="BodyChar">
    <w:name w:val="Body Char"/>
    <w:qFormat/>
    <w:pPr>
      <w:tabs>
        <w:tab w:val="left" w:pos="567"/>
      </w:tabs>
      <w:jc w:val="both"/>
    </w:pPr>
    <w:rPr>
      <w:rFonts w:ascii="Times" w:eastAsia="Times New Roman" w:hAnsi="Times"/>
      <w:color w:val="000000"/>
      <w:sz w:val="22"/>
      <w:szCs w:val="22"/>
      <w:lang w:val="en-GB"/>
    </w:rPr>
  </w:style>
  <w:style w:type="paragraph" w:styleId="Bibliography">
    <w:name w:val="Bibliography"/>
    <w:basedOn w:val="Normal"/>
    <w:next w:val="Normal"/>
    <w:uiPriority w:val="37"/>
    <w:semiHidden/>
    <w:unhideWhenUsed/>
    <w:rsid w:val="00D048CE"/>
  </w:style>
  <w:style w:type="paragraph" w:styleId="BalloonText">
    <w:name w:val="Balloon Text"/>
    <w:basedOn w:val="Normal"/>
    <w:link w:val="BalloonTextChar"/>
    <w:uiPriority w:val="99"/>
    <w:semiHidden/>
    <w:unhideWhenUsed/>
    <w:rsid w:val="00A15543"/>
    <w:rPr>
      <w:rFonts w:ascii="Tahoma" w:hAnsi="Tahoma" w:cs="Tahoma"/>
      <w:sz w:val="16"/>
      <w:szCs w:val="16"/>
    </w:rPr>
  </w:style>
  <w:style w:type="character" w:customStyle="1" w:styleId="BalloonTextChar">
    <w:name w:val="Balloon Text Char"/>
    <w:basedOn w:val="DefaultParagraphFont"/>
    <w:link w:val="BalloonText"/>
    <w:uiPriority w:val="99"/>
    <w:semiHidden/>
    <w:rsid w:val="00A15543"/>
    <w:rPr>
      <w:rFonts w:ascii="Tahoma" w:eastAsia="Times New Roman" w:hAnsi="Tahoma" w:cs="Tahoma"/>
      <w:sz w:val="16"/>
      <w:szCs w:val="16"/>
      <w:lang w:val="en-GB"/>
    </w:rPr>
  </w:style>
  <w:style w:type="paragraph" w:customStyle="1" w:styleId="Default">
    <w:name w:val="Default"/>
    <w:rsid w:val="000547D5"/>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caption" w:semiHidden="0" w:uiPriority="35" w:qFormat="1"/>
    <w:lsdException w:name="footnote reference" w:uiPriority="0" w:unhideWhenUsed="0" w:qFormat="1"/>
    <w:lsdException w:name="page number" w:uiPriority="0" w:unhideWhenUsed="0" w:qFormat="1"/>
    <w:lsdException w:name="endnote reference" w:uiPriority="0" w:unhideWhenUsed="0" w:qFormat="1"/>
    <w:lsdException w:name="endnote text" w:uiPriority="0" w:unhideWhenUsed="0" w:qFormat="1"/>
    <w:lsdException w:name="Title" w:semiHidden="0" w:uiPriority="0" w:unhideWhenUsed="0" w:qFormat="1"/>
    <w:lsdException w:name="Default Paragraph Font"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imes New Roman" w:hAnsi="Times"/>
      <w:sz w:val="22"/>
      <w:lang w:val="en-GB"/>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qFormat/>
    <w:pPr>
      <w:numPr>
        <w:ilvl w:val="1"/>
        <w:numId w:val="2"/>
      </w:numPr>
      <w:spacing w:before="240"/>
    </w:pPr>
    <w:rPr>
      <w:rFonts w:ascii="Times" w:eastAsia="Times New Roman" w:hAnsi="Times"/>
      <w:iCs/>
      <w:color w:val="000000"/>
      <w:sz w:val="22"/>
      <w:szCs w:val="22"/>
      <w:lang w:val="en-GB"/>
    </w:rPr>
  </w:style>
  <w:style w:type="paragraph" w:customStyle="1" w:styleId="Bodytext">
    <w:name w:val="Bodytext"/>
    <w:next w:val="BodytextIndented"/>
    <w:qFormat/>
    <w:pPr>
      <w:jc w:val="both"/>
    </w:pPr>
    <w:rPr>
      <w:rFonts w:ascii="Times" w:eastAsia="Times New Roman" w:hAnsi="Times"/>
      <w:iCs/>
      <w:color w:val="000000"/>
      <w:sz w:val="22"/>
      <w:szCs w:val="22"/>
    </w:rPr>
  </w:style>
  <w:style w:type="paragraph" w:customStyle="1" w:styleId="BodytextIndented">
    <w:name w:val="BodytextIndented"/>
    <w:basedOn w:val="Bodytext"/>
    <w:qFormat/>
    <w:pPr>
      <w:ind w:firstLine="284"/>
    </w:pPr>
  </w:style>
  <w:style w:type="paragraph" w:styleId="Caption">
    <w:name w:val="caption"/>
    <w:basedOn w:val="Normal"/>
    <w:next w:val="Normal"/>
    <w:uiPriority w:val="35"/>
    <w:unhideWhenUsed/>
    <w:qFormat/>
    <w:pPr>
      <w:spacing w:after="200" w:line="276" w:lineRule="auto"/>
    </w:pPr>
    <w:rPr>
      <w:rFonts w:ascii="Times New Roman" w:hAnsi="Times New Roman"/>
      <w:b/>
      <w:bCs/>
      <w:sz w:val="20"/>
    </w:rPr>
  </w:style>
  <w:style w:type="paragraph" w:styleId="EndnoteText">
    <w:name w:val="endnote text"/>
    <w:basedOn w:val="Normal"/>
    <w:semiHidden/>
    <w:qFormat/>
    <w:rPr>
      <w:sz w:val="20"/>
    </w:rPr>
  </w:style>
  <w:style w:type="paragraph" w:styleId="FootnoteText">
    <w:name w:val="footnote text"/>
    <w:basedOn w:val="Normal"/>
    <w:semiHidden/>
    <w:qFormat/>
    <w:rPr>
      <w:sz w:val="20"/>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qFormat/>
    <w:pPr>
      <w:spacing w:after="113"/>
      <w:ind w:left="1418"/>
    </w:pPr>
    <w:rPr>
      <w:rFonts w:ascii="Times" w:eastAsia="Times New Roman" w:hAnsi="Times"/>
      <w:b/>
      <w:sz w:val="22"/>
      <w:szCs w:val="22"/>
      <w:lang w:val="en-GB"/>
    </w:rPr>
  </w:style>
  <w:style w:type="paragraph" w:customStyle="1" w:styleId="Addresses">
    <w:name w:val="Addresses"/>
    <w:next w:val="E-mail"/>
    <w:qFormat/>
    <w:pPr>
      <w:spacing w:after="240"/>
      <w:ind w:left="1418"/>
    </w:pPr>
    <w:rPr>
      <w:rFonts w:ascii="Times" w:eastAsia="Times New Roman" w:hAnsi="Times"/>
      <w:sz w:val="22"/>
      <w:szCs w:val="22"/>
      <w:lang w:val="en-GB"/>
    </w:rPr>
  </w:style>
  <w:style w:type="paragraph" w:customStyle="1" w:styleId="E-mail">
    <w:name w:val="E-mail"/>
    <w:next w:val="Abstract"/>
    <w:qFormat/>
    <w:pPr>
      <w:spacing w:after="240"/>
      <w:ind w:left="1418"/>
    </w:pPr>
    <w:rPr>
      <w:rFonts w:ascii="Times" w:eastAsia="Times New Roman" w:hAnsi="Times"/>
      <w:sz w:val="22"/>
      <w:szCs w:val="22"/>
    </w:rPr>
  </w:style>
  <w:style w:type="paragraph" w:customStyle="1" w:styleId="Abstract">
    <w:name w:val="Abstract"/>
    <w:next w:val="Normal"/>
    <w:qFormat/>
    <w:pPr>
      <w:spacing w:after="454"/>
      <w:ind w:left="1418"/>
      <w:jc w:val="both"/>
    </w:pPr>
    <w:rPr>
      <w:rFonts w:ascii="Times" w:eastAsia="Times New Roman" w:hAnsi="Times"/>
      <w:color w:val="000000"/>
      <w:lang w:val="en-GB"/>
    </w:rPr>
  </w:style>
  <w:style w:type="character" w:styleId="EndnoteReference">
    <w:name w:val="endnote reference"/>
    <w:semiHidden/>
    <w:qFormat/>
    <w:rPr>
      <w:vertAlign w:val="superscript"/>
    </w:rPr>
  </w:style>
  <w:style w:type="character" w:styleId="FootnoteReference">
    <w:name w:val="footnote reference"/>
    <w:semiHidden/>
    <w:qFormat/>
    <w:rPr>
      <w:rFonts w:ascii="Times New Roman" w:hAnsi="Times New Roman"/>
      <w:sz w:val="22"/>
      <w:szCs w:val="22"/>
      <w:vertAlign w:val="superscript"/>
    </w:r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basedOn w:val="DefaultParagraphFont"/>
    <w:semiHidden/>
    <w:qFormat/>
  </w:style>
  <w:style w:type="table" w:styleId="TableGrid">
    <w:name w:val="Table Grid"/>
    <w:basedOn w:val="TableNormal"/>
    <w:uiPriority w:val="3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subsection">
    <w:name w:val="Subsubsection"/>
    <w:next w:val="Bodytext"/>
    <w:link w:val="SubsubsectionChar"/>
    <w:qFormat/>
    <w:pPr>
      <w:numPr>
        <w:ilvl w:val="2"/>
        <w:numId w:val="2"/>
      </w:numPr>
      <w:spacing w:before="240"/>
      <w:ind w:firstLine="0"/>
    </w:pPr>
    <w:rPr>
      <w:rFonts w:ascii="Times" w:eastAsia="Times New Roman" w:hAnsi="Times"/>
      <w:i/>
      <w:iCs/>
      <w:color w:val="000000"/>
      <w:sz w:val="22"/>
      <w:szCs w:val="22"/>
      <w:lang w:val="en-GB"/>
    </w:rPr>
  </w:style>
  <w:style w:type="character" w:customStyle="1" w:styleId="SubsubsectionChar">
    <w:name w:val="Subsubsection Char"/>
    <w:link w:val="Subsubsection"/>
    <w:qFormat/>
    <w:rPr>
      <w:rFonts w:ascii="Times" w:hAnsi="Times"/>
      <w:i/>
      <w:iCs/>
      <w:color w:val="000000"/>
      <w:sz w:val="22"/>
      <w:szCs w:val="22"/>
      <w:lang w:eastAsia="en-US"/>
    </w:rPr>
  </w:style>
  <w:style w:type="paragraph" w:customStyle="1" w:styleId="Section">
    <w:name w:val="Section"/>
    <w:next w:val="Bodytext"/>
    <w:qFormat/>
    <w:pPr>
      <w:numPr>
        <w:numId w:val="2"/>
      </w:numPr>
      <w:spacing w:before="240"/>
    </w:pPr>
    <w:rPr>
      <w:rFonts w:ascii="Times" w:eastAsia="Times New Roman" w:hAnsi="Times"/>
      <w:b/>
      <w:iCs/>
      <w:color w:val="000000"/>
      <w:sz w:val="22"/>
      <w:szCs w:val="22"/>
      <w:lang w:val="en-GB"/>
    </w:rPr>
  </w:style>
  <w:style w:type="paragraph" w:customStyle="1" w:styleId="Bulleted">
    <w:name w:val="Bulleted"/>
    <w:qFormat/>
    <w:pPr>
      <w:numPr>
        <w:numId w:val="3"/>
      </w:numPr>
      <w:jc w:val="both"/>
    </w:pPr>
    <w:rPr>
      <w:rFonts w:ascii="Times" w:eastAsia="Times New Roman" w:hAnsi="Times"/>
      <w:color w:val="000000"/>
      <w:sz w:val="22"/>
      <w:szCs w:val="22"/>
      <w:lang w:val="en-GB"/>
    </w:rPr>
  </w:style>
  <w:style w:type="paragraph" w:customStyle="1" w:styleId="Sectionnonumber">
    <w:name w:val="Section (no number)"/>
    <w:next w:val="Bodytext"/>
    <w:qFormat/>
    <w:pPr>
      <w:spacing w:before="240"/>
    </w:pPr>
    <w:rPr>
      <w:rFonts w:ascii="Times" w:eastAsia="Times New Roman" w:hAnsi="Times"/>
      <w:b/>
      <w:iCs/>
      <w:color w:val="000000"/>
      <w:sz w:val="22"/>
      <w:szCs w:val="22"/>
    </w:rPr>
  </w:style>
  <w:style w:type="paragraph" w:customStyle="1" w:styleId="FigureCaption">
    <w:name w:val="FigureCaption"/>
    <w:qFormat/>
    <w:pPr>
      <w:spacing w:before="170"/>
      <w:ind w:left="28"/>
      <w:jc w:val="center"/>
    </w:pPr>
    <w:rPr>
      <w:rFonts w:ascii="Times" w:eastAsia="Times New Roman" w:hAnsi="Times"/>
      <w:color w:val="000000"/>
      <w:sz w:val="22"/>
      <w:szCs w:val="22"/>
      <w:lang w:val="en-GB"/>
    </w:rPr>
  </w:style>
  <w:style w:type="paragraph" w:customStyle="1" w:styleId="Referencenonumber">
    <w:name w:val="Reference (no number)"/>
    <w:basedOn w:val="Reference"/>
    <w:qFormat/>
    <w:pPr>
      <w:numPr>
        <w:numId w:val="0"/>
      </w:numPr>
      <w:tabs>
        <w:tab w:val="clear" w:pos="0"/>
      </w:tabs>
      <w:ind w:left="851" w:hanging="284"/>
    </w:pPr>
  </w:style>
  <w:style w:type="paragraph" w:customStyle="1" w:styleId="Reference">
    <w:name w:val="Reference"/>
    <w:qFormat/>
    <w:pPr>
      <w:widowControl w:val="0"/>
      <w:numPr>
        <w:numId w:val="4"/>
      </w:numPr>
      <w:tabs>
        <w:tab w:val="clear" w:pos="0"/>
        <w:tab w:val="left" w:pos="567"/>
      </w:tabs>
      <w:ind w:left="851" w:hanging="851"/>
      <w:jc w:val="both"/>
    </w:pPr>
    <w:rPr>
      <w:rFonts w:ascii="Times" w:eastAsia="Times New Roman" w:hAnsi="Times"/>
      <w:iCs/>
      <w:color w:val="000000"/>
      <w:sz w:val="22"/>
      <w:szCs w:val="22"/>
      <w:lang w:val="en-GB"/>
    </w:r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qFormat/>
    <w:rPr>
      <w:rFonts w:ascii="TimesNewRomanPSMT" w:hAnsi="TimesNewRomanPSMT" w:hint="default"/>
      <w:color w:val="000000"/>
      <w:sz w:val="24"/>
      <w:szCs w:val="24"/>
    </w:rPr>
  </w:style>
  <w:style w:type="paragraph" w:customStyle="1" w:styleId="TableCaptionCentred">
    <w:name w:val="Table.Caption.Centred"/>
    <w:basedOn w:val="TableCaption"/>
    <w:qFormat/>
    <w:pPr>
      <w:jc w:val="center"/>
    </w:pPr>
  </w:style>
  <w:style w:type="paragraph" w:customStyle="1" w:styleId="TableCaption">
    <w:name w:val="Table.Caption"/>
    <w:qFormat/>
    <w:pPr>
      <w:spacing w:after="120"/>
      <w:jc w:val="both"/>
    </w:pPr>
    <w:rPr>
      <w:rFonts w:ascii="Times" w:eastAsia="Times New Roman" w:hAnsi="Times"/>
      <w:color w:val="000000"/>
      <w:sz w:val="22"/>
      <w:szCs w:val="22"/>
      <w:lang w:val="en-GB"/>
    </w:rPr>
  </w:style>
  <w:style w:type="paragraph" w:customStyle="1" w:styleId="BodyChar">
    <w:name w:val="Body Char"/>
    <w:qFormat/>
    <w:pPr>
      <w:tabs>
        <w:tab w:val="left" w:pos="567"/>
      </w:tabs>
      <w:jc w:val="both"/>
    </w:pPr>
    <w:rPr>
      <w:rFonts w:ascii="Times" w:eastAsia="Times New Roman" w:hAnsi="Times"/>
      <w:color w:val="000000"/>
      <w:sz w:val="22"/>
      <w:szCs w:val="22"/>
      <w:lang w:val="en-GB"/>
    </w:rPr>
  </w:style>
  <w:style w:type="paragraph" w:styleId="Bibliography">
    <w:name w:val="Bibliography"/>
    <w:basedOn w:val="Normal"/>
    <w:next w:val="Normal"/>
    <w:uiPriority w:val="37"/>
    <w:semiHidden/>
    <w:unhideWhenUsed/>
    <w:rsid w:val="00D048CE"/>
  </w:style>
  <w:style w:type="paragraph" w:styleId="BalloonText">
    <w:name w:val="Balloon Text"/>
    <w:basedOn w:val="Normal"/>
    <w:link w:val="BalloonTextChar"/>
    <w:uiPriority w:val="99"/>
    <w:semiHidden/>
    <w:unhideWhenUsed/>
    <w:rsid w:val="00A15543"/>
    <w:rPr>
      <w:rFonts w:ascii="Tahoma" w:hAnsi="Tahoma" w:cs="Tahoma"/>
      <w:sz w:val="16"/>
      <w:szCs w:val="16"/>
    </w:rPr>
  </w:style>
  <w:style w:type="character" w:customStyle="1" w:styleId="BalloonTextChar">
    <w:name w:val="Balloon Text Char"/>
    <w:basedOn w:val="DefaultParagraphFont"/>
    <w:link w:val="BalloonText"/>
    <w:uiPriority w:val="99"/>
    <w:semiHidden/>
    <w:rsid w:val="00A15543"/>
    <w:rPr>
      <w:rFonts w:ascii="Tahoma" w:eastAsia="Times New Roman" w:hAnsi="Tahoma" w:cs="Tahoma"/>
      <w:sz w:val="16"/>
      <w:szCs w:val="16"/>
      <w:lang w:val="en-GB"/>
    </w:rPr>
  </w:style>
  <w:style w:type="paragraph" w:customStyle="1" w:styleId="Default">
    <w:name w:val="Default"/>
    <w:rsid w:val="000547D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90758">
      <w:bodyDiv w:val="1"/>
      <w:marLeft w:val="0"/>
      <w:marRight w:val="0"/>
      <w:marTop w:val="0"/>
      <w:marBottom w:val="0"/>
      <w:divBdr>
        <w:top w:val="none" w:sz="0" w:space="0" w:color="auto"/>
        <w:left w:val="none" w:sz="0" w:space="0" w:color="auto"/>
        <w:bottom w:val="none" w:sz="0" w:space="0" w:color="auto"/>
        <w:right w:val="none" w:sz="0" w:space="0" w:color="auto"/>
      </w:divBdr>
    </w:div>
    <w:div w:id="880828398">
      <w:bodyDiv w:val="1"/>
      <w:marLeft w:val="0"/>
      <w:marRight w:val="0"/>
      <w:marTop w:val="0"/>
      <w:marBottom w:val="0"/>
      <w:divBdr>
        <w:top w:val="none" w:sz="0" w:space="0" w:color="auto"/>
        <w:left w:val="none" w:sz="0" w:space="0" w:color="auto"/>
        <w:bottom w:val="none" w:sz="0" w:space="0" w:color="auto"/>
        <w:right w:val="none" w:sz="0" w:space="0" w:color="auto"/>
      </w:divBdr>
    </w:div>
    <w:div w:id="1094282057">
      <w:bodyDiv w:val="1"/>
      <w:marLeft w:val="0"/>
      <w:marRight w:val="0"/>
      <w:marTop w:val="0"/>
      <w:marBottom w:val="0"/>
      <w:divBdr>
        <w:top w:val="none" w:sz="0" w:space="0" w:color="auto"/>
        <w:left w:val="none" w:sz="0" w:space="0" w:color="auto"/>
        <w:bottom w:val="none" w:sz="0" w:space="0" w:color="auto"/>
        <w:right w:val="none" w:sz="0" w:space="0" w:color="auto"/>
      </w:divBdr>
    </w:div>
    <w:div w:id="1173034516">
      <w:bodyDiv w:val="1"/>
      <w:marLeft w:val="0"/>
      <w:marRight w:val="0"/>
      <w:marTop w:val="0"/>
      <w:marBottom w:val="0"/>
      <w:divBdr>
        <w:top w:val="none" w:sz="0" w:space="0" w:color="auto"/>
        <w:left w:val="none" w:sz="0" w:space="0" w:color="auto"/>
        <w:bottom w:val="none" w:sz="0" w:space="0" w:color="auto"/>
        <w:right w:val="none" w:sz="0" w:space="0" w:color="auto"/>
      </w:divBdr>
    </w:div>
    <w:div w:id="1632634802">
      <w:bodyDiv w:val="1"/>
      <w:marLeft w:val="0"/>
      <w:marRight w:val="0"/>
      <w:marTop w:val="0"/>
      <w:marBottom w:val="0"/>
      <w:divBdr>
        <w:top w:val="none" w:sz="0" w:space="0" w:color="auto"/>
        <w:left w:val="none" w:sz="0" w:space="0" w:color="auto"/>
        <w:bottom w:val="none" w:sz="0" w:space="0" w:color="auto"/>
        <w:right w:val="none" w:sz="0" w:space="0" w:color="auto"/>
      </w:divBdr>
    </w:div>
    <w:div w:id="1815217743">
      <w:bodyDiv w:val="1"/>
      <w:marLeft w:val="0"/>
      <w:marRight w:val="0"/>
      <w:marTop w:val="0"/>
      <w:marBottom w:val="0"/>
      <w:divBdr>
        <w:top w:val="none" w:sz="0" w:space="0" w:color="auto"/>
        <w:left w:val="none" w:sz="0" w:space="0" w:color="auto"/>
        <w:bottom w:val="none" w:sz="0" w:space="0" w:color="auto"/>
        <w:right w:val="none" w:sz="0" w:space="0" w:color="auto"/>
      </w:divBdr>
    </w:div>
    <w:div w:id="1879662024">
      <w:bodyDiv w:val="1"/>
      <w:marLeft w:val="0"/>
      <w:marRight w:val="0"/>
      <w:marTop w:val="0"/>
      <w:marBottom w:val="0"/>
      <w:divBdr>
        <w:top w:val="none" w:sz="0" w:space="0" w:color="auto"/>
        <w:left w:val="none" w:sz="0" w:space="0" w:color="auto"/>
        <w:bottom w:val="none" w:sz="0" w:space="0" w:color="auto"/>
        <w:right w:val="none" w:sz="0" w:space="0" w:color="auto"/>
      </w:divBdr>
    </w:div>
    <w:div w:id="1947302480">
      <w:bodyDiv w:val="1"/>
      <w:marLeft w:val="0"/>
      <w:marRight w:val="0"/>
      <w:marTop w:val="0"/>
      <w:marBottom w:val="0"/>
      <w:divBdr>
        <w:top w:val="none" w:sz="0" w:space="0" w:color="auto"/>
        <w:left w:val="none" w:sz="0" w:space="0" w:color="auto"/>
        <w:bottom w:val="none" w:sz="0" w:space="0" w:color="auto"/>
        <w:right w:val="none" w:sz="0" w:space="0" w:color="auto"/>
      </w:divBdr>
    </w:div>
    <w:div w:id="195790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gus.setiabudi.fis@um.ac.id"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surjati@unikama.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2A985-CE6A-49D5-8D3E-81901E8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353</TotalTime>
  <Pages>6</Pages>
  <Words>7143</Words>
  <Characters>40719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44</cp:revision>
  <cp:lastPrinted>2005-02-25T09:52:00Z</cp:lastPrinted>
  <dcterms:created xsi:type="dcterms:W3CDTF">2015-09-02T08:53:00Z</dcterms:created>
  <dcterms:modified xsi:type="dcterms:W3CDTF">2020-12-14T17:36:00Z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65a51150-ce46-30d2-bc72-f16fe24c4f5f</vt:lpwstr>
  </property>
  <property fmtid="{D5CDD505-2E9C-101B-9397-08002B2CF9AE}" pid="25" name="Mendeley Citation Style_1">
    <vt:lpwstr>http://www.zotero.org/styles/apa</vt:lpwstr>
  </property>
</Properties>
</file>