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4F54F" w14:textId="7662EE4A" w:rsidR="00973B5E" w:rsidRDefault="00973B5E" w:rsidP="00973B5E">
      <w:pPr>
        <w:pStyle w:val="p0"/>
        <w:spacing w:after="0"/>
        <w:jc w:val="both"/>
        <w:rPr>
          <w:rFonts w:ascii="Times New Roman" w:hAnsi="Times New Roman" w:cs="Times New Roman"/>
          <w:b/>
          <w:bCs/>
          <w:color w:val="222222"/>
          <w:sz w:val="34"/>
          <w:szCs w:val="34"/>
        </w:rPr>
      </w:pPr>
      <w:r w:rsidRPr="00973B5E">
        <w:rPr>
          <w:rFonts w:ascii="Times New Roman" w:hAnsi="Times New Roman" w:cs="Times New Roman"/>
          <w:b/>
          <w:bCs/>
          <w:color w:val="222222"/>
          <w:sz w:val="34"/>
          <w:szCs w:val="34"/>
        </w:rPr>
        <w:t xml:space="preserve">Analysis </w:t>
      </w:r>
      <w:proofErr w:type="gramStart"/>
      <w:r w:rsidRPr="00973B5E">
        <w:rPr>
          <w:rFonts w:ascii="Times New Roman" w:hAnsi="Times New Roman" w:cs="Times New Roman"/>
          <w:b/>
          <w:bCs/>
          <w:color w:val="222222"/>
          <w:sz w:val="34"/>
          <w:szCs w:val="34"/>
        </w:rPr>
        <w:t>Of</w:t>
      </w:r>
      <w:proofErr w:type="gramEnd"/>
      <w:r w:rsidRPr="00973B5E">
        <w:rPr>
          <w:rFonts w:ascii="Times New Roman" w:hAnsi="Times New Roman" w:cs="Times New Roman"/>
          <w:b/>
          <w:bCs/>
          <w:color w:val="222222"/>
          <w:sz w:val="34"/>
          <w:szCs w:val="34"/>
        </w:rPr>
        <w:t xml:space="preserve"> Company Performance With The Balanced Scorecard Approach In C</w:t>
      </w:r>
      <w:r w:rsidR="00784F56">
        <w:rPr>
          <w:rFonts w:ascii="Times New Roman" w:hAnsi="Times New Roman" w:cs="Times New Roman"/>
          <w:b/>
          <w:bCs/>
          <w:color w:val="222222"/>
          <w:sz w:val="34"/>
          <w:szCs w:val="34"/>
        </w:rPr>
        <w:t>V</w:t>
      </w:r>
      <w:r w:rsidRPr="00973B5E">
        <w:rPr>
          <w:rFonts w:ascii="Times New Roman" w:hAnsi="Times New Roman" w:cs="Times New Roman"/>
          <w:b/>
          <w:bCs/>
          <w:color w:val="222222"/>
          <w:sz w:val="34"/>
          <w:szCs w:val="34"/>
        </w:rPr>
        <w:t xml:space="preserve">. </w:t>
      </w:r>
      <w:proofErr w:type="spellStart"/>
      <w:r w:rsidRPr="00973B5E">
        <w:rPr>
          <w:rFonts w:ascii="Times New Roman" w:hAnsi="Times New Roman" w:cs="Times New Roman"/>
          <w:b/>
          <w:bCs/>
          <w:color w:val="222222"/>
          <w:sz w:val="34"/>
          <w:szCs w:val="34"/>
        </w:rPr>
        <w:t>Mulya</w:t>
      </w:r>
      <w:proofErr w:type="spellEnd"/>
      <w:r w:rsidRPr="00973B5E">
        <w:rPr>
          <w:rFonts w:ascii="Times New Roman" w:hAnsi="Times New Roman" w:cs="Times New Roman"/>
          <w:b/>
          <w:bCs/>
          <w:color w:val="222222"/>
          <w:sz w:val="34"/>
          <w:szCs w:val="34"/>
        </w:rPr>
        <w:t xml:space="preserve"> Jaya Abadi Surabaya</w:t>
      </w:r>
    </w:p>
    <w:p w14:paraId="6C5C47A5" w14:textId="77777777" w:rsidR="00973B5E" w:rsidRPr="00973B5E" w:rsidRDefault="00973B5E" w:rsidP="00973B5E">
      <w:pPr>
        <w:pStyle w:val="p0"/>
        <w:spacing w:after="0"/>
        <w:jc w:val="both"/>
        <w:rPr>
          <w:sz w:val="34"/>
          <w:szCs w:val="34"/>
        </w:rPr>
      </w:pPr>
    </w:p>
    <w:p w14:paraId="0E353A86" w14:textId="75A5B60E" w:rsidR="00B577E9" w:rsidRPr="00B577E9" w:rsidRDefault="00B577E9">
      <w:pPr>
        <w:pStyle w:val="Authors"/>
      </w:pPr>
      <w:r>
        <w:t>I D Febryanto</w:t>
      </w:r>
      <w:proofErr w:type="gramStart"/>
      <w:r>
        <w:rPr>
          <w:vertAlign w:val="superscript"/>
        </w:rPr>
        <w:t xml:space="preserve">1 </w:t>
      </w:r>
      <w:r>
        <w:t>,</w:t>
      </w:r>
      <w:proofErr w:type="gramEnd"/>
      <w:r>
        <w:t xml:space="preserve"> A P Aji</w:t>
      </w:r>
      <w:r>
        <w:rPr>
          <w:vertAlign w:val="superscript"/>
        </w:rPr>
        <w:t xml:space="preserve">1 </w:t>
      </w:r>
      <w:r>
        <w:t>, D R Senna</w:t>
      </w:r>
      <w:r>
        <w:rPr>
          <w:vertAlign w:val="superscript"/>
        </w:rPr>
        <w:t xml:space="preserve">1 </w:t>
      </w:r>
      <w:r>
        <w:t>, A Faisal</w:t>
      </w:r>
    </w:p>
    <w:p w14:paraId="135D2759" w14:textId="21FB820D" w:rsidR="009A0487" w:rsidRDefault="00BE2F77" w:rsidP="00006EA6">
      <w:pPr>
        <w:pStyle w:val="Addresses"/>
        <w:spacing w:after="0"/>
      </w:pPr>
      <w:r w:rsidRPr="00BE2F77">
        <w:rPr>
          <w:vertAlign w:val="superscript"/>
        </w:rPr>
        <w:t>1</w:t>
      </w:r>
      <w:r>
        <w:t xml:space="preserve">Industrial Engineering Department, Universitas PGRI Adi </w:t>
      </w:r>
      <w:proofErr w:type="spellStart"/>
      <w:r>
        <w:t>Buana</w:t>
      </w:r>
      <w:proofErr w:type="spellEnd"/>
      <w:r>
        <w:t>, Surabaya, Indonesia</w:t>
      </w:r>
    </w:p>
    <w:p w14:paraId="77BB2D9D" w14:textId="77777777" w:rsidR="00006EA6" w:rsidRDefault="00006EA6">
      <w:pPr>
        <w:pStyle w:val="E-mail"/>
      </w:pPr>
    </w:p>
    <w:p w14:paraId="62D1C749" w14:textId="7FBE8C8F" w:rsidR="009A0487" w:rsidRDefault="00BE2F77">
      <w:pPr>
        <w:pStyle w:val="E-mail"/>
      </w:pPr>
      <w:r>
        <w:t>*</w:t>
      </w:r>
      <w:r w:rsidR="00B577E9">
        <w:t>indra</w:t>
      </w:r>
      <w:r>
        <w:t>@unipasby.ac.id</w:t>
      </w:r>
    </w:p>
    <w:p w14:paraId="3E468596" w14:textId="1FB968FC" w:rsidR="004B7184" w:rsidRPr="004B7184" w:rsidRDefault="009A0487" w:rsidP="004B7184">
      <w:pPr>
        <w:pStyle w:val="Abstract"/>
        <w:rPr>
          <w:lang w:val="en-ID"/>
        </w:rPr>
      </w:pPr>
      <w:r>
        <w:rPr>
          <w:b/>
        </w:rPr>
        <w:t>Abstract</w:t>
      </w:r>
      <w:r>
        <w:t xml:space="preserve">. </w:t>
      </w:r>
      <w:r w:rsidR="00B577E9" w:rsidRPr="00B577E9">
        <w:rPr>
          <w:rFonts w:ascii="Times New Roman" w:hAnsi="Times New Roman"/>
          <w:color w:val="212529"/>
          <w:shd w:val="clear" w:color="auto" w:fill="FFFFFF"/>
        </w:rPr>
        <w:t xml:space="preserve">CV. </w:t>
      </w:r>
      <w:proofErr w:type="spellStart"/>
      <w:r w:rsidR="00B577E9" w:rsidRPr="00B577E9">
        <w:rPr>
          <w:rFonts w:ascii="Times New Roman" w:hAnsi="Times New Roman"/>
          <w:color w:val="212529"/>
          <w:shd w:val="clear" w:color="auto" w:fill="FFFFFF"/>
        </w:rPr>
        <w:t>Mulya</w:t>
      </w:r>
      <w:proofErr w:type="spellEnd"/>
      <w:r w:rsidR="00B577E9" w:rsidRPr="00B577E9">
        <w:rPr>
          <w:rFonts w:ascii="Times New Roman" w:hAnsi="Times New Roman"/>
          <w:color w:val="212529"/>
          <w:shd w:val="clear" w:color="auto" w:fill="FFFFFF"/>
        </w:rPr>
        <w:t xml:space="preserve"> Jaya Abadi is a company engaged in the marketing of soap products, detergents, cosmetic products. The purpose of this study is to assess the performance of the company CV. </w:t>
      </w:r>
      <w:proofErr w:type="spellStart"/>
      <w:r w:rsidR="00B577E9" w:rsidRPr="00B577E9">
        <w:rPr>
          <w:rFonts w:ascii="Times New Roman" w:hAnsi="Times New Roman"/>
          <w:color w:val="212529"/>
          <w:shd w:val="clear" w:color="auto" w:fill="FFFFFF"/>
        </w:rPr>
        <w:t>Mulya</w:t>
      </w:r>
      <w:proofErr w:type="spellEnd"/>
      <w:r w:rsidR="00B577E9" w:rsidRPr="00B577E9">
        <w:rPr>
          <w:rFonts w:ascii="Times New Roman" w:hAnsi="Times New Roman"/>
          <w:color w:val="212529"/>
          <w:shd w:val="clear" w:color="auto" w:fill="FFFFFF"/>
        </w:rPr>
        <w:t xml:space="preserve"> Jaya Abadi by using a balanced scorecard. The results of research on the performance of a company have been carried out well from the four balanced scorecard perspectives, namely: (1) Financial perspective, the company's net profit margin from 2017 to 2018 has increased 0.2%, the operating profit margin is seen as a positive percentage of the year. 2017 to 2018. The company experienced an increase of 0.48%, ROI (Return </w:t>
      </w:r>
      <w:proofErr w:type="gramStart"/>
      <w:r w:rsidR="00B577E9" w:rsidRPr="00B577E9">
        <w:rPr>
          <w:rFonts w:ascii="Times New Roman" w:hAnsi="Times New Roman"/>
          <w:color w:val="212529"/>
          <w:shd w:val="clear" w:color="auto" w:fill="FFFFFF"/>
        </w:rPr>
        <w:t>On</w:t>
      </w:r>
      <w:proofErr w:type="gramEnd"/>
      <w:r w:rsidR="00B577E9" w:rsidRPr="00B577E9">
        <w:rPr>
          <w:rFonts w:ascii="Times New Roman" w:hAnsi="Times New Roman"/>
          <w:color w:val="212529"/>
          <w:shd w:val="clear" w:color="auto" w:fill="FFFFFF"/>
        </w:rPr>
        <w:t xml:space="preserve"> Investment) that from 2017 to 2018 experienced an increase that was not too large. (2) Customer perspective, the percentage of customer acquisition experienced an increase from 2017 to 2018 with a 3% increase in percentage and a 4% increase in customer retention. (3) Internal business and process perspectives, in the past 2 years there has been a decline in innovation from 2 innovations to 1 innovation, (4) Learning and growth perspective, this increased employee retention rate it was noted that in 2017 the number of employees who left </w:t>
      </w:r>
      <w:r w:rsidR="00B55676">
        <w:rPr>
          <w:rFonts w:ascii="Times New Roman" w:hAnsi="Times New Roman"/>
          <w:color w:val="212529"/>
          <w:shd w:val="clear" w:color="auto" w:fill="FFFFFF"/>
        </w:rPr>
        <w:t xml:space="preserve">was </w:t>
      </w:r>
      <w:r w:rsidR="00B577E9" w:rsidRPr="00B577E9">
        <w:rPr>
          <w:rFonts w:ascii="Times New Roman" w:hAnsi="Times New Roman"/>
          <w:color w:val="212529"/>
          <w:shd w:val="clear" w:color="auto" w:fill="FFFFFF"/>
        </w:rPr>
        <w:t>50 people, while in 2018 there were 30 people</w:t>
      </w:r>
      <w:r w:rsidR="00B577E9">
        <w:rPr>
          <w:rFonts w:ascii="Segoe UI" w:hAnsi="Segoe UI" w:cs="Segoe UI"/>
          <w:color w:val="212529"/>
          <w:shd w:val="clear" w:color="auto" w:fill="FFFFFF"/>
        </w:rPr>
        <w:t>. </w:t>
      </w:r>
    </w:p>
    <w:p w14:paraId="6C1BA7EB" w14:textId="04B0AD0D" w:rsidR="009A0487" w:rsidRDefault="00B5335B">
      <w:pPr>
        <w:pStyle w:val="Section"/>
      </w:pPr>
      <w:r>
        <w:t>Introduction</w:t>
      </w:r>
    </w:p>
    <w:p w14:paraId="6A1A74A6" w14:textId="7E4B29A4" w:rsidR="000F1EB8" w:rsidRDefault="000F1EB8" w:rsidP="000F1EB8">
      <w:pPr>
        <w:pStyle w:val="Section"/>
        <w:numPr>
          <w:ilvl w:val="0"/>
          <w:numId w:val="0"/>
        </w:numPr>
        <w:spacing w:before="0"/>
        <w:jc w:val="both"/>
        <w:rPr>
          <w:b w:val="0"/>
          <w:bCs/>
        </w:rPr>
      </w:pPr>
      <w:r w:rsidRPr="000F1EB8">
        <w:rPr>
          <w:rFonts w:ascii="Times New Roman" w:hAnsi="Times New Roman"/>
          <w:b w:val="0"/>
          <w:bCs/>
        </w:rPr>
        <w:t xml:space="preserve">Nowadays, in 4.0 era supply chain is become bigger and important attention that </w:t>
      </w:r>
      <w:r w:rsidR="00B55676">
        <w:rPr>
          <w:rFonts w:ascii="Times New Roman" w:hAnsi="Times New Roman"/>
          <w:b w:val="0"/>
          <w:bCs/>
        </w:rPr>
        <w:t xml:space="preserve">an </w:t>
      </w:r>
      <w:r w:rsidRPr="000F1EB8">
        <w:rPr>
          <w:rFonts w:ascii="Times New Roman" w:hAnsi="Times New Roman"/>
          <w:b w:val="0"/>
          <w:bCs/>
        </w:rPr>
        <w:t xml:space="preserve">enterprise needs to develop </w:t>
      </w:r>
      <w:r w:rsidR="00B55676">
        <w:rPr>
          <w:rFonts w:ascii="Times New Roman" w:hAnsi="Times New Roman"/>
          <w:b w:val="0"/>
          <w:bCs/>
        </w:rPr>
        <w:t>its</w:t>
      </w:r>
      <w:r w:rsidRPr="000F1EB8">
        <w:rPr>
          <w:rFonts w:ascii="Times New Roman" w:hAnsi="Times New Roman"/>
          <w:b w:val="0"/>
          <w:bCs/>
        </w:rPr>
        <w:t xml:space="preserve"> effort to satisf</w:t>
      </w:r>
      <w:r w:rsidR="00B55676">
        <w:rPr>
          <w:rFonts w:ascii="Times New Roman" w:hAnsi="Times New Roman"/>
          <w:b w:val="0"/>
          <w:bCs/>
        </w:rPr>
        <w:t>y</w:t>
      </w:r>
      <w:r w:rsidRPr="000F1EB8">
        <w:rPr>
          <w:rFonts w:ascii="Times New Roman" w:hAnsi="Times New Roman"/>
          <w:b w:val="0"/>
          <w:bCs/>
        </w:rPr>
        <w:t xml:space="preserve"> </w:t>
      </w:r>
      <w:r w:rsidR="00B55676">
        <w:rPr>
          <w:rFonts w:ascii="Times New Roman" w:hAnsi="Times New Roman"/>
          <w:b w:val="0"/>
          <w:bCs/>
        </w:rPr>
        <w:t xml:space="preserve">a </w:t>
      </w:r>
      <w:r w:rsidRPr="000F1EB8">
        <w:rPr>
          <w:rFonts w:ascii="Times New Roman" w:hAnsi="Times New Roman"/>
          <w:b w:val="0"/>
          <w:bCs/>
        </w:rPr>
        <w:t>customer. Market globalization has made supply chain management an interesting topic to be discussed: an efficient supply chain can lead to a range of benefits including reduced cost, increased market share and sales, and sustainable customer relationships [</w:t>
      </w:r>
      <w:r w:rsidR="003751EB">
        <w:rPr>
          <w:rFonts w:ascii="Times New Roman" w:hAnsi="Times New Roman"/>
          <w:b w:val="0"/>
          <w:bCs/>
        </w:rPr>
        <w:t>4</w:t>
      </w:r>
      <w:r w:rsidRPr="000F1EB8">
        <w:rPr>
          <w:rFonts w:ascii="Times New Roman" w:hAnsi="Times New Roman"/>
          <w:b w:val="0"/>
          <w:bCs/>
        </w:rPr>
        <w:t>]. It has also been cited that evaluation of supply chain performance can improve the overall performance of the organization [</w:t>
      </w:r>
      <w:r w:rsidR="003751EB">
        <w:rPr>
          <w:rFonts w:ascii="Times New Roman" w:hAnsi="Times New Roman"/>
          <w:b w:val="0"/>
          <w:bCs/>
        </w:rPr>
        <w:t>9]</w:t>
      </w:r>
      <w:r w:rsidRPr="000F1EB8">
        <w:rPr>
          <w:rFonts w:ascii="Times New Roman" w:hAnsi="Times New Roman"/>
          <w:b w:val="0"/>
          <w:bCs/>
        </w:rPr>
        <w:t xml:space="preserve">. </w:t>
      </w:r>
      <w:r w:rsidR="00973B5E">
        <w:rPr>
          <w:rFonts w:ascii="Times New Roman" w:hAnsi="Times New Roman"/>
          <w:b w:val="0"/>
          <w:bCs/>
        </w:rPr>
        <w:t xml:space="preserve"> </w:t>
      </w:r>
      <w:r w:rsidR="00973B5E" w:rsidRPr="00973B5E">
        <w:rPr>
          <w:b w:val="0"/>
          <w:bCs/>
        </w:rPr>
        <w:t>The development of robust mechanisms for supply chain performance measurement ha</w:t>
      </w:r>
      <w:r w:rsidR="00377E75">
        <w:rPr>
          <w:b w:val="0"/>
          <w:bCs/>
        </w:rPr>
        <w:t>s</w:t>
      </w:r>
      <w:r w:rsidR="00973B5E" w:rsidRPr="00973B5E">
        <w:rPr>
          <w:b w:val="0"/>
          <w:bCs/>
        </w:rPr>
        <w:t xml:space="preserve"> been identified as an integral step needed for the transition towards sustainable supply chain systems and a greener global economy</w:t>
      </w:r>
      <w:r w:rsidR="00973B5E">
        <w:rPr>
          <w:b w:val="0"/>
          <w:bCs/>
        </w:rPr>
        <w:t xml:space="preserve"> [</w:t>
      </w:r>
      <w:r w:rsidR="003751EB">
        <w:rPr>
          <w:b w:val="0"/>
          <w:bCs/>
        </w:rPr>
        <w:t>2</w:t>
      </w:r>
      <w:r w:rsidR="00973B5E">
        <w:rPr>
          <w:b w:val="0"/>
          <w:bCs/>
        </w:rPr>
        <w:t xml:space="preserve">]. </w:t>
      </w:r>
      <w:r w:rsidR="00973B5E" w:rsidRPr="00973B5E">
        <w:rPr>
          <w:b w:val="0"/>
          <w:bCs/>
        </w:rPr>
        <w:t>There is ongoing importance to the sustainable supply chain performance measurement due to the shifting competitiveness between individual organizations of which supply chains competing against each other. Thus, evaluating the supply chain and improving supply chain performance require</w:t>
      </w:r>
      <w:r w:rsidR="00377E75">
        <w:rPr>
          <w:b w:val="0"/>
          <w:bCs/>
        </w:rPr>
        <w:t>s</w:t>
      </w:r>
      <w:r w:rsidR="00973B5E" w:rsidRPr="00973B5E">
        <w:rPr>
          <w:b w:val="0"/>
          <w:bCs/>
        </w:rPr>
        <w:t xml:space="preserve"> the development of </w:t>
      </w:r>
      <w:r w:rsidR="00377E75">
        <w:rPr>
          <w:b w:val="0"/>
          <w:bCs/>
        </w:rPr>
        <w:t xml:space="preserve">a </w:t>
      </w:r>
      <w:r w:rsidR="00973B5E" w:rsidRPr="00973B5E">
        <w:rPr>
          <w:b w:val="0"/>
          <w:bCs/>
        </w:rPr>
        <w:t>sustainable supply chain performance measurement system</w:t>
      </w:r>
      <w:r w:rsidR="00973B5E">
        <w:rPr>
          <w:b w:val="0"/>
          <w:bCs/>
        </w:rPr>
        <w:t xml:space="preserve"> [</w:t>
      </w:r>
      <w:r w:rsidR="003751EB">
        <w:rPr>
          <w:b w:val="0"/>
          <w:bCs/>
        </w:rPr>
        <w:t>14</w:t>
      </w:r>
      <w:r w:rsidR="00973B5E">
        <w:rPr>
          <w:b w:val="0"/>
          <w:bCs/>
        </w:rPr>
        <w:t xml:space="preserve">] </w:t>
      </w:r>
    </w:p>
    <w:p w14:paraId="4900C95B" w14:textId="7CF4606C" w:rsidR="003751EB" w:rsidRPr="003751EB" w:rsidRDefault="003751EB" w:rsidP="003751EB">
      <w:pPr>
        <w:pStyle w:val="Bodytext"/>
        <w:ind w:firstLine="284"/>
        <w:rPr>
          <w:lang w:val="en-GB"/>
        </w:rPr>
      </w:pPr>
      <w:r w:rsidRPr="003751EB">
        <w:rPr>
          <w:lang w:val="en-GB"/>
        </w:rPr>
        <w:t xml:space="preserve">Performance measurement is intended to </w:t>
      </w:r>
      <w:proofErr w:type="spellStart"/>
      <w:r w:rsidRPr="003751EB">
        <w:rPr>
          <w:lang w:val="en-GB"/>
        </w:rPr>
        <w:t>fulfill</w:t>
      </w:r>
      <w:proofErr w:type="spellEnd"/>
      <w:r w:rsidRPr="003751EB">
        <w:rPr>
          <w:lang w:val="en-GB"/>
        </w:rPr>
        <w:t xml:space="preserve"> three thing</w:t>
      </w:r>
      <w:r w:rsidR="00377E75">
        <w:rPr>
          <w:lang w:val="en-GB"/>
        </w:rPr>
        <w:t>s</w:t>
      </w:r>
      <w:r w:rsidRPr="003751EB">
        <w:rPr>
          <w:lang w:val="en-GB"/>
        </w:rPr>
        <w:t xml:space="preserve">. First, performance measurement is meant </w:t>
      </w:r>
      <w:r w:rsidR="00377E75">
        <w:rPr>
          <w:lang w:val="en-GB"/>
        </w:rPr>
        <w:t>to</w:t>
      </w:r>
      <w:r>
        <w:rPr>
          <w:lang w:val="en-GB"/>
        </w:rPr>
        <w:t xml:space="preserve"> </w:t>
      </w:r>
      <w:r w:rsidRPr="003751EB">
        <w:rPr>
          <w:lang w:val="en-GB"/>
        </w:rPr>
        <w:t>help improve company performance</w:t>
      </w:r>
      <w:r>
        <w:rPr>
          <w:lang w:val="en-GB"/>
        </w:rPr>
        <w:t xml:space="preserve">. </w:t>
      </w:r>
      <w:r w:rsidRPr="003751EB">
        <w:rPr>
          <w:lang w:val="en-GB"/>
        </w:rPr>
        <w:t>Second, the performance measure of a company is used for allocations</w:t>
      </w:r>
      <w:r>
        <w:rPr>
          <w:lang w:val="en-GB"/>
        </w:rPr>
        <w:t xml:space="preserve"> </w:t>
      </w:r>
      <w:r w:rsidR="00377E75">
        <w:rPr>
          <w:lang w:val="en-GB"/>
        </w:rPr>
        <w:t xml:space="preserve">of </w:t>
      </w:r>
      <w:r w:rsidRPr="003751EB">
        <w:rPr>
          <w:lang w:val="en-GB"/>
        </w:rPr>
        <w:t>resources</w:t>
      </w:r>
      <w:r w:rsidR="00377E75">
        <w:rPr>
          <w:lang w:val="en-GB"/>
        </w:rPr>
        <w:t xml:space="preserve"> </w:t>
      </w:r>
      <w:r w:rsidRPr="003751EB">
        <w:rPr>
          <w:lang w:val="en-GB"/>
        </w:rPr>
        <w:t>and decision</w:t>
      </w:r>
      <w:r w:rsidR="00377E75">
        <w:rPr>
          <w:lang w:val="en-GB"/>
        </w:rPr>
        <w:t>-</w:t>
      </w:r>
      <w:r w:rsidRPr="003751EB">
        <w:rPr>
          <w:lang w:val="en-GB"/>
        </w:rPr>
        <w:t>makers. Third, the performance measure of a company</w:t>
      </w:r>
      <w:r>
        <w:rPr>
          <w:lang w:val="en-GB"/>
        </w:rPr>
        <w:t xml:space="preserve"> </w:t>
      </w:r>
      <w:r w:rsidR="00377E75">
        <w:rPr>
          <w:lang w:val="en-GB"/>
        </w:rPr>
        <w:t xml:space="preserve">is </w:t>
      </w:r>
      <w:r w:rsidRPr="003751EB">
        <w:rPr>
          <w:lang w:val="en-GB"/>
        </w:rPr>
        <w:t>intended to create accountability to superiors and</w:t>
      </w:r>
      <w:r>
        <w:rPr>
          <w:lang w:val="en-GB"/>
        </w:rPr>
        <w:t xml:space="preserve"> </w:t>
      </w:r>
      <w:r w:rsidRPr="003751EB">
        <w:rPr>
          <w:lang w:val="en-GB"/>
        </w:rPr>
        <w:t xml:space="preserve">improve institutional </w:t>
      </w:r>
      <w:proofErr w:type="gramStart"/>
      <w:r w:rsidRPr="003751EB">
        <w:rPr>
          <w:lang w:val="en-GB"/>
        </w:rPr>
        <w:t>communication.</w:t>
      </w:r>
      <w:r>
        <w:rPr>
          <w:lang w:val="en-GB"/>
        </w:rPr>
        <w:t>[</w:t>
      </w:r>
      <w:proofErr w:type="gramEnd"/>
      <w:r>
        <w:rPr>
          <w:lang w:val="en-GB"/>
        </w:rPr>
        <w:t>6 ]</w:t>
      </w:r>
    </w:p>
    <w:p w14:paraId="74652869" w14:textId="1765A6B6"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 xml:space="preserve">Several studies have focused on the evaluating performance of </w:t>
      </w:r>
      <w:r w:rsidR="00B55676">
        <w:rPr>
          <w:rFonts w:ascii="Times New Roman" w:hAnsi="Times New Roman"/>
          <w:b w:val="0"/>
          <w:bCs/>
        </w:rPr>
        <w:t xml:space="preserve">the </w:t>
      </w:r>
      <w:r w:rsidRPr="000F1EB8">
        <w:rPr>
          <w:rFonts w:ascii="Times New Roman" w:hAnsi="Times New Roman"/>
          <w:b w:val="0"/>
          <w:bCs/>
        </w:rPr>
        <w:t xml:space="preserve">supply chain based on </w:t>
      </w:r>
      <w:r w:rsidR="00B55676">
        <w:rPr>
          <w:rFonts w:ascii="Times New Roman" w:hAnsi="Times New Roman"/>
          <w:b w:val="0"/>
          <w:bCs/>
        </w:rPr>
        <w:t xml:space="preserve">the </w:t>
      </w:r>
      <w:r w:rsidRPr="000F1EB8">
        <w:rPr>
          <w:rFonts w:ascii="Times New Roman" w:hAnsi="Times New Roman"/>
          <w:b w:val="0"/>
          <w:bCs/>
        </w:rPr>
        <w:t xml:space="preserve">Balanced Score Card. The strongest point of BSC is its ability to illustrate the cause and effect relations between strategies and processes through the four BSC’s perspectives of financial perspective, customer perspective, internal business process perspective, as well as learning and growth perspective. The present paper is an attempt </w:t>
      </w:r>
      <w:r w:rsidR="00B55676">
        <w:rPr>
          <w:rFonts w:ascii="Times New Roman" w:hAnsi="Times New Roman"/>
          <w:b w:val="0"/>
          <w:bCs/>
        </w:rPr>
        <w:t xml:space="preserve">to </w:t>
      </w:r>
      <w:r w:rsidRPr="000F1EB8">
        <w:rPr>
          <w:rFonts w:ascii="Times New Roman" w:hAnsi="Times New Roman"/>
          <w:b w:val="0"/>
          <w:bCs/>
        </w:rPr>
        <w:t>focus</w:t>
      </w:r>
      <w:r w:rsidR="00B55676">
        <w:rPr>
          <w:rFonts w:ascii="Times New Roman" w:hAnsi="Times New Roman"/>
          <w:b w:val="0"/>
          <w:bCs/>
        </w:rPr>
        <w:t xml:space="preserve"> </w:t>
      </w:r>
      <w:r w:rsidRPr="000F1EB8">
        <w:rPr>
          <w:rFonts w:ascii="Times New Roman" w:hAnsi="Times New Roman"/>
          <w:b w:val="0"/>
          <w:bCs/>
        </w:rPr>
        <w:t>on these relationships, especially the returnable ones. To do so, at first, all relationships between the four perspectives of BSC were determined</w:t>
      </w:r>
      <w:r w:rsidR="00B55676">
        <w:rPr>
          <w:rFonts w:ascii="Times New Roman" w:hAnsi="Times New Roman"/>
          <w:b w:val="0"/>
          <w:bCs/>
        </w:rPr>
        <w:t xml:space="preserve">, </w:t>
      </w:r>
      <w:r w:rsidRPr="000F1EB8">
        <w:rPr>
          <w:rFonts w:ascii="Times New Roman" w:hAnsi="Times New Roman"/>
          <w:b w:val="0"/>
          <w:bCs/>
        </w:rPr>
        <w:t xml:space="preserve">and then the DEMATEL approach was employed to obtain a network structure. This network structure was then used to create a </w:t>
      </w:r>
      <w:r w:rsidRPr="000F1EB8">
        <w:rPr>
          <w:rFonts w:ascii="Times New Roman" w:hAnsi="Times New Roman"/>
          <w:b w:val="0"/>
          <w:bCs/>
        </w:rPr>
        <w:lastRenderedPageBreak/>
        <w:t xml:space="preserve">network DEA model. Since it was not possible to calculate the efficiency evaluation score by BSC, the data envelopment analysis (DEA) model was used for such an </w:t>
      </w:r>
      <w:proofErr w:type="gramStart"/>
      <w:r w:rsidRPr="000F1EB8">
        <w:rPr>
          <w:rFonts w:ascii="Times New Roman" w:hAnsi="Times New Roman"/>
          <w:b w:val="0"/>
          <w:bCs/>
        </w:rPr>
        <w:t>evaluation[</w:t>
      </w:r>
      <w:proofErr w:type="gramEnd"/>
      <w:r w:rsidR="002F4BBD">
        <w:rPr>
          <w:rFonts w:ascii="Times New Roman" w:hAnsi="Times New Roman"/>
          <w:b w:val="0"/>
          <w:bCs/>
        </w:rPr>
        <w:t>1</w:t>
      </w:r>
      <w:r w:rsidR="003751EB">
        <w:rPr>
          <w:rFonts w:ascii="Times New Roman" w:hAnsi="Times New Roman"/>
          <w:b w:val="0"/>
          <w:bCs/>
        </w:rPr>
        <w:t>3</w:t>
      </w:r>
      <w:r w:rsidRPr="000F1EB8">
        <w:rPr>
          <w:rFonts w:ascii="Times New Roman" w:hAnsi="Times New Roman"/>
          <w:b w:val="0"/>
          <w:bCs/>
        </w:rPr>
        <w:t xml:space="preserve">]. </w:t>
      </w:r>
    </w:p>
    <w:p w14:paraId="21054BEA" w14:textId="27B41F35"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In today’s fierce global environment, continuous performance measurement is the key mantra for any kind of business success. The performance measurement system is a framework to measure the efficiency of the supply chain. The purpose of this paper is to review the dearth of research into performance measurement systems in the context of the supply chain by reviewing the contemporary literature for the last two decades and evoking the potential avenues for future research [</w:t>
      </w:r>
      <w:r w:rsidR="003751EB">
        <w:rPr>
          <w:rFonts w:ascii="Times New Roman" w:hAnsi="Times New Roman"/>
          <w:b w:val="0"/>
          <w:bCs/>
        </w:rPr>
        <w:t>10</w:t>
      </w:r>
      <w:r w:rsidRPr="000F1EB8">
        <w:rPr>
          <w:rFonts w:ascii="Times New Roman" w:hAnsi="Times New Roman"/>
          <w:b w:val="0"/>
          <w:bCs/>
        </w:rPr>
        <w:t>]</w:t>
      </w:r>
      <w:proofErr w:type="gramStart"/>
      <w:r w:rsidRPr="000F1EB8">
        <w:rPr>
          <w:rFonts w:ascii="Times New Roman" w:hAnsi="Times New Roman"/>
          <w:b w:val="0"/>
          <w:bCs/>
        </w:rPr>
        <w:t xml:space="preserve">. </w:t>
      </w:r>
      <w:r w:rsidRPr="000F1EB8">
        <w:rPr>
          <w:rFonts w:ascii="Times New Roman" w:eastAsia="SimSun" w:hAnsi="Times New Roman"/>
          <w:b w:val="0"/>
          <w:bCs/>
        </w:rPr>
        <w:t>.</w:t>
      </w:r>
      <w:proofErr w:type="gramEnd"/>
      <w:r w:rsidRPr="000F1EB8">
        <w:rPr>
          <w:rFonts w:ascii="Times New Roman" w:eastAsia="SimSun" w:hAnsi="Times New Roman"/>
          <w:b w:val="0"/>
          <w:bCs/>
        </w:rPr>
        <w:t xml:space="preserve"> </w:t>
      </w:r>
      <w:r w:rsidRPr="000F1EB8">
        <w:rPr>
          <w:rFonts w:ascii="Times New Roman" w:hAnsi="Times New Roman"/>
          <w:b w:val="0"/>
          <w:bCs/>
        </w:rPr>
        <w:t>This article takes a different angle to the current supply chain performance frameworks by discussing performance through DMAIC cycle. Considering a through-life service, this paper presents a performance optimization framework to improve the supply chain performance in terms of an asset or component availability and cost of service [</w:t>
      </w:r>
      <w:r w:rsidR="003751EB">
        <w:rPr>
          <w:rFonts w:ascii="Times New Roman" w:hAnsi="Times New Roman"/>
          <w:b w:val="0"/>
          <w:bCs/>
        </w:rPr>
        <w:t>8</w:t>
      </w:r>
      <w:r w:rsidRPr="000F1EB8">
        <w:rPr>
          <w:rFonts w:ascii="Times New Roman" w:hAnsi="Times New Roman"/>
          <w:b w:val="0"/>
          <w:bCs/>
        </w:rPr>
        <w:t xml:space="preserve">]. </w:t>
      </w:r>
    </w:p>
    <w:p w14:paraId="5E409066" w14:textId="51FB79E7"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 xml:space="preserve">The proposed approach models simultaneously product and supply chain architectures pointing out the sequencing of tasks and intertwined relations between partners. Through the introduction of compatibility, the goal is to help a company’s managers to select their most relevant partners not only based on suppliers’ selection criteria but also by using the inter-partners </w:t>
      </w:r>
      <w:proofErr w:type="gramStart"/>
      <w:r w:rsidRPr="000F1EB8">
        <w:rPr>
          <w:rFonts w:ascii="Times New Roman" w:hAnsi="Times New Roman"/>
          <w:b w:val="0"/>
          <w:bCs/>
        </w:rPr>
        <w:t>compatibility[</w:t>
      </w:r>
      <w:proofErr w:type="gramEnd"/>
      <w:r w:rsidR="002F4BBD">
        <w:rPr>
          <w:rFonts w:ascii="Times New Roman" w:hAnsi="Times New Roman"/>
          <w:b w:val="0"/>
          <w:bCs/>
        </w:rPr>
        <w:t>1</w:t>
      </w:r>
      <w:r w:rsidR="003751EB">
        <w:rPr>
          <w:rFonts w:ascii="Times New Roman" w:hAnsi="Times New Roman"/>
          <w:b w:val="0"/>
          <w:bCs/>
        </w:rPr>
        <w:t>5</w:t>
      </w:r>
      <w:r w:rsidRPr="000F1EB8">
        <w:rPr>
          <w:rFonts w:ascii="Times New Roman" w:hAnsi="Times New Roman"/>
          <w:b w:val="0"/>
          <w:bCs/>
        </w:rPr>
        <w:t xml:space="preserve">]. This paper presents a decision system model using </w:t>
      </w:r>
      <w:r w:rsidR="00B55676">
        <w:rPr>
          <w:rFonts w:ascii="Times New Roman" w:hAnsi="Times New Roman"/>
          <w:b w:val="0"/>
          <w:bCs/>
        </w:rPr>
        <w:t xml:space="preserve">the </w:t>
      </w:r>
      <w:r w:rsidRPr="000F1EB8">
        <w:rPr>
          <w:rFonts w:ascii="Times New Roman" w:hAnsi="Times New Roman"/>
          <w:b w:val="0"/>
          <w:bCs/>
        </w:rPr>
        <w:t xml:space="preserve">GRAI method. This model is presented at the global level (i.e. the whole supply chain level) and the local level (i.e. the level of each company of the chain). Then, performance indicators are proposed at both levels, using ECOGRAI Method. But to collect and aggregate such performance indicators at the global level, the various companies </w:t>
      </w:r>
      <w:r w:rsidR="00B55676">
        <w:rPr>
          <w:rFonts w:ascii="Times New Roman" w:hAnsi="Times New Roman"/>
          <w:b w:val="0"/>
          <w:bCs/>
        </w:rPr>
        <w:t xml:space="preserve">must be </w:t>
      </w:r>
      <w:r w:rsidRPr="000F1EB8">
        <w:rPr>
          <w:rFonts w:ascii="Times New Roman" w:hAnsi="Times New Roman"/>
          <w:b w:val="0"/>
          <w:bCs/>
        </w:rPr>
        <w:t xml:space="preserve">compatible </w:t>
      </w:r>
      <w:r w:rsidR="00B55676">
        <w:rPr>
          <w:rFonts w:ascii="Times New Roman" w:hAnsi="Times New Roman"/>
          <w:b w:val="0"/>
          <w:bCs/>
        </w:rPr>
        <w:t xml:space="preserve">with to </w:t>
      </w:r>
      <w:r w:rsidRPr="000F1EB8">
        <w:rPr>
          <w:rFonts w:ascii="Times New Roman" w:hAnsi="Times New Roman"/>
          <w:b w:val="0"/>
          <w:bCs/>
        </w:rPr>
        <w:t>decision support system [</w:t>
      </w:r>
      <w:r w:rsidR="003751EB">
        <w:rPr>
          <w:rFonts w:ascii="Times New Roman" w:hAnsi="Times New Roman"/>
          <w:b w:val="0"/>
          <w:bCs/>
        </w:rPr>
        <w:t>7</w:t>
      </w:r>
      <w:r w:rsidRPr="000F1EB8">
        <w:rPr>
          <w:rFonts w:ascii="Times New Roman" w:hAnsi="Times New Roman"/>
          <w:b w:val="0"/>
          <w:bCs/>
        </w:rPr>
        <w:t xml:space="preserve">]. </w:t>
      </w:r>
    </w:p>
    <w:p w14:paraId="3C0471E8" w14:textId="4052EA82"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 xml:space="preserve">This research </w:t>
      </w:r>
      <w:r w:rsidR="00B55676">
        <w:rPr>
          <w:rFonts w:ascii="Times New Roman" w:hAnsi="Times New Roman"/>
          <w:b w:val="0"/>
          <w:bCs/>
        </w:rPr>
        <w:t xml:space="preserve">aims to </w:t>
      </w:r>
      <w:r w:rsidRPr="000F1EB8">
        <w:rPr>
          <w:rFonts w:ascii="Times New Roman" w:hAnsi="Times New Roman"/>
          <w:b w:val="0"/>
          <w:bCs/>
        </w:rPr>
        <w:t xml:space="preserve">identify </w:t>
      </w:r>
      <w:r w:rsidR="00B55676">
        <w:rPr>
          <w:rFonts w:ascii="Times New Roman" w:hAnsi="Times New Roman"/>
          <w:b w:val="0"/>
          <w:bCs/>
        </w:rPr>
        <w:t xml:space="preserve">the </w:t>
      </w:r>
      <w:r w:rsidRPr="000F1EB8">
        <w:rPr>
          <w:rFonts w:ascii="Times New Roman" w:hAnsi="Times New Roman"/>
          <w:b w:val="0"/>
          <w:bCs/>
        </w:rPr>
        <w:t xml:space="preserve">antecedents of existing SC paradigm’s practices, as well as antecedents for SC performance measurement to formulate a conceptual framework. Based on this research, </w:t>
      </w:r>
      <w:r w:rsidR="00B55676">
        <w:rPr>
          <w:rFonts w:ascii="Times New Roman" w:hAnsi="Times New Roman"/>
          <w:b w:val="0"/>
          <w:bCs/>
        </w:rPr>
        <w:t xml:space="preserve">a </w:t>
      </w:r>
      <w:r w:rsidRPr="000F1EB8">
        <w:rPr>
          <w:rFonts w:ascii="Times New Roman" w:hAnsi="Times New Roman"/>
          <w:b w:val="0"/>
          <w:bCs/>
        </w:rPr>
        <w:t>new sustainable SC performance measurement conceptual framework is proposed for existing SC paradigms [</w:t>
      </w:r>
      <w:r w:rsidR="003751EB">
        <w:rPr>
          <w:rFonts w:ascii="Times New Roman" w:hAnsi="Times New Roman"/>
          <w:b w:val="0"/>
          <w:bCs/>
        </w:rPr>
        <w:t>3</w:t>
      </w:r>
      <w:r w:rsidRPr="000F1EB8">
        <w:rPr>
          <w:rFonts w:ascii="Times New Roman" w:hAnsi="Times New Roman"/>
          <w:b w:val="0"/>
          <w:bCs/>
        </w:rPr>
        <w:t>]</w:t>
      </w:r>
      <w:r w:rsidRPr="000F1EB8">
        <w:rPr>
          <w:rFonts w:ascii="Times New Roman" w:eastAsia="SimSun" w:hAnsi="Times New Roman"/>
          <w:b w:val="0"/>
          <w:bCs/>
        </w:rPr>
        <w:t>.</w:t>
      </w:r>
      <w:r w:rsidR="00B55676">
        <w:rPr>
          <w:rFonts w:ascii="Times New Roman" w:eastAsia="SimSun" w:hAnsi="Times New Roman"/>
          <w:b w:val="0"/>
          <w:bCs/>
        </w:rPr>
        <w:t xml:space="preserve"> </w:t>
      </w:r>
      <w:proofErr w:type="gramStart"/>
      <w:r w:rsidRPr="000F1EB8">
        <w:rPr>
          <w:rFonts w:ascii="Times New Roman" w:hAnsi="Times New Roman"/>
          <w:b w:val="0"/>
          <w:bCs/>
        </w:rPr>
        <w:t>Therefore</w:t>
      </w:r>
      <w:proofErr w:type="gramEnd"/>
      <w:r w:rsidRPr="000F1EB8">
        <w:rPr>
          <w:rFonts w:ascii="Times New Roman" w:hAnsi="Times New Roman"/>
          <w:b w:val="0"/>
          <w:bCs/>
        </w:rPr>
        <w:t xml:space="preserve"> in the paper firstly an overview of definitions and developments in performance measurement and management systems and a structure for PMMS are given. Secondly</w:t>
      </w:r>
      <w:r w:rsidR="00B55676">
        <w:rPr>
          <w:rFonts w:ascii="Times New Roman" w:hAnsi="Times New Roman"/>
          <w:b w:val="0"/>
          <w:bCs/>
        </w:rPr>
        <w:t xml:space="preserve">, </w:t>
      </w:r>
      <w:r w:rsidRPr="000F1EB8">
        <w:rPr>
          <w:rFonts w:ascii="Times New Roman" w:hAnsi="Times New Roman"/>
          <w:b w:val="0"/>
          <w:bCs/>
        </w:rPr>
        <w:t>guidelines for good and modern PMMS are discussed. Thirdly existing approaches for Supply Chain Management PMMS [</w:t>
      </w:r>
      <w:r w:rsidR="00B12653">
        <w:rPr>
          <w:rFonts w:ascii="Times New Roman" w:hAnsi="Times New Roman"/>
          <w:b w:val="0"/>
          <w:bCs/>
        </w:rPr>
        <w:t>1</w:t>
      </w:r>
      <w:r w:rsidR="00377E75">
        <w:rPr>
          <w:rFonts w:ascii="Times New Roman" w:hAnsi="Times New Roman"/>
          <w:b w:val="0"/>
          <w:bCs/>
        </w:rPr>
        <w:t>2</w:t>
      </w:r>
      <w:r w:rsidRPr="000F1EB8">
        <w:rPr>
          <w:rFonts w:ascii="Times New Roman" w:hAnsi="Times New Roman"/>
          <w:b w:val="0"/>
          <w:bCs/>
        </w:rPr>
        <w:t>]. This paper</w:t>
      </w:r>
      <w:r w:rsidR="00B55676">
        <w:rPr>
          <w:rFonts w:ascii="Times New Roman" w:hAnsi="Times New Roman"/>
          <w:b w:val="0"/>
          <w:bCs/>
        </w:rPr>
        <w:t xml:space="preserve"> aim</w:t>
      </w:r>
      <w:r w:rsidRPr="000F1EB8">
        <w:rPr>
          <w:rFonts w:ascii="Times New Roman" w:hAnsi="Times New Roman"/>
          <w:b w:val="0"/>
          <w:bCs/>
        </w:rPr>
        <w:t xml:space="preserve"> is to support the Circular Economy and the remanufacturing industry with an approach to optimize international reverse supply chains and thus to become more sustainable [</w:t>
      </w:r>
      <w:r w:rsidR="00377E75">
        <w:rPr>
          <w:rFonts w:ascii="Times New Roman" w:hAnsi="Times New Roman"/>
          <w:b w:val="0"/>
          <w:bCs/>
        </w:rPr>
        <w:t>5</w:t>
      </w:r>
      <w:r w:rsidRPr="000F1EB8">
        <w:rPr>
          <w:rFonts w:ascii="Times New Roman" w:hAnsi="Times New Roman"/>
          <w:b w:val="0"/>
          <w:bCs/>
        </w:rPr>
        <w:t xml:space="preserve">]. </w:t>
      </w:r>
    </w:p>
    <w:p w14:paraId="43C40A09" w14:textId="06700572"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Distribution by company X is based on requests from consumers who are in stores and markets. Within this company, there is already well-coordinated planning and scheduling of product distribution activities, so that demand for all types of products is controlled so that there is no shortage or excess supply, both at the factory and at the distributor. Performance is a work achievement which is the result of implementing work plans made by institutions carried out by leaders and employees (HR) who work at the institution, both the government and the company (business) to achieve organizational goals, [1</w:t>
      </w:r>
      <w:r w:rsidR="002712B1">
        <w:rPr>
          <w:rFonts w:ascii="Times New Roman" w:hAnsi="Times New Roman"/>
          <w:b w:val="0"/>
          <w:bCs/>
        </w:rPr>
        <w:t>]</w:t>
      </w:r>
      <w:r w:rsidRPr="000F1EB8">
        <w:rPr>
          <w:rFonts w:ascii="Times New Roman" w:hAnsi="Times New Roman"/>
          <w:b w:val="0"/>
          <w:bCs/>
        </w:rPr>
        <w:t xml:space="preserve">. </w:t>
      </w:r>
    </w:p>
    <w:p w14:paraId="5AE1C644" w14:textId="1CE719D7" w:rsidR="000F1EB8" w:rsidRP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The method that can be used to measure company performance is the Balanced Scorecard (BSC). According to [</w:t>
      </w:r>
      <w:r w:rsidR="00377E75">
        <w:rPr>
          <w:rFonts w:ascii="Times New Roman" w:hAnsi="Times New Roman"/>
          <w:b w:val="0"/>
          <w:bCs/>
        </w:rPr>
        <w:t>11</w:t>
      </w:r>
      <w:r w:rsidRPr="000F1EB8">
        <w:rPr>
          <w:rFonts w:ascii="Times New Roman" w:hAnsi="Times New Roman"/>
          <w:b w:val="0"/>
          <w:bCs/>
        </w:rPr>
        <w:t>] Balanced Scorecard (BSC) is an assessment method that includes four perspectives for measuring company performance, namely Financial Perspective, Customer Perspective, Internal Business Process Perspective</w:t>
      </w:r>
      <w:r w:rsidR="00B55676">
        <w:rPr>
          <w:rFonts w:ascii="Times New Roman" w:hAnsi="Times New Roman"/>
          <w:b w:val="0"/>
          <w:bCs/>
        </w:rPr>
        <w:t xml:space="preserve">, </w:t>
      </w:r>
      <w:r w:rsidRPr="000F1EB8">
        <w:rPr>
          <w:rFonts w:ascii="Times New Roman" w:hAnsi="Times New Roman"/>
          <w:b w:val="0"/>
          <w:bCs/>
        </w:rPr>
        <w:t xml:space="preserve">and Learning and Growth Perspective. The objective and measurement in the Balanced Scorecard (BSC) </w:t>
      </w:r>
      <w:proofErr w:type="gramStart"/>
      <w:r w:rsidRPr="000F1EB8">
        <w:rPr>
          <w:rFonts w:ascii="Times New Roman" w:hAnsi="Times New Roman"/>
          <w:b w:val="0"/>
          <w:bCs/>
        </w:rPr>
        <w:t>is</w:t>
      </w:r>
      <w:proofErr w:type="gramEnd"/>
      <w:r w:rsidRPr="000F1EB8">
        <w:rPr>
          <w:rFonts w:ascii="Times New Roman" w:hAnsi="Times New Roman"/>
          <w:b w:val="0"/>
          <w:bCs/>
        </w:rPr>
        <w:t xml:space="preserve"> not only an amalgamation of existing financial and non-financial measures</w:t>
      </w:r>
      <w:r w:rsidR="00B55676">
        <w:rPr>
          <w:rFonts w:ascii="Times New Roman" w:hAnsi="Times New Roman"/>
          <w:b w:val="0"/>
          <w:bCs/>
        </w:rPr>
        <w:t xml:space="preserve"> </w:t>
      </w:r>
      <w:r w:rsidRPr="000F1EB8">
        <w:rPr>
          <w:rFonts w:ascii="Times New Roman" w:hAnsi="Times New Roman"/>
          <w:b w:val="0"/>
          <w:bCs/>
        </w:rPr>
        <w:t>but a result of a top-down (top-down) process. Based on the mission and strategy in the business unit, the mission and strategy must be translated into more tangible goals and measurements.</w:t>
      </w:r>
      <w:r w:rsidR="00B55676">
        <w:rPr>
          <w:rFonts w:ascii="Times New Roman" w:hAnsi="Times New Roman"/>
          <w:b w:val="0"/>
          <w:bCs/>
        </w:rPr>
        <w:t xml:space="preserve"> </w:t>
      </w:r>
      <w:r w:rsidRPr="000F1EB8">
        <w:rPr>
          <w:rFonts w:ascii="Times New Roman" w:hAnsi="Times New Roman"/>
          <w:b w:val="0"/>
          <w:bCs/>
        </w:rPr>
        <w:t xml:space="preserve">This research was conducted at Distributor </w:t>
      </w:r>
      <w:r w:rsidR="00784F56">
        <w:rPr>
          <w:rFonts w:ascii="Times New Roman" w:hAnsi="Times New Roman"/>
          <w:b w:val="0"/>
          <w:bCs/>
        </w:rPr>
        <w:t xml:space="preserve">CV. </w:t>
      </w:r>
      <w:proofErr w:type="spellStart"/>
      <w:r w:rsidR="00784F56">
        <w:rPr>
          <w:rFonts w:ascii="Times New Roman" w:hAnsi="Times New Roman"/>
          <w:b w:val="0"/>
          <w:bCs/>
        </w:rPr>
        <w:t>Mulya</w:t>
      </w:r>
      <w:proofErr w:type="spellEnd"/>
      <w:r w:rsidR="00784F56">
        <w:rPr>
          <w:rFonts w:ascii="Times New Roman" w:hAnsi="Times New Roman"/>
          <w:b w:val="0"/>
          <w:bCs/>
        </w:rPr>
        <w:t xml:space="preserve"> Jaya Abadi,</w:t>
      </w:r>
      <w:r w:rsidRPr="000F1EB8">
        <w:rPr>
          <w:rFonts w:ascii="Times New Roman" w:hAnsi="Times New Roman"/>
          <w:b w:val="0"/>
          <w:bCs/>
        </w:rPr>
        <w:t xml:space="preserve"> a company engaged in the marketing of soap products, detergents, cosmetic products, nutritious drinks</w:t>
      </w:r>
      <w:r w:rsidR="00B55676">
        <w:rPr>
          <w:rFonts w:ascii="Times New Roman" w:hAnsi="Times New Roman"/>
          <w:b w:val="0"/>
          <w:bCs/>
        </w:rPr>
        <w:t xml:space="preserve">, </w:t>
      </w:r>
      <w:r w:rsidRPr="000F1EB8">
        <w:rPr>
          <w:rFonts w:ascii="Times New Roman" w:hAnsi="Times New Roman"/>
          <w:b w:val="0"/>
          <w:bCs/>
        </w:rPr>
        <w:t xml:space="preserve">and tea bags. With the Balanced Scorecard (BSC) method, it is expected to improve the company's performance </w:t>
      </w:r>
      <w:r w:rsidR="00B55676">
        <w:rPr>
          <w:rFonts w:ascii="Times New Roman" w:hAnsi="Times New Roman"/>
          <w:b w:val="0"/>
          <w:bCs/>
        </w:rPr>
        <w:t>from</w:t>
      </w:r>
      <w:r w:rsidRPr="000F1EB8">
        <w:rPr>
          <w:rFonts w:ascii="Times New Roman" w:hAnsi="Times New Roman"/>
          <w:b w:val="0"/>
          <w:bCs/>
        </w:rPr>
        <w:t xml:space="preserve"> the perspective of employee learning and growth, financial perspective, customer perspective</w:t>
      </w:r>
      <w:r w:rsidR="00B55676">
        <w:rPr>
          <w:rFonts w:ascii="Times New Roman" w:hAnsi="Times New Roman"/>
          <w:b w:val="0"/>
          <w:bCs/>
        </w:rPr>
        <w:t xml:space="preserve">, </w:t>
      </w:r>
      <w:r w:rsidRPr="000F1EB8">
        <w:rPr>
          <w:rFonts w:ascii="Times New Roman" w:hAnsi="Times New Roman"/>
          <w:b w:val="0"/>
          <w:bCs/>
        </w:rPr>
        <w:t>and internal business process perspective.</w:t>
      </w:r>
    </w:p>
    <w:p w14:paraId="0F6E3EC2" w14:textId="77777777" w:rsidR="000F1EB8" w:rsidRDefault="000F1EB8" w:rsidP="002712B1">
      <w:pPr>
        <w:pStyle w:val="BodytextIndented"/>
        <w:ind w:firstLine="0"/>
        <w:rPr>
          <w:lang w:val="en-ID"/>
        </w:rPr>
      </w:pPr>
    </w:p>
    <w:p w14:paraId="51F94D6E" w14:textId="6CCFCC80" w:rsidR="000F1EB8" w:rsidRDefault="000F1EB8" w:rsidP="000F1EB8">
      <w:pPr>
        <w:pStyle w:val="BodytextIndented"/>
        <w:rPr>
          <w:lang w:val="en-ID"/>
        </w:rPr>
      </w:pPr>
    </w:p>
    <w:p w14:paraId="7AE53A84" w14:textId="4702C912" w:rsidR="00784F56" w:rsidRDefault="00784F56" w:rsidP="000F1EB8">
      <w:pPr>
        <w:pStyle w:val="BodytextIndented"/>
        <w:rPr>
          <w:lang w:val="en-ID"/>
        </w:rPr>
      </w:pPr>
    </w:p>
    <w:p w14:paraId="50E89FC3" w14:textId="77777777" w:rsidR="00784F56" w:rsidRPr="000F1EB8" w:rsidRDefault="00784F56" w:rsidP="000F1EB8">
      <w:pPr>
        <w:pStyle w:val="BodytextIndented"/>
        <w:rPr>
          <w:lang w:val="en-ID"/>
        </w:rPr>
      </w:pPr>
    </w:p>
    <w:p w14:paraId="46ADC084" w14:textId="77777777" w:rsidR="000F1EB8" w:rsidRDefault="00CA2D69" w:rsidP="000F1EB8">
      <w:pPr>
        <w:pStyle w:val="Section"/>
        <w:spacing w:before="0"/>
      </w:pPr>
      <w:r>
        <w:lastRenderedPageBreak/>
        <w:t>Method</w:t>
      </w:r>
    </w:p>
    <w:p w14:paraId="30CD560A" w14:textId="3C9062FE" w:rsidR="000F1EB8" w:rsidRDefault="000F1EB8" w:rsidP="000F1EB8">
      <w:pPr>
        <w:pStyle w:val="Section"/>
        <w:numPr>
          <w:ilvl w:val="0"/>
          <w:numId w:val="0"/>
        </w:numPr>
        <w:spacing w:before="0"/>
        <w:jc w:val="both"/>
        <w:rPr>
          <w:b w:val="0"/>
          <w:bCs/>
        </w:rPr>
      </w:pPr>
      <w:r w:rsidRPr="000F1EB8">
        <w:rPr>
          <w:b w:val="0"/>
          <w:bCs/>
        </w:rPr>
        <w:t xml:space="preserve">The technique used in this research is financial ratio analysis, then from these financial ratios four management perspectives are seen, namely: </w:t>
      </w:r>
      <w:r w:rsidR="00B55676">
        <w:rPr>
          <w:b w:val="0"/>
          <w:bCs/>
        </w:rPr>
        <w:t xml:space="preserve">the </w:t>
      </w:r>
      <w:r w:rsidRPr="000F1EB8">
        <w:rPr>
          <w:b w:val="0"/>
          <w:bCs/>
        </w:rPr>
        <w:t>customer perspective, internal business process perspective, learning and growth, and financial perspective,</w:t>
      </w:r>
      <w:r w:rsidR="00B55676">
        <w:rPr>
          <w:b w:val="0"/>
          <w:bCs/>
        </w:rPr>
        <w:t xml:space="preserve"> </w:t>
      </w:r>
      <w:r w:rsidR="00AD59CF">
        <w:rPr>
          <w:b w:val="0"/>
          <w:bCs/>
        </w:rPr>
        <w:t>w</w:t>
      </w:r>
      <w:r w:rsidR="00B55676">
        <w:rPr>
          <w:b w:val="0"/>
          <w:bCs/>
        </w:rPr>
        <w:t>h</w:t>
      </w:r>
      <w:r w:rsidR="00AD59CF">
        <w:rPr>
          <w:b w:val="0"/>
          <w:bCs/>
        </w:rPr>
        <w:t>ich is:</w:t>
      </w:r>
    </w:p>
    <w:p w14:paraId="7AF4BBD3" w14:textId="7FCFC16C" w:rsidR="00AD59CF" w:rsidRDefault="00377E75" w:rsidP="00377E75">
      <w:pPr>
        <w:pStyle w:val="Bodytext"/>
        <w:rPr>
          <w:lang w:val="en-GB"/>
        </w:rPr>
      </w:pPr>
      <w:proofErr w:type="spellStart"/>
      <w:proofErr w:type="gramStart"/>
      <w:r>
        <w:rPr>
          <w:lang w:val="en-GB"/>
        </w:rPr>
        <w:t>a.</w:t>
      </w:r>
      <w:r w:rsidR="00AD59CF">
        <w:rPr>
          <w:lang w:val="en-GB"/>
        </w:rPr>
        <w:t>Financial</w:t>
      </w:r>
      <w:proofErr w:type="spellEnd"/>
      <w:proofErr w:type="gramEnd"/>
      <w:r w:rsidR="00AD59CF">
        <w:rPr>
          <w:lang w:val="en-GB"/>
        </w:rPr>
        <w:t xml:space="preserve"> perspective</w:t>
      </w:r>
    </w:p>
    <w:p w14:paraId="384DB841" w14:textId="5EB401C7" w:rsidR="00AD59CF" w:rsidRDefault="00377E75" w:rsidP="00377E75">
      <w:pPr>
        <w:pStyle w:val="BodytextIndented"/>
        <w:rPr>
          <w:lang w:val="en-GB"/>
        </w:rPr>
      </w:pPr>
      <w:r>
        <w:rPr>
          <w:lang w:val="en-GB"/>
        </w:rPr>
        <w:t xml:space="preserve">1. </w:t>
      </w:r>
      <w:r w:rsidR="00AD59CF">
        <w:rPr>
          <w:lang w:val="en-GB"/>
        </w:rPr>
        <w:t>Net profit margin</w:t>
      </w:r>
    </w:p>
    <w:p w14:paraId="0D691C46" w14:textId="0A28518F" w:rsidR="00AD59CF" w:rsidRPr="00513B03" w:rsidRDefault="00CB05EB" w:rsidP="00D27ED6">
      <w:pPr>
        <w:pStyle w:val="BodytextIndented"/>
        <w:ind w:left="3404" w:firstLine="851"/>
        <w:rPr>
          <w:rFonts w:ascii="Times New Roman" w:hAnsi="Times New Roman"/>
          <w:lang w:val="en-GB"/>
        </w:rPr>
      </w:pPr>
      <m:oMath>
        <m:f>
          <m:fPr>
            <m:ctrlPr>
              <w:rPr>
                <w:rFonts w:ascii="Cambria Math" w:hAnsi="Cambria Math"/>
              </w:rPr>
            </m:ctrlPr>
          </m:fPr>
          <m:num>
            <m:r>
              <w:rPr>
                <w:rFonts w:ascii="Cambria Math" w:hAnsi="Cambria Math"/>
              </w:rPr>
              <m:t xml:space="preserve">net profit </m:t>
            </m:r>
          </m:num>
          <m:den>
            <m:r>
              <w:rPr>
                <w:rFonts w:ascii="Cambria Math" w:hAnsi="Cambria Math"/>
              </w:rPr>
              <m:t>Total sales</m:t>
            </m:r>
          </m:den>
        </m:f>
        <m:r>
          <w:rPr>
            <w:rFonts w:ascii="Cambria Math" w:hAnsi="Cambria Math"/>
          </w:rPr>
          <m:t>X100%</m:t>
        </m:r>
      </m:oMath>
      <w:r w:rsidR="00D27ED6">
        <w:rPr>
          <w:rFonts w:ascii="Times New Roman" w:hAnsi="Times New Roman"/>
        </w:rPr>
        <w:tab/>
      </w:r>
      <w:r w:rsidR="00D27ED6">
        <w:rPr>
          <w:rFonts w:ascii="Times New Roman" w:hAnsi="Times New Roman"/>
        </w:rPr>
        <w:tab/>
      </w:r>
      <w:r w:rsidR="00D27ED6">
        <w:rPr>
          <w:rFonts w:ascii="Times New Roman" w:hAnsi="Times New Roman"/>
        </w:rPr>
        <w:tab/>
      </w:r>
      <w:r w:rsidR="00D27ED6">
        <w:rPr>
          <w:rFonts w:ascii="Times New Roman" w:hAnsi="Times New Roman"/>
        </w:rPr>
        <w:tab/>
        <w:t xml:space="preserve"> (1)</w:t>
      </w:r>
    </w:p>
    <w:p w14:paraId="2928B88A" w14:textId="190F3DB0" w:rsidR="00AD59CF" w:rsidRDefault="00377E75" w:rsidP="00377E75">
      <w:pPr>
        <w:pStyle w:val="BodytextIndented"/>
        <w:rPr>
          <w:lang w:val="en-GB"/>
        </w:rPr>
      </w:pPr>
      <w:r>
        <w:rPr>
          <w:lang w:val="en-GB"/>
        </w:rPr>
        <w:t xml:space="preserve">2. </w:t>
      </w:r>
      <w:r w:rsidR="00AD59CF">
        <w:rPr>
          <w:lang w:val="en-GB"/>
        </w:rPr>
        <w:t>Operating profit margin</w:t>
      </w:r>
    </w:p>
    <w:p w14:paraId="2629E07F" w14:textId="07A9439C" w:rsidR="00AD59CF" w:rsidRPr="00513B03" w:rsidRDefault="00CB05EB" w:rsidP="00D27ED6">
      <w:pPr>
        <w:pStyle w:val="BodytextIndented"/>
        <w:ind w:left="3404" w:firstLine="851"/>
        <w:rPr>
          <w:rFonts w:ascii="Times New Roman" w:hAnsi="Times New Roman"/>
        </w:rPr>
      </w:pPr>
      <m:oMath>
        <m:f>
          <m:fPr>
            <m:ctrlPr>
              <w:rPr>
                <w:rFonts w:ascii="Cambria Math" w:hAnsi="Cambria Math"/>
              </w:rPr>
            </m:ctrlPr>
          </m:fPr>
          <m:num>
            <m:r>
              <w:rPr>
                <w:rFonts w:ascii="Cambria Math" w:hAnsi="Cambria Math"/>
              </w:rPr>
              <m:t>Operating profit</m:t>
            </m:r>
          </m:num>
          <m:den>
            <m:r>
              <w:rPr>
                <w:rFonts w:ascii="Cambria Math" w:hAnsi="Cambria Math"/>
              </w:rPr>
              <m:t>Total sales</m:t>
            </m:r>
          </m:den>
        </m:f>
        <m:r>
          <w:rPr>
            <w:rFonts w:ascii="Cambria Math" w:hAnsi="Cambria Math"/>
          </w:rPr>
          <m:t>X100%</m:t>
        </m:r>
      </m:oMath>
      <w:r w:rsidR="00D27ED6">
        <w:rPr>
          <w:rFonts w:ascii="Times New Roman" w:hAnsi="Times New Roman"/>
        </w:rPr>
        <w:t xml:space="preserve"> </w:t>
      </w:r>
      <w:r w:rsidR="00D27ED6">
        <w:rPr>
          <w:rFonts w:ascii="Times New Roman" w:hAnsi="Times New Roman"/>
        </w:rPr>
        <w:tab/>
      </w:r>
      <w:r w:rsidR="00D27ED6">
        <w:rPr>
          <w:rFonts w:ascii="Times New Roman" w:hAnsi="Times New Roman"/>
        </w:rPr>
        <w:tab/>
      </w:r>
      <w:r w:rsidR="00D27ED6">
        <w:rPr>
          <w:rFonts w:ascii="Times New Roman" w:hAnsi="Times New Roman"/>
        </w:rPr>
        <w:tab/>
        <w:t xml:space="preserve"> (2)</w:t>
      </w:r>
    </w:p>
    <w:p w14:paraId="7B7A6CB3" w14:textId="4F06C45A" w:rsidR="00AD59CF" w:rsidRPr="00AD59CF" w:rsidRDefault="00377E75" w:rsidP="00377E75">
      <w:pPr>
        <w:pStyle w:val="BodytextIndented"/>
        <w:rPr>
          <w:lang w:val="en-GB"/>
        </w:rPr>
      </w:pPr>
      <w:r>
        <w:t xml:space="preserve">3. </w:t>
      </w:r>
      <w:r w:rsidR="00AD59CF">
        <w:t>Return on Inves</w:t>
      </w:r>
      <w:r w:rsidR="00B55676">
        <w:t>t</w:t>
      </w:r>
      <w:r w:rsidR="00AD59CF">
        <w:t>ment (ROI)</w:t>
      </w:r>
    </w:p>
    <w:p w14:paraId="246DC3B9" w14:textId="57178A71" w:rsidR="00AD59CF" w:rsidRPr="00513B03" w:rsidRDefault="00D27ED6" w:rsidP="00D27ED6">
      <w:pPr>
        <w:pStyle w:val="BodytextIndented"/>
        <w:ind w:left="3404" w:firstLine="0"/>
        <w:jc w:val="center"/>
        <w:rPr>
          <w:rFonts w:ascii="Times New Roman" w:hAnsi="Times New Roman"/>
        </w:rPr>
      </w:pPr>
      <m:oMath>
        <m:r>
          <w:rPr>
            <w:rFonts w:ascii="Cambria Math" w:hAnsi="Cambria Math"/>
          </w:rPr>
          <m:t xml:space="preserve"> </m:t>
        </m:r>
        <m:f>
          <m:fPr>
            <m:ctrlPr>
              <w:rPr>
                <w:rFonts w:ascii="Cambria Math" w:hAnsi="Cambria Math"/>
              </w:rPr>
            </m:ctrlPr>
          </m:fPr>
          <m:num>
            <m:r>
              <w:rPr>
                <w:rFonts w:ascii="Cambria Math" w:hAnsi="Cambria Math"/>
              </w:rPr>
              <m:t>(Total sales-Investation)</m:t>
            </m:r>
          </m:num>
          <m:den>
            <m:r>
              <w:rPr>
                <w:rFonts w:ascii="Cambria Math" w:hAnsi="Cambria Math"/>
              </w:rPr>
              <m:t>Investation X 100%</m:t>
            </m:r>
          </m:den>
        </m:f>
      </m:oMath>
      <w:r>
        <w:rPr>
          <w:rFonts w:ascii="Times New Roman" w:hAnsi="Times New Roman"/>
        </w:rPr>
        <w:t xml:space="preserve"> </w:t>
      </w:r>
      <w:r>
        <w:rPr>
          <w:rFonts w:ascii="Times New Roman" w:hAnsi="Times New Roman"/>
        </w:rPr>
        <w:tab/>
      </w:r>
      <w:r>
        <w:rPr>
          <w:rFonts w:ascii="Times New Roman" w:hAnsi="Times New Roman"/>
        </w:rPr>
        <w:tab/>
        <w:t xml:space="preserve">                           (3)</w:t>
      </w:r>
    </w:p>
    <w:p w14:paraId="688ACFF1" w14:textId="29F8069E" w:rsidR="00AD59CF" w:rsidRDefault="00377E75" w:rsidP="00377E75">
      <w:pPr>
        <w:pStyle w:val="BodytextIndented"/>
        <w:rPr>
          <w:lang w:val="en-GB"/>
        </w:rPr>
      </w:pPr>
      <w:r>
        <w:rPr>
          <w:lang w:val="en-GB"/>
        </w:rPr>
        <w:t>4.</w:t>
      </w:r>
      <w:r w:rsidR="00AD59CF">
        <w:rPr>
          <w:lang w:val="en-GB"/>
        </w:rPr>
        <w:t>Rentability ratio</w:t>
      </w:r>
    </w:p>
    <w:p w14:paraId="2DFBA00F" w14:textId="391C0834" w:rsidR="00AD59CF" w:rsidRPr="00D27ED6" w:rsidRDefault="00377E75" w:rsidP="00377E75">
      <w:pPr>
        <w:pStyle w:val="BodytextIndented"/>
      </w:pPr>
      <w:r>
        <w:t xml:space="preserve">    </w:t>
      </w:r>
      <w:r w:rsidR="00AD59CF">
        <w:t xml:space="preserve">Return on Equity                             </w:t>
      </w:r>
      <m:oMath>
        <m:f>
          <m:fPr>
            <m:ctrlPr>
              <w:rPr>
                <w:rFonts w:ascii="Cambria Math" w:hAnsi="Cambria Math"/>
                <w:lang w:val="id-ID"/>
              </w:rPr>
            </m:ctrlPr>
          </m:fPr>
          <m:num>
            <m:r>
              <w:rPr>
                <w:rFonts w:ascii="Cambria Math" w:hAnsi="Cambria Math"/>
                <w:lang w:val="id-ID"/>
              </w:rPr>
              <m:t>net profit</m:t>
            </m:r>
          </m:num>
          <m:den>
            <m:r>
              <w:rPr>
                <w:rFonts w:ascii="Cambria Math" w:hAnsi="Cambria Math"/>
                <w:lang w:val="id-ID"/>
              </w:rPr>
              <m:t>bank capital</m:t>
            </m:r>
          </m:den>
        </m:f>
        <m:r>
          <w:rPr>
            <w:rFonts w:ascii="Cambria Math" w:hAnsi="Cambria Math"/>
            <w:lang w:val="id-ID"/>
          </w:rPr>
          <m:t>X100%</m:t>
        </m:r>
      </m:oMath>
      <w:r w:rsidR="00D27ED6">
        <w:t xml:space="preserve">                                                       </w:t>
      </w:r>
      <w:proofErr w:type="gramStart"/>
      <w:r w:rsidR="00D27ED6">
        <w:t xml:space="preserve">   (</w:t>
      </w:r>
      <w:proofErr w:type="gramEnd"/>
      <w:r w:rsidR="00D27ED6">
        <w:t>4)</w:t>
      </w:r>
    </w:p>
    <w:p w14:paraId="61BBCEBB" w14:textId="0C6FD3C6" w:rsidR="00AD59CF" w:rsidRPr="00D27ED6" w:rsidRDefault="00377E75" w:rsidP="00377E75">
      <w:pPr>
        <w:pStyle w:val="BodytextIndented"/>
        <w:rPr>
          <w:rFonts w:ascii="Times New Roman" w:hAnsi="Times New Roman"/>
        </w:rPr>
      </w:pPr>
      <w:r>
        <w:t xml:space="preserve">    </w:t>
      </w:r>
      <w:r w:rsidR="00AD59CF">
        <w:t xml:space="preserve">Return on assets                              </w:t>
      </w:r>
      <w:r w:rsidR="00AD59CF" w:rsidRPr="00FB320F">
        <w:rPr>
          <w:rFonts w:ascii="Times New Roman" w:hAnsi="Times New Roman"/>
          <w:lang w:val="id-ID"/>
        </w:rPr>
        <w:t xml:space="preserve"> </w:t>
      </w:r>
      <m:oMath>
        <m:f>
          <m:fPr>
            <m:ctrlPr>
              <w:rPr>
                <w:rFonts w:ascii="Cambria Math" w:hAnsi="Cambria Math"/>
                <w:lang w:val="id-ID"/>
              </w:rPr>
            </m:ctrlPr>
          </m:fPr>
          <m:num>
            <m:r>
              <w:rPr>
                <w:rFonts w:ascii="Cambria Math" w:hAnsi="Cambria Math"/>
                <w:lang w:val="id-ID"/>
              </w:rPr>
              <m:t>net profit</m:t>
            </m:r>
          </m:num>
          <m:den>
            <m:r>
              <w:rPr>
                <w:rFonts w:ascii="Cambria Math" w:hAnsi="Cambria Math"/>
                <w:lang w:val="id-ID"/>
              </w:rPr>
              <m:t>Total asetts</m:t>
            </m:r>
          </m:den>
        </m:f>
        <m:r>
          <w:rPr>
            <w:rFonts w:ascii="Cambria Math" w:hAnsi="Cambria Math"/>
            <w:lang w:val="id-ID"/>
          </w:rPr>
          <m:t>X100%</m:t>
        </m:r>
      </m:oMath>
      <w:r w:rsidR="00D27ED6">
        <w:rPr>
          <w:rFonts w:ascii="Times New Roman" w:hAnsi="Times New Roman"/>
        </w:rPr>
        <w:t xml:space="preserve">                                                        </w:t>
      </w:r>
      <w:proofErr w:type="gramStart"/>
      <w:r w:rsidR="00D27ED6">
        <w:rPr>
          <w:rFonts w:ascii="Times New Roman" w:hAnsi="Times New Roman"/>
        </w:rPr>
        <w:t xml:space="preserve">   (</w:t>
      </w:r>
      <w:proofErr w:type="gramEnd"/>
      <w:r w:rsidR="00D27ED6">
        <w:rPr>
          <w:rFonts w:ascii="Times New Roman" w:hAnsi="Times New Roman"/>
        </w:rPr>
        <w:t>5)</w:t>
      </w:r>
    </w:p>
    <w:p w14:paraId="72F05A5C" w14:textId="64D8DCA3" w:rsidR="00AD59CF" w:rsidRPr="00D27ED6" w:rsidRDefault="00377E75" w:rsidP="00377E75">
      <w:pPr>
        <w:pStyle w:val="BodytextIndented"/>
      </w:pPr>
      <w:r>
        <w:t xml:space="preserve">    </w:t>
      </w:r>
      <w:r w:rsidR="00AD59CF">
        <w:t>O</w:t>
      </w:r>
      <w:r w:rsidR="00AD59CF" w:rsidRPr="00AD59CF">
        <w:t>perating Expenses Operating Income</w:t>
      </w:r>
      <w:r w:rsidR="00AD59CF">
        <w:t xml:space="preserve"> </w:t>
      </w:r>
      <m:oMath>
        <m:f>
          <m:fPr>
            <m:ctrlPr>
              <w:rPr>
                <w:rFonts w:ascii="Cambria Math" w:hAnsi="Cambria Math"/>
                <w:lang w:val="id-ID"/>
              </w:rPr>
            </m:ctrlPr>
          </m:fPr>
          <m:num>
            <m:r>
              <w:rPr>
                <w:rFonts w:ascii="Cambria Math" w:hAnsi="Cambria Math"/>
                <w:lang w:val="id-ID"/>
              </w:rPr>
              <m:t>Operating cost</m:t>
            </m:r>
          </m:num>
          <m:den>
            <m:r>
              <w:rPr>
                <w:rFonts w:ascii="Cambria Math" w:hAnsi="Cambria Math"/>
                <w:lang w:val="id-ID"/>
              </w:rPr>
              <m:t>Operating income</m:t>
            </m:r>
          </m:den>
        </m:f>
        <m:r>
          <w:rPr>
            <w:rFonts w:ascii="Cambria Math" w:hAnsi="Cambria Math"/>
            <w:lang w:val="id-ID"/>
          </w:rPr>
          <m:t>X100%</m:t>
        </m:r>
      </m:oMath>
      <w:r w:rsidR="00D27ED6">
        <w:t xml:space="preserve">                                         </w:t>
      </w:r>
      <w:proofErr w:type="gramStart"/>
      <w:r w:rsidR="00D27ED6">
        <w:t xml:space="preserve">   (</w:t>
      </w:r>
      <w:proofErr w:type="gramEnd"/>
      <w:r w:rsidR="00D27ED6">
        <w:t>6)</w:t>
      </w:r>
    </w:p>
    <w:p w14:paraId="0B843A45" w14:textId="48A247CE" w:rsidR="00AD59CF" w:rsidRDefault="00AD59CF" w:rsidP="00377E75">
      <w:pPr>
        <w:pStyle w:val="BodytextIndented"/>
        <w:numPr>
          <w:ilvl w:val="0"/>
          <w:numId w:val="17"/>
        </w:numPr>
      </w:pPr>
      <w:r>
        <w:t>Customer perspective</w:t>
      </w:r>
    </w:p>
    <w:p w14:paraId="7A7C1D79" w14:textId="0A2E4E65" w:rsidR="00AD59CF" w:rsidRPr="00377E75" w:rsidRDefault="00AD59CF" w:rsidP="00377E75">
      <w:pPr>
        <w:pStyle w:val="ListParagraph"/>
        <w:numPr>
          <w:ilvl w:val="0"/>
          <w:numId w:val="12"/>
        </w:numPr>
        <w:jc w:val="both"/>
        <w:rPr>
          <w:rFonts w:ascii="Times New Roman" w:hAnsi="Times New Roman"/>
          <w:sz w:val="21"/>
          <w:szCs w:val="21"/>
          <w:lang w:val="en-ID" w:eastAsia="en-ID"/>
        </w:rPr>
      </w:pPr>
      <w:r w:rsidRPr="00377E75">
        <w:rPr>
          <w:rFonts w:ascii="Times New Roman" w:hAnsi="Times New Roman"/>
          <w:color w:val="222222"/>
          <w:szCs w:val="22"/>
          <w:lang w:val="en-ID" w:eastAsia="en-ID"/>
        </w:rPr>
        <w:t>Customer Acquisition</w:t>
      </w:r>
      <w:r w:rsidR="00377E75">
        <w:rPr>
          <w:rFonts w:ascii="Times New Roman" w:hAnsi="Times New Roman"/>
          <w:color w:val="222222"/>
          <w:szCs w:val="22"/>
          <w:lang w:val="en-ID" w:eastAsia="en-ID"/>
        </w:rPr>
        <w:t xml:space="preserve">                  </w:t>
      </w:r>
      <w:r w:rsidRPr="00377E75">
        <w:rPr>
          <w:rFonts w:ascii="Times New Roman" w:hAnsi="Times New Roman"/>
          <w:color w:val="222222"/>
          <w:szCs w:val="22"/>
          <w:lang w:val="en-ID" w:eastAsia="en-ID"/>
        </w:rPr>
        <w:t xml:space="preserve"> </w:t>
      </w:r>
      <m:oMath>
        <m:f>
          <m:fPr>
            <m:ctrlPr>
              <w:rPr>
                <w:rFonts w:ascii="Cambria Math" w:hAnsi="Cambria Math"/>
                <w:color w:val="000000"/>
              </w:rPr>
            </m:ctrlPr>
          </m:fPr>
          <m:num>
            <m:r>
              <m:rPr>
                <m:sty m:val="p"/>
              </m:rPr>
              <w:rPr>
                <w:rFonts w:ascii="Cambria Math" w:hAnsi="Cambria Math"/>
                <w:color w:val="000000"/>
              </w:rPr>
              <m:t>New Customer</m:t>
            </m:r>
          </m:num>
          <m:den>
            <m:r>
              <m:rPr>
                <m:sty m:val="p"/>
              </m:rPr>
              <w:rPr>
                <w:rFonts w:ascii="Cambria Math" w:hAnsi="Cambria Math"/>
                <w:color w:val="000000"/>
              </w:rPr>
              <m:t>Total Customers</m:t>
            </m:r>
          </m:den>
        </m:f>
        <m:r>
          <m:rPr>
            <m:sty m:val="p"/>
          </m:rPr>
          <w:rPr>
            <w:rFonts w:ascii="Cambria Math" w:hAnsi="Cambria Math"/>
            <w:color w:val="000000"/>
          </w:rPr>
          <m:t>×100%</m:t>
        </m:r>
      </m:oMath>
      <w:r w:rsidR="00D27ED6">
        <w:rPr>
          <w:rFonts w:ascii="Times New Roman" w:hAnsi="Times New Roman"/>
          <w:color w:val="000000"/>
        </w:rPr>
        <w:t xml:space="preserve">                                           </w:t>
      </w:r>
      <w:proofErr w:type="gramStart"/>
      <w:r w:rsidR="00D27ED6">
        <w:rPr>
          <w:rFonts w:ascii="Times New Roman" w:hAnsi="Times New Roman"/>
          <w:color w:val="000000"/>
        </w:rPr>
        <w:t xml:space="preserve">   (</w:t>
      </w:r>
      <w:proofErr w:type="gramEnd"/>
      <w:r w:rsidR="00D27ED6">
        <w:rPr>
          <w:rFonts w:ascii="Times New Roman" w:hAnsi="Times New Roman"/>
          <w:color w:val="000000"/>
        </w:rPr>
        <w:t>7)</w:t>
      </w:r>
    </w:p>
    <w:p w14:paraId="51CE094B" w14:textId="59B0870E" w:rsidR="00AD59CF" w:rsidRPr="00377E75" w:rsidRDefault="00AD59CF" w:rsidP="00377E75">
      <w:pPr>
        <w:pStyle w:val="ListParagraph"/>
        <w:numPr>
          <w:ilvl w:val="0"/>
          <w:numId w:val="12"/>
        </w:numPr>
        <w:jc w:val="both"/>
        <w:rPr>
          <w:rFonts w:ascii="Times New Roman" w:hAnsi="Times New Roman"/>
          <w:sz w:val="21"/>
          <w:szCs w:val="21"/>
          <w:lang w:val="en-ID" w:eastAsia="en-ID"/>
        </w:rPr>
      </w:pPr>
      <w:r w:rsidRPr="00377E75">
        <w:rPr>
          <w:rFonts w:ascii="Times New Roman" w:hAnsi="Times New Roman"/>
          <w:color w:val="222222"/>
          <w:szCs w:val="22"/>
          <w:lang w:val="en-ID" w:eastAsia="en-ID"/>
        </w:rPr>
        <w:t>Customer Retention</w:t>
      </w:r>
      <w:r w:rsidR="00377E75">
        <w:rPr>
          <w:rFonts w:ascii="Times New Roman" w:hAnsi="Times New Roman"/>
          <w:color w:val="222222"/>
          <w:szCs w:val="22"/>
          <w:lang w:val="en-ID" w:eastAsia="en-ID"/>
        </w:rPr>
        <w:t xml:space="preserve">                    </w:t>
      </w:r>
      <m:oMath>
        <m:f>
          <m:fPr>
            <m:ctrlPr>
              <w:rPr>
                <w:rFonts w:ascii="Cambria Math" w:hAnsi="Cambria Math"/>
                <w:color w:val="000000"/>
              </w:rPr>
            </m:ctrlPr>
          </m:fPr>
          <m:num>
            <m:r>
              <m:rPr>
                <m:sty m:val="p"/>
              </m:rPr>
              <w:rPr>
                <w:rFonts w:ascii="Cambria Math" w:hAnsi="Cambria Math"/>
                <w:color w:val="000000"/>
              </w:rPr>
              <m:t>number of old customers</m:t>
            </m:r>
          </m:num>
          <m:den>
            <m:r>
              <m:rPr>
                <m:sty m:val="p"/>
              </m:rPr>
              <w:rPr>
                <w:rFonts w:ascii="Cambria Math" w:hAnsi="Cambria Math"/>
                <w:color w:val="000000"/>
              </w:rPr>
              <m:t>Total Customers</m:t>
            </m:r>
          </m:den>
        </m:f>
        <m:r>
          <m:rPr>
            <m:sty m:val="p"/>
          </m:rPr>
          <w:rPr>
            <w:rFonts w:ascii="Cambria Math" w:hAnsi="Cambria Math"/>
            <w:color w:val="000000"/>
          </w:rPr>
          <m:t>×100%</m:t>
        </m:r>
      </m:oMath>
      <w:r w:rsidR="00D27ED6">
        <w:rPr>
          <w:rFonts w:ascii="Times New Roman" w:hAnsi="Times New Roman"/>
          <w:color w:val="000000"/>
        </w:rPr>
        <w:t xml:space="preserve">                                 </w:t>
      </w:r>
      <w:proofErr w:type="gramStart"/>
      <w:r w:rsidR="00D27ED6">
        <w:rPr>
          <w:rFonts w:ascii="Times New Roman" w:hAnsi="Times New Roman"/>
          <w:color w:val="000000"/>
        </w:rPr>
        <w:t xml:space="preserve">   (</w:t>
      </w:r>
      <w:proofErr w:type="gramEnd"/>
      <w:r w:rsidR="00D27ED6">
        <w:rPr>
          <w:rFonts w:ascii="Times New Roman" w:hAnsi="Times New Roman"/>
          <w:color w:val="000000"/>
        </w:rPr>
        <w:t>8)</w:t>
      </w:r>
    </w:p>
    <w:p w14:paraId="7BF1AD67" w14:textId="3341D73C" w:rsidR="00AD59CF" w:rsidRDefault="00AD59CF" w:rsidP="00377E75">
      <w:pPr>
        <w:pStyle w:val="p15"/>
        <w:numPr>
          <w:ilvl w:val="0"/>
          <w:numId w:val="17"/>
        </w:numPr>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Internal business process perspective</w:t>
      </w:r>
    </w:p>
    <w:p w14:paraId="7C5CCE73" w14:textId="1F334970" w:rsidR="00AD59CF" w:rsidRPr="00377E75" w:rsidRDefault="00AD59CF" w:rsidP="00377E75">
      <w:pPr>
        <w:pStyle w:val="ListParagraph"/>
        <w:numPr>
          <w:ilvl w:val="0"/>
          <w:numId w:val="13"/>
        </w:numPr>
        <w:jc w:val="both"/>
        <w:rPr>
          <w:rFonts w:ascii="Times New Roman" w:hAnsi="Times New Roman"/>
          <w:sz w:val="21"/>
          <w:szCs w:val="21"/>
          <w:lang w:val="en-ID" w:eastAsia="en-ID"/>
        </w:rPr>
      </w:pPr>
      <w:r w:rsidRPr="00377E75">
        <w:rPr>
          <w:rFonts w:ascii="Times New Roman" w:hAnsi="Times New Roman"/>
          <w:sz w:val="21"/>
          <w:szCs w:val="21"/>
          <w:lang w:val="en-ID" w:eastAsia="en-ID"/>
        </w:rPr>
        <w:t>Innovation Process</w:t>
      </w:r>
    </w:p>
    <w:p w14:paraId="1F3466F3" w14:textId="5A2E941E" w:rsidR="00AD59CF" w:rsidRPr="00377E75" w:rsidRDefault="00AD59CF" w:rsidP="00377E75">
      <w:pPr>
        <w:pStyle w:val="ListParagraph"/>
        <w:numPr>
          <w:ilvl w:val="0"/>
          <w:numId w:val="13"/>
        </w:numPr>
        <w:jc w:val="both"/>
        <w:rPr>
          <w:rFonts w:ascii="Times New Roman" w:hAnsi="Times New Roman"/>
          <w:sz w:val="21"/>
          <w:szCs w:val="21"/>
          <w:lang w:val="en-ID" w:eastAsia="en-ID"/>
        </w:rPr>
      </w:pPr>
      <w:r w:rsidRPr="00377E75">
        <w:rPr>
          <w:rFonts w:ascii="Times New Roman" w:hAnsi="Times New Roman"/>
          <w:sz w:val="21"/>
          <w:szCs w:val="21"/>
          <w:lang w:val="en-ID" w:eastAsia="en-ID"/>
        </w:rPr>
        <w:t>After</w:t>
      </w:r>
      <w:r w:rsidR="00B55676" w:rsidRPr="00377E75">
        <w:rPr>
          <w:rFonts w:ascii="Times New Roman" w:hAnsi="Times New Roman"/>
          <w:sz w:val="21"/>
          <w:szCs w:val="21"/>
          <w:lang w:val="en-ID" w:eastAsia="en-ID"/>
        </w:rPr>
        <w:t>-</w:t>
      </w:r>
      <w:r w:rsidRPr="00377E75">
        <w:rPr>
          <w:rFonts w:ascii="Times New Roman" w:hAnsi="Times New Roman"/>
          <w:sz w:val="21"/>
          <w:szCs w:val="21"/>
          <w:lang w:val="en-ID" w:eastAsia="en-ID"/>
        </w:rPr>
        <w:t>sale service</w:t>
      </w:r>
    </w:p>
    <w:p w14:paraId="7BE352FC" w14:textId="0C7DAA37" w:rsidR="00AD59CF" w:rsidRDefault="00AD59CF" w:rsidP="00377E75">
      <w:pPr>
        <w:pStyle w:val="p15"/>
        <w:numPr>
          <w:ilvl w:val="0"/>
          <w:numId w:val="17"/>
        </w:numPr>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Employee Learning and Growth Perspective</w:t>
      </w:r>
    </w:p>
    <w:p w14:paraId="29D6831A" w14:textId="73D321AF" w:rsidR="00AD59CF" w:rsidRPr="00377E75" w:rsidRDefault="00AD59CF" w:rsidP="00377E75">
      <w:pPr>
        <w:pStyle w:val="ListParagraph"/>
        <w:numPr>
          <w:ilvl w:val="0"/>
          <w:numId w:val="15"/>
        </w:numPr>
        <w:jc w:val="both"/>
        <w:rPr>
          <w:rFonts w:ascii="Times New Roman" w:hAnsi="Times New Roman"/>
          <w:sz w:val="21"/>
          <w:szCs w:val="21"/>
          <w:lang w:val="en-ID" w:eastAsia="en-ID"/>
        </w:rPr>
      </w:pPr>
      <w:r w:rsidRPr="00377E75">
        <w:rPr>
          <w:rFonts w:ascii="Times New Roman" w:hAnsi="Times New Roman"/>
          <w:color w:val="222222"/>
          <w:szCs w:val="22"/>
          <w:lang w:val="en-ID" w:eastAsia="en-ID"/>
        </w:rPr>
        <w:t>Employee Satisfaction Level</w:t>
      </w:r>
    </w:p>
    <w:p w14:paraId="2F25CC4E" w14:textId="5BEE6D02" w:rsidR="00AD59CF" w:rsidRPr="00377E75" w:rsidRDefault="00AD59CF" w:rsidP="00377E75">
      <w:pPr>
        <w:pStyle w:val="ListParagraph"/>
        <w:numPr>
          <w:ilvl w:val="0"/>
          <w:numId w:val="15"/>
        </w:numPr>
        <w:autoSpaceDE w:val="0"/>
        <w:autoSpaceDN w:val="0"/>
        <w:adjustRightInd w:val="0"/>
        <w:jc w:val="both"/>
        <w:rPr>
          <w:rFonts w:ascii="Times New Roman" w:hAnsi="Times New Roman"/>
          <w:color w:val="000000"/>
          <w:lang w:val="id-ID"/>
        </w:rPr>
      </w:pPr>
      <w:r w:rsidRPr="00377E75">
        <w:rPr>
          <w:rFonts w:ascii="Times New Roman" w:hAnsi="Times New Roman"/>
          <w:color w:val="222222"/>
          <w:szCs w:val="22"/>
          <w:lang w:val="en-ID" w:eastAsia="en-ID"/>
        </w:rPr>
        <w:t xml:space="preserve">Employee Productivity </w:t>
      </w:r>
      <m:oMath>
        <m:f>
          <m:fPr>
            <m:ctrlPr>
              <w:rPr>
                <w:rFonts w:ascii="Cambria Math" w:hAnsi="Cambria Math"/>
                <w:color w:val="000000"/>
              </w:rPr>
            </m:ctrlPr>
          </m:fPr>
          <m:num>
            <m:r>
              <m:rPr>
                <m:sty m:val="p"/>
              </m:rPr>
              <w:rPr>
                <w:rFonts w:ascii="Cambria Math" w:hAnsi="Cambria Math"/>
                <w:color w:val="000000"/>
              </w:rPr>
              <m:t>Total sales</m:t>
            </m:r>
          </m:num>
          <m:den>
            <m:r>
              <m:rPr>
                <m:sty m:val="p"/>
              </m:rPr>
              <w:rPr>
                <w:rFonts w:ascii="Cambria Math" w:hAnsi="Cambria Math"/>
                <w:color w:val="000000"/>
              </w:rPr>
              <m:t>Total employees</m:t>
            </m:r>
          </m:den>
        </m:f>
        <m:r>
          <m:rPr>
            <m:sty m:val="p"/>
          </m:rPr>
          <w:rPr>
            <w:rFonts w:ascii="Cambria Math" w:hAnsi="Cambria Math"/>
            <w:color w:val="000000"/>
          </w:rPr>
          <m:t>×</m:t>
        </m:r>
        <m:r>
          <w:rPr>
            <w:rFonts w:ascii="Cambria Math" w:hAnsi="Cambria Math"/>
            <w:color w:val="000000"/>
          </w:rPr>
          <m:t>100%</m:t>
        </m:r>
      </m:oMath>
      <w:r w:rsidR="00D27ED6">
        <w:rPr>
          <w:rFonts w:ascii="Times New Roman" w:hAnsi="Times New Roman"/>
          <w:color w:val="000000"/>
        </w:rPr>
        <w:t xml:space="preserve">                                                           </w:t>
      </w:r>
      <w:proofErr w:type="gramStart"/>
      <w:r w:rsidR="00D27ED6">
        <w:rPr>
          <w:rFonts w:ascii="Times New Roman" w:hAnsi="Times New Roman"/>
          <w:color w:val="000000"/>
        </w:rPr>
        <w:t xml:space="preserve">   (</w:t>
      </w:r>
      <w:proofErr w:type="gramEnd"/>
      <w:r w:rsidR="00D27ED6">
        <w:rPr>
          <w:rFonts w:ascii="Times New Roman" w:hAnsi="Times New Roman"/>
          <w:color w:val="000000"/>
        </w:rPr>
        <w:t>9)</w:t>
      </w:r>
    </w:p>
    <w:p w14:paraId="2561008C" w14:textId="091F87AC" w:rsidR="003C5FA6" w:rsidRPr="00CC4E12" w:rsidRDefault="00377E75" w:rsidP="00377E75">
      <w:pPr>
        <w:pStyle w:val="p15"/>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            3.    </w:t>
      </w:r>
      <w:r w:rsidR="00AD59CF">
        <w:rPr>
          <w:rFonts w:ascii="Times New Roman" w:hAnsi="Times New Roman" w:cs="Times New Roman"/>
          <w:color w:val="222222"/>
          <w:sz w:val="22"/>
          <w:szCs w:val="22"/>
        </w:rPr>
        <w:t xml:space="preserve">Employee Retention (Employee </w:t>
      </w:r>
      <w:proofErr w:type="spellStart"/>
      <w:r w:rsidR="00AD59CF">
        <w:rPr>
          <w:rFonts w:ascii="Times New Roman" w:hAnsi="Times New Roman" w:cs="Times New Roman"/>
          <w:color w:val="222222"/>
          <w:sz w:val="22"/>
          <w:szCs w:val="22"/>
        </w:rPr>
        <w:t>Rettention</w:t>
      </w:r>
      <w:proofErr w:type="spellEnd"/>
      <w:r w:rsidR="00AD59CF">
        <w:rPr>
          <w:rFonts w:ascii="Times New Roman" w:hAnsi="Times New Roman" w:cs="Times New Roman"/>
          <w:color w:val="222222"/>
          <w:sz w:val="22"/>
          <w:szCs w:val="22"/>
        </w:rPr>
        <w:t>)</w:t>
      </w:r>
    </w:p>
    <w:p w14:paraId="6EF9547E" w14:textId="30272694" w:rsidR="003C5FA6" w:rsidRDefault="003C5FA6" w:rsidP="003C5FA6">
      <w:pPr>
        <w:pStyle w:val="Section"/>
      </w:pPr>
      <w:r>
        <w:t>Results and Discussion</w:t>
      </w:r>
    </w:p>
    <w:p w14:paraId="78982363" w14:textId="4655F728" w:rsidR="00513B03" w:rsidRDefault="00513B03" w:rsidP="00513B03">
      <w:pPr>
        <w:pStyle w:val="Subsection"/>
        <w:rPr>
          <w:i/>
          <w:iCs w:val="0"/>
        </w:rPr>
      </w:pPr>
      <w:r w:rsidRPr="00513B03">
        <w:rPr>
          <w:i/>
          <w:iCs w:val="0"/>
        </w:rPr>
        <w:t>Financial Perspective</w:t>
      </w:r>
    </w:p>
    <w:p w14:paraId="21E2B909" w14:textId="476E0FDC" w:rsidR="00513B03" w:rsidRPr="002206A4" w:rsidRDefault="00513B03" w:rsidP="00513B03">
      <w:pPr>
        <w:pStyle w:val="Section"/>
        <w:numPr>
          <w:ilvl w:val="0"/>
          <w:numId w:val="0"/>
        </w:numPr>
        <w:jc w:val="center"/>
        <w:rPr>
          <w:lang w:val="en-ID" w:eastAsia="en-ID"/>
        </w:rPr>
      </w:pPr>
      <w:r w:rsidRPr="002206A4">
        <w:rPr>
          <w:lang w:val="en-ID" w:eastAsia="en-ID"/>
        </w:rPr>
        <w:t xml:space="preserve">Table </w:t>
      </w:r>
      <w:r w:rsidR="002206A4" w:rsidRPr="002206A4">
        <w:rPr>
          <w:lang w:val="en-ID" w:eastAsia="en-ID"/>
        </w:rPr>
        <w:t>1</w:t>
      </w:r>
      <w:r w:rsidRPr="002206A4">
        <w:rPr>
          <w:lang w:val="en-ID" w:eastAsia="en-ID"/>
        </w:rPr>
        <w:t xml:space="preserve"> </w:t>
      </w:r>
      <w:r w:rsidRPr="00D27ED6">
        <w:rPr>
          <w:b w:val="0"/>
          <w:bCs/>
          <w:lang w:val="en-ID" w:eastAsia="en-ID"/>
        </w:rPr>
        <w:t>Company financial statements</w:t>
      </w:r>
    </w:p>
    <w:tbl>
      <w:tblPr>
        <w:tblW w:w="0" w:type="auto"/>
        <w:tblInd w:w="1235" w:type="dxa"/>
        <w:tblLayout w:type="fixed"/>
        <w:tblLook w:val="04A0" w:firstRow="1" w:lastRow="0" w:firstColumn="1" w:lastColumn="0" w:noHBand="0" w:noVBand="1"/>
      </w:tblPr>
      <w:tblGrid>
        <w:gridCol w:w="1843"/>
        <w:gridCol w:w="2268"/>
        <w:gridCol w:w="2459"/>
      </w:tblGrid>
      <w:tr w:rsidR="00513B03" w:rsidRPr="00513B03" w14:paraId="09247ED7" w14:textId="77777777" w:rsidTr="00513B03">
        <w:trPr>
          <w:trHeight w:val="297"/>
        </w:trPr>
        <w:tc>
          <w:tcPr>
            <w:tcW w:w="1843" w:type="dxa"/>
            <w:tcBorders>
              <w:top w:val="single" w:sz="4" w:space="0" w:color="auto"/>
            </w:tcBorders>
            <w:vAlign w:val="bottom"/>
            <w:hideMark/>
          </w:tcPr>
          <w:p w14:paraId="11E15A53"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c>
          <w:tcPr>
            <w:tcW w:w="2268" w:type="dxa"/>
            <w:tcBorders>
              <w:top w:val="single" w:sz="4" w:space="0" w:color="auto"/>
            </w:tcBorders>
            <w:vAlign w:val="bottom"/>
            <w:hideMark/>
          </w:tcPr>
          <w:p w14:paraId="0D52E3A5" w14:textId="77777777" w:rsidR="00513B03" w:rsidRPr="00513B03" w:rsidRDefault="00513B03" w:rsidP="00513B03">
            <w:pPr>
              <w:spacing w:line="273" w:lineRule="auto"/>
              <w:jc w:val="right"/>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YEAR </w:t>
            </w:r>
          </w:p>
        </w:tc>
        <w:tc>
          <w:tcPr>
            <w:tcW w:w="2459" w:type="dxa"/>
            <w:tcBorders>
              <w:top w:val="single" w:sz="4" w:space="0" w:color="auto"/>
            </w:tcBorders>
            <w:vAlign w:val="bottom"/>
          </w:tcPr>
          <w:p w14:paraId="3FF3DAFA" w14:textId="77777777" w:rsidR="00513B03" w:rsidRPr="00513B03" w:rsidRDefault="00513B03" w:rsidP="00513B03">
            <w:pPr>
              <w:spacing w:line="273" w:lineRule="auto"/>
              <w:jc w:val="both"/>
              <w:rPr>
                <w:rFonts w:ascii="Times New Roman" w:hAnsi="Times New Roman"/>
                <w:i/>
                <w:iCs/>
                <w:color w:val="000000"/>
                <w:szCs w:val="22"/>
                <w:lang w:val="en-ID" w:eastAsia="en-ID"/>
              </w:rPr>
            </w:pPr>
          </w:p>
        </w:tc>
      </w:tr>
      <w:tr w:rsidR="00513B03" w:rsidRPr="00513B03" w14:paraId="774A11D9" w14:textId="77777777" w:rsidTr="00513B03">
        <w:trPr>
          <w:trHeight w:val="297"/>
        </w:trPr>
        <w:tc>
          <w:tcPr>
            <w:tcW w:w="1843" w:type="dxa"/>
            <w:tcBorders>
              <w:bottom w:val="single" w:sz="4" w:space="0" w:color="auto"/>
            </w:tcBorders>
            <w:shd w:val="clear" w:color="auto" w:fill="FFFFFF"/>
            <w:vAlign w:val="bottom"/>
            <w:hideMark/>
          </w:tcPr>
          <w:p w14:paraId="5822C5A9" w14:textId="30BE78A3"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AC</w:t>
            </w:r>
            <w:r w:rsidR="00B55676">
              <w:rPr>
                <w:rFonts w:ascii="Times New Roman" w:hAnsi="Times New Roman"/>
                <w:i/>
                <w:iCs/>
                <w:color w:val="000000"/>
                <w:szCs w:val="22"/>
                <w:lang w:val="en-ID" w:eastAsia="en-ID"/>
              </w:rPr>
              <w:t>C</w:t>
            </w:r>
            <w:r w:rsidRPr="00513B03">
              <w:rPr>
                <w:rFonts w:ascii="Times New Roman" w:hAnsi="Times New Roman"/>
                <w:i/>
                <w:iCs/>
                <w:color w:val="000000"/>
                <w:szCs w:val="22"/>
                <w:lang w:val="en-ID" w:eastAsia="en-ID"/>
              </w:rPr>
              <w:t>OUNT</w:t>
            </w:r>
          </w:p>
        </w:tc>
        <w:tc>
          <w:tcPr>
            <w:tcW w:w="2268" w:type="dxa"/>
            <w:tcBorders>
              <w:bottom w:val="single" w:sz="4" w:space="0" w:color="auto"/>
            </w:tcBorders>
            <w:vAlign w:val="bottom"/>
            <w:hideMark/>
          </w:tcPr>
          <w:p w14:paraId="4905D024"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2017</w:t>
            </w:r>
          </w:p>
        </w:tc>
        <w:tc>
          <w:tcPr>
            <w:tcW w:w="2459" w:type="dxa"/>
            <w:tcBorders>
              <w:bottom w:val="single" w:sz="4" w:space="0" w:color="auto"/>
            </w:tcBorders>
            <w:vAlign w:val="bottom"/>
            <w:hideMark/>
          </w:tcPr>
          <w:p w14:paraId="7F0ED68E"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2018</w:t>
            </w:r>
          </w:p>
        </w:tc>
      </w:tr>
      <w:tr w:rsidR="00513B03" w:rsidRPr="00513B03" w14:paraId="73C80AC7" w14:textId="77777777" w:rsidTr="00513B03">
        <w:trPr>
          <w:trHeight w:val="297"/>
        </w:trPr>
        <w:tc>
          <w:tcPr>
            <w:tcW w:w="1843" w:type="dxa"/>
            <w:tcBorders>
              <w:top w:val="single" w:sz="4" w:space="0" w:color="auto"/>
            </w:tcBorders>
            <w:shd w:val="clear" w:color="auto" w:fill="FFFFFF"/>
            <w:vAlign w:val="bottom"/>
            <w:hideMark/>
          </w:tcPr>
          <w:p w14:paraId="6F9BB33B" w14:textId="1626C0A3"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Cur</w:t>
            </w:r>
            <w:r w:rsidR="00B55676">
              <w:rPr>
                <w:rFonts w:ascii="Times New Roman" w:hAnsi="Times New Roman"/>
                <w:color w:val="000000"/>
                <w:szCs w:val="22"/>
                <w:lang w:val="en-ID" w:eastAsia="en-ID"/>
              </w:rPr>
              <w:t>r</w:t>
            </w:r>
            <w:r w:rsidRPr="00513B03">
              <w:rPr>
                <w:rFonts w:ascii="Times New Roman" w:hAnsi="Times New Roman"/>
                <w:color w:val="000000"/>
                <w:szCs w:val="22"/>
                <w:lang w:val="en-ID" w:eastAsia="en-ID"/>
              </w:rPr>
              <w:t>ent asset</w:t>
            </w:r>
          </w:p>
        </w:tc>
        <w:tc>
          <w:tcPr>
            <w:tcW w:w="2268" w:type="dxa"/>
            <w:tcBorders>
              <w:top w:val="single" w:sz="4" w:space="0" w:color="auto"/>
            </w:tcBorders>
            <w:vAlign w:val="bottom"/>
            <w:hideMark/>
          </w:tcPr>
          <w:p w14:paraId="4337D2F2"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3.293.686.056</w:t>
            </w:r>
          </w:p>
        </w:tc>
        <w:tc>
          <w:tcPr>
            <w:tcW w:w="2459" w:type="dxa"/>
            <w:tcBorders>
              <w:top w:val="single" w:sz="4" w:space="0" w:color="auto"/>
            </w:tcBorders>
            <w:vAlign w:val="bottom"/>
            <w:hideMark/>
          </w:tcPr>
          <w:p w14:paraId="4FA47923"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3.460.502.152</w:t>
            </w:r>
          </w:p>
        </w:tc>
      </w:tr>
      <w:tr w:rsidR="00513B03" w:rsidRPr="00513B03" w14:paraId="65E2CADD" w14:textId="77777777" w:rsidTr="00513B03">
        <w:trPr>
          <w:trHeight w:val="297"/>
        </w:trPr>
        <w:tc>
          <w:tcPr>
            <w:tcW w:w="1843" w:type="dxa"/>
            <w:shd w:val="clear" w:color="auto" w:fill="FFFFFF"/>
            <w:vAlign w:val="bottom"/>
            <w:hideMark/>
          </w:tcPr>
          <w:p w14:paraId="5C52770B"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Total asset</w:t>
            </w:r>
          </w:p>
        </w:tc>
        <w:tc>
          <w:tcPr>
            <w:tcW w:w="2268" w:type="dxa"/>
            <w:vAlign w:val="bottom"/>
            <w:hideMark/>
          </w:tcPr>
          <w:p w14:paraId="62ADB97C"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3.682.054.368</w:t>
            </w:r>
          </w:p>
        </w:tc>
        <w:tc>
          <w:tcPr>
            <w:tcW w:w="2459" w:type="dxa"/>
            <w:vAlign w:val="bottom"/>
            <w:hideMark/>
          </w:tcPr>
          <w:p w14:paraId="3DB1B7BE"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3.980.532.425</w:t>
            </w:r>
          </w:p>
        </w:tc>
      </w:tr>
      <w:tr w:rsidR="00513B03" w:rsidRPr="00513B03" w14:paraId="78BE6257" w14:textId="77777777" w:rsidTr="00513B03">
        <w:trPr>
          <w:trHeight w:val="297"/>
        </w:trPr>
        <w:tc>
          <w:tcPr>
            <w:tcW w:w="1843" w:type="dxa"/>
            <w:shd w:val="clear" w:color="auto" w:fill="FFFFFF"/>
            <w:vAlign w:val="bottom"/>
          </w:tcPr>
          <w:p w14:paraId="488D6E21" w14:textId="77777777" w:rsidR="00513B03" w:rsidRPr="00513B03" w:rsidRDefault="00513B03" w:rsidP="00513B03">
            <w:pPr>
              <w:shd w:val="clear" w:color="auto" w:fill="FFFFFF"/>
              <w:jc w:val="both"/>
              <w:rPr>
                <w:rFonts w:ascii="Times New Roman" w:hAnsi="Times New Roman"/>
                <w:color w:val="222222"/>
                <w:szCs w:val="22"/>
                <w:shd w:val="clear" w:color="auto" w:fill="FFFFFF"/>
                <w:lang w:val="en-ID" w:eastAsia="en-ID"/>
              </w:rPr>
            </w:pPr>
            <w:r w:rsidRPr="00513B03">
              <w:rPr>
                <w:rFonts w:ascii="Times New Roman" w:hAnsi="Times New Roman"/>
                <w:color w:val="000000"/>
                <w:szCs w:val="22"/>
                <w:lang w:val="en-ID" w:eastAsia="en-ID"/>
              </w:rPr>
              <w:t> </w:t>
            </w:r>
            <w:r w:rsidRPr="00513B03">
              <w:rPr>
                <w:rFonts w:ascii="Times New Roman" w:hAnsi="Times New Roman"/>
                <w:color w:val="222222"/>
                <w:szCs w:val="22"/>
                <w:shd w:val="clear" w:color="auto" w:fill="FFFFFF"/>
                <w:lang w:val="en-ID" w:eastAsia="en-ID"/>
              </w:rPr>
              <w:t>Current liabilities</w:t>
            </w:r>
          </w:p>
          <w:p w14:paraId="74C6CCC4" w14:textId="77777777" w:rsidR="00513B03" w:rsidRPr="00513B03" w:rsidRDefault="00513B03" w:rsidP="00513B03">
            <w:pPr>
              <w:shd w:val="clear" w:color="auto" w:fill="F8F9FA"/>
              <w:jc w:val="both"/>
              <w:rPr>
                <w:rFonts w:ascii="Times New Roman" w:hAnsi="Times New Roman"/>
                <w:color w:val="222222"/>
                <w:szCs w:val="22"/>
                <w:lang w:val="en-ID" w:eastAsia="en-ID"/>
              </w:rPr>
            </w:pPr>
          </w:p>
        </w:tc>
        <w:tc>
          <w:tcPr>
            <w:tcW w:w="2268" w:type="dxa"/>
            <w:vAlign w:val="bottom"/>
            <w:hideMark/>
          </w:tcPr>
          <w:p w14:paraId="09AA60CF"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218.716.277</w:t>
            </w:r>
          </w:p>
        </w:tc>
        <w:tc>
          <w:tcPr>
            <w:tcW w:w="2459" w:type="dxa"/>
            <w:vAlign w:val="bottom"/>
            <w:hideMark/>
          </w:tcPr>
          <w:p w14:paraId="6850A45D"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224.121.325</w:t>
            </w:r>
          </w:p>
        </w:tc>
      </w:tr>
      <w:tr w:rsidR="00513B03" w:rsidRPr="00513B03" w14:paraId="0990E971" w14:textId="77777777" w:rsidTr="00513B03">
        <w:trPr>
          <w:trHeight w:val="297"/>
        </w:trPr>
        <w:tc>
          <w:tcPr>
            <w:tcW w:w="1843" w:type="dxa"/>
            <w:shd w:val="clear" w:color="auto" w:fill="FFFFFF"/>
            <w:vAlign w:val="bottom"/>
          </w:tcPr>
          <w:p w14:paraId="3ACFACA6"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Profit after tax</w:t>
            </w:r>
          </w:p>
          <w:p w14:paraId="4C1F3EAF" w14:textId="77777777" w:rsidR="00513B03" w:rsidRPr="00513B03" w:rsidRDefault="00513B03" w:rsidP="00513B03">
            <w:pPr>
              <w:shd w:val="clear" w:color="auto" w:fill="F8F9FA"/>
              <w:spacing w:line="273" w:lineRule="auto"/>
              <w:jc w:val="both"/>
              <w:rPr>
                <w:rFonts w:ascii="Times New Roman" w:hAnsi="Times New Roman"/>
                <w:color w:val="222222"/>
                <w:szCs w:val="22"/>
                <w:lang w:val="en-ID" w:eastAsia="en-ID"/>
              </w:rPr>
            </w:pPr>
          </w:p>
        </w:tc>
        <w:tc>
          <w:tcPr>
            <w:tcW w:w="2268" w:type="dxa"/>
            <w:vAlign w:val="bottom"/>
            <w:hideMark/>
          </w:tcPr>
          <w:p w14:paraId="65B4AC5E"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488.424.147</w:t>
            </w:r>
          </w:p>
        </w:tc>
        <w:tc>
          <w:tcPr>
            <w:tcW w:w="2459" w:type="dxa"/>
            <w:vAlign w:val="bottom"/>
            <w:hideMark/>
          </w:tcPr>
          <w:p w14:paraId="5F458875"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520.455.112</w:t>
            </w:r>
          </w:p>
        </w:tc>
      </w:tr>
      <w:tr w:rsidR="00513B03" w:rsidRPr="00513B03" w14:paraId="26B00AAD" w14:textId="77777777" w:rsidTr="00513B03">
        <w:trPr>
          <w:trHeight w:val="297"/>
        </w:trPr>
        <w:tc>
          <w:tcPr>
            <w:tcW w:w="1843" w:type="dxa"/>
            <w:shd w:val="clear" w:color="auto" w:fill="FFFFFF"/>
            <w:vAlign w:val="bottom"/>
            <w:hideMark/>
          </w:tcPr>
          <w:p w14:paraId="17584DF9"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Sales </w:t>
            </w:r>
          </w:p>
        </w:tc>
        <w:tc>
          <w:tcPr>
            <w:tcW w:w="2268" w:type="dxa"/>
            <w:vAlign w:val="bottom"/>
            <w:hideMark/>
          </w:tcPr>
          <w:p w14:paraId="31B40C98"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34.917.712.359</w:t>
            </w:r>
          </w:p>
        </w:tc>
        <w:tc>
          <w:tcPr>
            <w:tcW w:w="2459" w:type="dxa"/>
            <w:vAlign w:val="bottom"/>
            <w:hideMark/>
          </w:tcPr>
          <w:p w14:paraId="6353F377"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35.605.515.421</w:t>
            </w:r>
          </w:p>
        </w:tc>
      </w:tr>
      <w:tr w:rsidR="00513B03" w:rsidRPr="00513B03" w14:paraId="1C04CBDF" w14:textId="77777777" w:rsidTr="00513B03">
        <w:trPr>
          <w:trHeight w:val="297"/>
        </w:trPr>
        <w:tc>
          <w:tcPr>
            <w:tcW w:w="1843" w:type="dxa"/>
            <w:shd w:val="clear" w:color="auto" w:fill="FFFFFF"/>
            <w:vAlign w:val="bottom"/>
            <w:hideMark/>
          </w:tcPr>
          <w:p w14:paraId="4A965EA5"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Cost of goods sold</w:t>
            </w:r>
          </w:p>
        </w:tc>
        <w:tc>
          <w:tcPr>
            <w:tcW w:w="2268" w:type="dxa"/>
            <w:vAlign w:val="bottom"/>
            <w:hideMark/>
          </w:tcPr>
          <w:p w14:paraId="05B9CAF1"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32.997.238.179</w:t>
            </w:r>
          </w:p>
        </w:tc>
        <w:tc>
          <w:tcPr>
            <w:tcW w:w="2459" w:type="dxa"/>
            <w:vAlign w:val="bottom"/>
            <w:hideMark/>
          </w:tcPr>
          <w:p w14:paraId="43AB41B6"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33.545.122.150</w:t>
            </w:r>
          </w:p>
        </w:tc>
      </w:tr>
      <w:tr w:rsidR="00513B03" w:rsidRPr="00513B03" w14:paraId="20609026" w14:textId="77777777" w:rsidTr="00513B03">
        <w:trPr>
          <w:trHeight w:val="297"/>
        </w:trPr>
        <w:tc>
          <w:tcPr>
            <w:tcW w:w="1843" w:type="dxa"/>
            <w:vAlign w:val="bottom"/>
            <w:hideMark/>
          </w:tcPr>
          <w:p w14:paraId="7F0DDAF0"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Net profit</w:t>
            </w:r>
          </w:p>
        </w:tc>
        <w:tc>
          <w:tcPr>
            <w:tcW w:w="2268" w:type="dxa"/>
            <w:vAlign w:val="bottom"/>
            <w:hideMark/>
          </w:tcPr>
          <w:p w14:paraId="51951A7A"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1.920.474.180</w:t>
            </w:r>
          </w:p>
        </w:tc>
        <w:tc>
          <w:tcPr>
            <w:tcW w:w="2459" w:type="dxa"/>
            <w:vAlign w:val="bottom"/>
            <w:hideMark/>
          </w:tcPr>
          <w:p w14:paraId="6025ACBC"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2.060.393.271</w:t>
            </w:r>
          </w:p>
        </w:tc>
      </w:tr>
      <w:tr w:rsidR="00513B03" w:rsidRPr="00513B03" w14:paraId="58D7F446" w14:textId="77777777" w:rsidTr="002712B1">
        <w:trPr>
          <w:trHeight w:val="297"/>
        </w:trPr>
        <w:tc>
          <w:tcPr>
            <w:tcW w:w="1843" w:type="dxa"/>
            <w:vAlign w:val="bottom"/>
            <w:hideMark/>
          </w:tcPr>
          <w:p w14:paraId="3386D234"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Operating profit</w:t>
            </w:r>
          </w:p>
        </w:tc>
        <w:tc>
          <w:tcPr>
            <w:tcW w:w="2268" w:type="dxa"/>
            <w:vAlign w:val="bottom"/>
            <w:hideMark/>
          </w:tcPr>
          <w:p w14:paraId="563AEAE8"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215.174.187</w:t>
            </w:r>
          </w:p>
        </w:tc>
        <w:tc>
          <w:tcPr>
            <w:tcW w:w="2459" w:type="dxa"/>
            <w:vAlign w:val="bottom"/>
            <w:hideMark/>
          </w:tcPr>
          <w:p w14:paraId="2D52B434"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238.240.626</w:t>
            </w:r>
          </w:p>
        </w:tc>
      </w:tr>
      <w:tr w:rsidR="002712B1" w:rsidRPr="00513B03" w14:paraId="41C1C8C1" w14:textId="77777777" w:rsidTr="00513B03">
        <w:trPr>
          <w:trHeight w:val="297"/>
        </w:trPr>
        <w:tc>
          <w:tcPr>
            <w:tcW w:w="1843" w:type="dxa"/>
            <w:tcBorders>
              <w:bottom w:val="single" w:sz="4" w:space="0" w:color="auto"/>
            </w:tcBorders>
            <w:vAlign w:val="bottom"/>
          </w:tcPr>
          <w:p w14:paraId="1741919E" w14:textId="77777777" w:rsidR="002712B1" w:rsidRDefault="002712B1" w:rsidP="00513B03">
            <w:pPr>
              <w:spacing w:line="273" w:lineRule="auto"/>
              <w:rPr>
                <w:rFonts w:ascii="Times New Roman" w:hAnsi="Times New Roman"/>
                <w:color w:val="000000"/>
                <w:szCs w:val="22"/>
                <w:lang w:val="en-ID" w:eastAsia="en-ID"/>
              </w:rPr>
            </w:pPr>
          </w:p>
          <w:p w14:paraId="36C88093" w14:textId="77777777" w:rsidR="002712B1" w:rsidRDefault="002712B1" w:rsidP="00513B03">
            <w:pPr>
              <w:spacing w:line="273" w:lineRule="auto"/>
              <w:rPr>
                <w:rFonts w:ascii="Times New Roman" w:hAnsi="Times New Roman"/>
                <w:color w:val="000000"/>
                <w:szCs w:val="22"/>
                <w:lang w:val="en-ID" w:eastAsia="en-ID"/>
              </w:rPr>
            </w:pPr>
          </w:p>
          <w:p w14:paraId="1C91ACD3" w14:textId="497C0B40" w:rsidR="002712B1" w:rsidRPr="00513B03" w:rsidRDefault="002712B1" w:rsidP="00513B03">
            <w:pPr>
              <w:spacing w:line="273" w:lineRule="auto"/>
              <w:rPr>
                <w:rFonts w:ascii="Times New Roman" w:hAnsi="Times New Roman"/>
                <w:color w:val="000000"/>
                <w:szCs w:val="22"/>
                <w:lang w:val="en-ID" w:eastAsia="en-ID"/>
              </w:rPr>
            </w:pPr>
          </w:p>
        </w:tc>
        <w:tc>
          <w:tcPr>
            <w:tcW w:w="2268" w:type="dxa"/>
            <w:tcBorders>
              <w:bottom w:val="single" w:sz="4" w:space="0" w:color="auto"/>
            </w:tcBorders>
            <w:vAlign w:val="bottom"/>
          </w:tcPr>
          <w:p w14:paraId="1B9FD194" w14:textId="77777777" w:rsidR="002712B1" w:rsidRPr="00513B03" w:rsidRDefault="002712B1" w:rsidP="00513B03">
            <w:pPr>
              <w:spacing w:line="273" w:lineRule="auto"/>
              <w:rPr>
                <w:rFonts w:ascii="Times New Roman" w:hAnsi="Times New Roman"/>
                <w:color w:val="000000"/>
                <w:szCs w:val="22"/>
                <w:lang w:val="en-ID" w:eastAsia="en-ID"/>
              </w:rPr>
            </w:pPr>
          </w:p>
        </w:tc>
        <w:tc>
          <w:tcPr>
            <w:tcW w:w="2459" w:type="dxa"/>
            <w:tcBorders>
              <w:bottom w:val="single" w:sz="4" w:space="0" w:color="auto"/>
            </w:tcBorders>
            <w:vAlign w:val="bottom"/>
          </w:tcPr>
          <w:p w14:paraId="5D37D3B6" w14:textId="77777777" w:rsidR="002712B1" w:rsidRPr="00513B03" w:rsidRDefault="002712B1" w:rsidP="00513B03">
            <w:pPr>
              <w:spacing w:line="273" w:lineRule="auto"/>
              <w:rPr>
                <w:rFonts w:ascii="Times New Roman" w:hAnsi="Times New Roman"/>
                <w:color w:val="000000"/>
                <w:szCs w:val="22"/>
                <w:lang w:val="en-ID" w:eastAsia="en-ID"/>
              </w:rPr>
            </w:pPr>
          </w:p>
        </w:tc>
      </w:tr>
    </w:tbl>
    <w:p w14:paraId="4E92B65A" w14:textId="77777777" w:rsidR="00BC640E" w:rsidRDefault="00BC640E" w:rsidP="00BC640E">
      <w:pPr>
        <w:pStyle w:val="Subsection"/>
        <w:numPr>
          <w:ilvl w:val="0"/>
          <w:numId w:val="0"/>
        </w:numPr>
        <w:rPr>
          <w:i/>
          <w:iCs w:val="0"/>
        </w:rPr>
      </w:pPr>
    </w:p>
    <w:p w14:paraId="77847CD0" w14:textId="2A670E0C" w:rsidR="00513B03" w:rsidRDefault="00513B03" w:rsidP="00513B03">
      <w:pPr>
        <w:pStyle w:val="Subsection"/>
        <w:rPr>
          <w:i/>
          <w:iCs w:val="0"/>
        </w:rPr>
      </w:pPr>
      <w:r w:rsidRPr="00513B03">
        <w:rPr>
          <w:i/>
          <w:iCs w:val="0"/>
        </w:rPr>
        <w:t>The customer perspective</w:t>
      </w:r>
    </w:p>
    <w:p w14:paraId="451C3895" w14:textId="4E39F8D4" w:rsidR="00513B03" w:rsidRPr="002206A4" w:rsidRDefault="002206A4" w:rsidP="00513B03">
      <w:pPr>
        <w:pStyle w:val="Section"/>
        <w:numPr>
          <w:ilvl w:val="0"/>
          <w:numId w:val="0"/>
        </w:numPr>
        <w:jc w:val="center"/>
        <w:rPr>
          <w:lang w:val="en-ID" w:eastAsia="en-ID"/>
        </w:rPr>
      </w:pPr>
      <w:r>
        <w:rPr>
          <w:b w:val="0"/>
          <w:bCs/>
          <w:lang w:val="en-ID" w:eastAsia="en-ID"/>
        </w:rPr>
        <w:t xml:space="preserve">                                                           </w:t>
      </w:r>
      <w:r w:rsidR="00513B03" w:rsidRPr="002206A4">
        <w:rPr>
          <w:lang w:val="en-ID" w:eastAsia="en-ID"/>
        </w:rPr>
        <w:t xml:space="preserve">Table 2 </w:t>
      </w:r>
      <w:r w:rsidR="00513B03" w:rsidRPr="00D27ED6">
        <w:rPr>
          <w:b w:val="0"/>
          <w:bCs/>
          <w:lang w:val="en-ID" w:eastAsia="en-ID"/>
        </w:rPr>
        <w:t>Customer perspective measurement reports</w:t>
      </w:r>
    </w:p>
    <w:tbl>
      <w:tblPr>
        <w:tblW w:w="0" w:type="auto"/>
        <w:tblInd w:w="2130" w:type="dxa"/>
        <w:tblLayout w:type="fixed"/>
        <w:tblLook w:val="04A0" w:firstRow="1" w:lastRow="0" w:firstColumn="1" w:lastColumn="0" w:noHBand="0" w:noVBand="1"/>
      </w:tblPr>
      <w:tblGrid>
        <w:gridCol w:w="2791"/>
        <w:gridCol w:w="2412"/>
        <w:gridCol w:w="2412"/>
      </w:tblGrid>
      <w:tr w:rsidR="00513B03" w:rsidRPr="00513B03" w14:paraId="5A664469" w14:textId="77777777" w:rsidTr="00513B03">
        <w:trPr>
          <w:trHeight w:val="385"/>
        </w:trPr>
        <w:tc>
          <w:tcPr>
            <w:tcW w:w="2791" w:type="dxa"/>
            <w:tcBorders>
              <w:top w:val="single" w:sz="4" w:space="0" w:color="auto"/>
            </w:tcBorders>
            <w:vAlign w:val="bottom"/>
            <w:hideMark/>
          </w:tcPr>
          <w:p w14:paraId="66B38FEE"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c>
          <w:tcPr>
            <w:tcW w:w="2412" w:type="dxa"/>
            <w:tcBorders>
              <w:top w:val="single" w:sz="4" w:space="0" w:color="auto"/>
            </w:tcBorders>
            <w:vAlign w:val="bottom"/>
            <w:hideMark/>
          </w:tcPr>
          <w:p w14:paraId="11A59B92" w14:textId="77777777" w:rsidR="00513B03" w:rsidRPr="00513B03" w:rsidRDefault="00513B03" w:rsidP="00513B03">
            <w:pPr>
              <w:spacing w:line="273" w:lineRule="auto"/>
              <w:jc w:val="right"/>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YEAR</w:t>
            </w:r>
          </w:p>
        </w:tc>
        <w:tc>
          <w:tcPr>
            <w:tcW w:w="2412" w:type="dxa"/>
            <w:tcBorders>
              <w:top w:val="single" w:sz="4" w:space="0" w:color="auto"/>
            </w:tcBorders>
            <w:vAlign w:val="bottom"/>
            <w:hideMark/>
          </w:tcPr>
          <w:p w14:paraId="194DD80E"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r>
      <w:tr w:rsidR="00513B03" w:rsidRPr="00513B03" w14:paraId="602689AC" w14:textId="77777777" w:rsidTr="00513B03">
        <w:trPr>
          <w:trHeight w:val="385"/>
        </w:trPr>
        <w:tc>
          <w:tcPr>
            <w:tcW w:w="2791" w:type="dxa"/>
            <w:tcBorders>
              <w:bottom w:val="single" w:sz="4" w:space="0" w:color="auto"/>
            </w:tcBorders>
            <w:vAlign w:val="bottom"/>
            <w:hideMark/>
          </w:tcPr>
          <w:p w14:paraId="205B5A3F"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SIZE</w:t>
            </w:r>
          </w:p>
        </w:tc>
        <w:tc>
          <w:tcPr>
            <w:tcW w:w="2412" w:type="dxa"/>
            <w:tcBorders>
              <w:bottom w:val="single" w:sz="4" w:space="0" w:color="auto"/>
            </w:tcBorders>
            <w:vAlign w:val="bottom"/>
            <w:hideMark/>
          </w:tcPr>
          <w:p w14:paraId="6BA1DE27"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2017</w:t>
            </w:r>
          </w:p>
        </w:tc>
        <w:tc>
          <w:tcPr>
            <w:tcW w:w="2412" w:type="dxa"/>
            <w:tcBorders>
              <w:bottom w:val="single" w:sz="4" w:space="0" w:color="auto"/>
            </w:tcBorders>
            <w:vAlign w:val="bottom"/>
            <w:hideMark/>
          </w:tcPr>
          <w:p w14:paraId="3BD47202"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2018</w:t>
            </w:r>
          </w:p>
        </w:tc>
      </w:tr>
      <w:tr w:rsidR="00513B03" w:rsidRPr="00513B03" w14:paraId="34CD4621" w14:textId="77777777" w:rsidTr="00513B03">
        <w:trPr>
          <w:trHeight w:val="385"/>
        </w:trPr>
        <w:tc>
          <w:tcPr>
            <w:tcW w:w="2791" w:type="dxa"/>
            <w:tcBorders>
              <w:top w:val="single" w:sz="4" w:space="0" w:color="auto"/>
            </w:tcBorders>
            <w:vAlign w:val="bottom"/>
            <w:hideMark/>
          </w:tcPr>
          <w:p w14:paraId="417C683F"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000000"/>
                <w:szCs w:val="22"/>
                <w:lang w:val="en-ID" w:eastAsia="en-ID"/>
              </w:rPr>
              <w:t> </w:t>
            </w:r>
            <w:r w:rsidRPr="00513B03">
              <w:rPr>
                <w:rFonts w:ascii="Times New Roman" w:hAnsi="Times New Roman"/>
                <w:color w:val="222222"/>
                <w:szCs w:val="22"/>
                <w:lang w:val="en-ID" w:eastAsia="en-ID"/>
              </w:rPr>
              <w:t>Customer acquisition rate</w:t>
            </w:r>
          </w:p>
        </w:tc>
        <w:tc>
          <w:tcPr>
            <w:tcW w:w="2412" w:type="dxa"/>
            <w:tcBorders>
              <w:top w:val="single" w:sz="4" w:space="0" w:color="auto"/>
            </w:tcBorders>
            <w:vAlign w:val="bottom"/>
            <w:hideMark/>
          </w:tcPr>
          <w:p w14:paraId="5CB80DC7"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1.500 shop</w:t>
            </w:r>
          </w:p>
        </w:tc>
        <w:tc>
          <w:tcPr>
            <w:tcW w:w="2412" w:type="dxa"/>
            <w:tcBorders>
              <w:top w:val="single" w:sz="4" w:space="0" w:color="auto"/>
            </w:tcBorders>
            <w:vAlign w:val="bottom"/>
            <w:hideMark/>
          </w:tcPr>
          <w:p w14:paraId="1BF583C8"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1.800 shop</w:t>
            </w:r>
          </w:p>
        </w:tc>
      </w:tr>
      <w:tr w:rsidR="00513B03" w:rsidRPr="00513B03" w14:paraId="4E523CBF" w14:textId="77777777" w:rsidTr="00513B03">
        <w:trPr>
          <w:trHeight w:val="385"/>
        </w:trPr>
        <w:tc>
          <w:tcPr>
            <w:tcW w:w="2791" w:type="dxa"/>
            <w:tcBorders>
              <w:bottom w:val="single" w:sz="4" w:space="0" w:color="auto"/>
            </w:tcBorders>
            <w:vAlign w:val="bottom"/>
          </w:tcPr>
          <w:p w14:paraId="42083BDA" w14:textId="77777777" w:rsidR="00513B03" w:rsidRPr="00513B03" w:rsidRDefault="00513B03" w:rsidP="00513B03">
            <w:pPr>
              <w:shd w:val="clear" w:color="auto" w:fill="FFFFFF"/>
              <w:spacing w:line="273" w:lineRule="auto"/>
              <w:ind w:left="2520"/>
              <w:jc w:val="both"/>
              <w:rPr>
                <w:rFonts w:ascii="Times New Roman" w:hAnsi="Times New Roman"/>
                <w:b/>
                <w:bCs/>
                <w:szCs w:val="22"/>
                <w:lang w:val="en-ID" w:eastAsia="en-ID"/>
              </w:rPr>
            </w:pPr>
            <w:r w:rsidRPr="00513B03">
              <w:rPr>
                <w:rFonts w:ascii="Times New Roman" w:hAnsi="Times New Roman"/>
                <w:color w:val="000000"/>
                <w:szCs w:val="22"/>
                <w:lang w:val="en-ID" w:eastAsia="en-ID"/>
              </w:rPr>
              <w:t> </w:t>
            </w:r>
          </w:p>
          <w:p w14:paraId="2B94A360" w14:textId="10843B6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Customer retention rate</w:t>
            </w:r>
          </w:p>
        </w:tc>
        <w:tc>
          <w:tcPr>
            <w:tcW w:w="2412" w:type="dxa"/>
            <w:tcBorders>
              <w:bottom w:val="single" w:sz="4" w:space="0" w:color="auto"/>
            </w:tcBorders>
            <w:vAlign w:val="bottom"/>
            <w:hideMark/>
          </w:tcPr>
          <w:p w14:paraId="004C7238"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w:t>
            </w:r>
            <w:proofErr w:type="gramStart"/>
            <w:r w:rsidRPr="00513B03">
              <w:rPr>
                <w:rFonts w:ascii="Times New Roman" w:hAnsi="Times New Roman"/>
                <w:color w:val="000000"/>
                <w:szCs w:val="22"/>
                <w:lang w:val="en-ID" w:eastAsia="en-ID"/>
              </w:rPr>
              <w:t>1.200  loyal</w:t>
            </w:r>
            <w:proofErr w:type="gramEnd"/>
            <w:r w:rsidRPr="00513B03">
              <w:rPr>
                <w:rFonts w:ascii="Times New Roman" w:hAnsi="Times New Roman"/>
                <w:color w:val="000000"/>
                <w:szCs w:val="22"/>
                <w:lang w:val="en-ID" w:eastAsia="en-ID"/>
              </w:rPr>
              <w:t xml:space="preserve"> shop</w:t>
            </w:r>
          </w:p>
        </w:tc>
        <w:tc>
          <w:tcPr>
            <w:tcW w:w="2412" w:type="dxa"/>
            <w:tcBorders>
              <w:bottom w:val="single" w:sz="4" w:space="0" w:color="auto"/>
            </w:tcBorders>
            <w:vAlign w:val="bottom"/>
            <w:hideMark/>
          </w:tcPr>
          <w:p w14:paraId="0FC687BE" w14:textId="0BE8435B" w:rsidR="00513B03" w:rsidRPr="002206A4" w:rsidRDefault="00B55676" w:rsidP="00513B03">
            <w:pPr>
              <w:pStyle w:val="ListParagraph"/>
              <w:numPr>
                <w:ilvl w:val="1"/>
                <w:numId w:val="16"/>
              </w:numPr>
              <w:spacing w:line="273" w:lineRule="auto"/>
              <w:rPr>
                <w:rFonts w:ascii="Times New Roman" w:hAnsi="Times New Roman"/>
                <w:color w:val="000000"/>
                <w:szCs w:val="22"/>
                <w:lang w:val="en-ID" w:eastAsia="en-ID"/>
              </w:rPr>
            </w:pPr>
            <w:r>
              <w:rPr>
                <w:rFonts w:ascii="Times New Roman" w:hAnsi="Times New Roman"/>
                <w:color w:val="000000"/>
                <w:szCs w:val="22"/>
                <w:lang w:val="en-ID" w:eastAsia="en-ID"/>
              </w:rPr>
              <w:t>you</w:t>
            </w:r>
            <w:r w:rsidR="00513B03" w:rsidRPr="002206A4">
              <w:rPr>
                <w:rFonts w:ascii="Times New Roman" w:hAnsi="Times New Roman"/>
                <w:color w:val="000000"/>
                <w:szCs w:val="22"/>
                <w:lang w:val="en-ID" w:eastAsia="en-ID"/>
              </w:rPr>
              <w:t xml:space="preserve"> shop</w:t>
            </w:r>
          </w:p>
        </w:tc>
      </w:tr>
    </w:tbl>
    <w:p w14:paraId="485AA7D3" w14:textId="77777777" w:rsidR="00513B03" w:rsidRPr="00513B03" w:rsidRDefault="00513B03" w:rsidP="00513B03">
      <w:pPr>
        <w:pStyle w:val="Bodytext"/>
        <w:rPr>
          <w:lang w:val="en-GB"/>
        </w:rPr>
      </w:pPr>
    </w:p>
    <w:p w14:paraId="33A41A4B" w14:textId="083CFA60" w:rsidR="00513B03" w:rsidRDefault="00513B03" w:rsidP="00513B03">
      <w:pPr>
        <w:pStyle w:val="Subsection"/>
        <w:rPr>
          <w:i/>
          <w:iCs w:val="0"/>
        </w:rPr>
      </w:pPr>
      <w:r w:rsidRPr="00513B03">
        <w:rPr>
          <w:i/>
          <w:iCs w:val="0"/>
        </w:rPr>
        <w:t>Internal business process perspective</w:t>
      </w:r>
    </w:p>
    <w:p w14:paraId="147F34B6" w14:textId="18AD296C" w:rsidR="00513B03" w:rsidRPr="002206A4" w:rsidRDefault="002206A4" w:rsidP="0098726D">
      <w:pPr>
        <w:pStyle w:val="Section"/>
        <w:numPr>
          <w:ilvl w:val="0"/>
          <w:numId w:val="0"/>
        </w:numPr>
        <w:jc w:val="center"/>
        <w:rPr>
          <w:lang w:val="en-ID" w:eastAsia="en-ID"/>
        </w:rPr>
      </w:pPr>
      <w:r>
        <w:rPr>
          <w:b w:val="0"/>
          <w:bCs/>
          <w:lang w:val="en-ID" w:eastAsia="en-ID"/>
        </w:rPr>
        <w:t xml:space="preserve">                                                          </w:t>
      </w:r>
      <w:r w:rsidR="00513B03" w:rsidRPr="002206A4">
        <w:rPr>
          <w:lang w:val="en-ID" w:eastAsia="en-ID"/>
        </w:rPr>
        <w:t xml:space="preserve">Table 3 </w:t>
      </w:r>
      <w:r w:rsidR="00513B03" w:rsidRPr="00D27ED6">
        <w:rPr>
          <w:b w:val="0"/>
          <w:bCs/>
          <w:lang w:val="en-ID" w:eastAsia="en-ID"/>
        </w:rPr>
        <w:t>Internal business perspective measurement reports</w:t>
      </w:r>
    </w:p>
    <w:tbl>
      <w:tblPr>
        <w:tblW w:w="0" w:type="auto"/>
        <w:tblInd w:w="2130" w:type="dxa"/>
        <w:tblLayout w:type="fixed"/>
        <w:tblLook w:val="04A0" w:firstRow="1" w:lastRow="0" w:firstColumn="1" w:lastColumn="0" w:noHBand="0" w:noVBand="1"/>
      </w:tblPr>
      <w:tblGrid>
        <w:gridCol w:w="2412"/>
        <w:gridCol w:w="2412"/>
        <w:gridCol w:w="2412"/>
      </w:tblGrid>
      <w:tr w:rsidR="00513B03" w:rsidRPr="00513B03" w14:paraId="5B070F4F" w14:textId="77777777" w:rsidTr="0098726D">
        <w:trPr>
          <w:trHeight w:val="385"/>
        </w:trPr>
        <w:tc>
          <w:tcPr>
            <w:tcW w:w="2412" w:type="dxa"/>
            <w:tcBorders>
              <w:top w:val="single" w:sz="4" w:space="0" w:color="auto"/>
            </w:tcBorders>
            <w:vAlign w:val="bottom"/>
            <w:hideMark/>
          </w:tcPr>
          <w:p w14:paraId="6F15DD97"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c>
          <w:tcPr>
            <w:tcW w:w="2412" w:type="dxa"/>
            <w:tcBorders>
              <w:top w:val="single" w:sz="4" w:space="0" w:color="auto"/>
            </w:tcBorders>
            <w:vAlign w:val="bottom"/>
            <w:hideMark/>
          </w:tcPr>
          <w:p w14:paraId="34E2E1E4" w14:textId="77777777" w:rsidR="00513B03" w:rsidRPr="00513B03" w:rsidRDefault="00513B03" w:rsidP="00513B03">
            <w:pPr>
              <w:spacing w:line="273" w:lineRule="auto"/>
              <w:jc w:val="right"/>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YEAR</w:t>
            </w:r>
          </w:p>
        </w:tc>
        <w:tc>
          <w:tcPr>
            <w:tcW w:w="2412" w:type="dxa"/>
            <w:tcBorders>
              <w:top w:val="single" w:sz="4" w:space="0" w:color="auto"/>
            </w:tcBorders>
            <w:vAlign w:val="bottom"/>
            <w:hideMark/>
          </w:tcPr>
          <w:p w14:paraId="7F00C15D"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r>
      <w:tr w:rsidR="00513B03" w:rsidRPr="00513B03" w14:paraId="7182692A" w14:textId="77777777" w:rsidTr="0098726D">
        <w:trPr>
          <w:trHeight w:val="385"/>
        </w:trPr>
        <w:tc>
          <w:tcPr>
            <w:tcW w:w="2412" w:type="dxa"/>
            <w:tcBorders>
              <w:bottom w:val="single" w:sz="4" w:space="0" w:color="auto"/>
            </w:tcBorders>
            <w:vAlign w:val="bottom"/>
            <w:hideMark/>
          </w:tcPr>
          <w:p w14:paraId="38E333B9"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SIZE</w:t>
            </w:r>
          </w:p>
        </w:tc>
        <w:tc>
          <w:tcPr>
            <w:tcW w:w="2412" w:type="dxa"/>
            <w:tcBorders>
              <w:bottom w:val="single" w:sz="4" w:space="0" w:color="auto"/>
            </w:tcBorders>
            <w:vAlign w:val="bottom"/>
            <w:hideMark/>
          </w:tcPr>
          <w:p w14:paraId="7F441ADE"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2017</w:t>
            </w:r>
          </w:p>
        </w:tc>
        <w:tc>
          <w:tcPr>
            <w:tcW w:w="2412" w:type="dxa"/>
            <w:tcBorders>
              <w:bottom w:val="single" w:sz="4" w:space="0" w:color="auto"/>
            </w:tcBorders>
            <w:vAlign w:val="bottom"/>
            <w:hideMark/>
          </w:tcPr>
          <w:p w14:paraId="72C7AE9B"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2018</w:t>
            </w:r>
          </w:p>
        </w:tc>
      </w:tr>
      <w:tr w:rsidR="00513B03" w:rsidRPr="00513B03" w14:paraId="48F72694" w14:textId="77777777" w:rsidTr="0098726D">
        <w:trPr>
          <w:trHeight w:val="385"/>
        </w:trPr>
        <w:tc>
          <w:tcPr>
            <w:tcW w:w="2412" w:type="dxa"/>
            <w:tcBorders>
              <w:top w:val="single" w:sz="4" w:space="0" w:color="auto"/>
            </w:tcBorders>
            <w:vAlign w:val="bottom"/>
            <w:hideMark/>
          </w:tcPr>
          <w:p w14:paraId="33097003"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w:t>
            </w:r>
            <w:proofErr w:type="spellStart"/>
            <w:r w:rsidRPr="00513B03">
              <w:rPr>
                <w:rFonts w:ascii="Times New Roman" w:hAnsi="Times New Roman"/>
                <w:color w:val="000000"/>
                <w:szCs w:val="22"/>
                <w:lang w:val="en-ID" w:eastAsia="en-ID"/>
              </w:rPr>
              <w:t>Inovation</w:t>
            </w:r>
            <w:proofErr w:type="spellEnd"/>
          </w:p>
        </w:tc>
        <w:tc>
          <w:tcPr>
            <w:tcW w:w="2412" w:type="dxa"/>
            <w:tcBorders>
              <w:top w:val="single" w:sz="4" w:space="0" w:color="auto"/>
            </w:tcBorders>
            <w:vAlign w:val="bottom"/>
            <w:hideMark/>
          </w:tcPr>
          <w:p w14:paraId="0C1AF165"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2 </w:t>
            </w:r>
            <w:proofErr w:type="spellStart"/>
            <w:r w:rsidRPr="00513B03">
              <w:rPr>
                <w:rFonts w:ascii="Times New Roman" w:hAnsi="Times New Roman"/>
                <w:color w:val="000000"/>
                <w:szCs w:val="22"/>
                <w:lang w:val="en-ID" w:eastAsia="en-ID"/>
              </w:rPr>
              <w:t>inovation</w:t>
            </w:r>
            <w:proofErr w:type="spellEnd"/>
          </w:p>
        </w:tc>
        <w:tc>
          <w:tcPr>
            <w:tcW w:w="2412" w:type="dxa"/>
            <w:tcBorders>
              <w:top w:val="single" w:sz="4" w:space="0" w:color="auto"/>
            </w:tcBorders>
            <w:vAlign w:val="bottom"/>
            <w:hideMark/>
          </w:tcPr>
          <w:p w14:paraId="00AB5C0E"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1 </w:t>
            </w:r>
            <w:proofErr w:type="spellStart"/>
            <w:r w:rsidRPr="00513B03">
              <w:rPr>
                <w:rFonts w:ascii="Times New Roman" w:hAnsi="Times New Roman"/>
                <w:color w:val="000000"/>
                <w:szCs w:val="22"/>
                <w:lang w:val="en-ID" w:eastAsia="en-ID"/>
              </w:rPr>
              <w:t>inovation</w:t>
            </w:r>
            <w:proofErr w:type="spellEnd"/>
          </w:p>
        </w:tc>
      </w:tr>
      <w:tr w:rsidR="00513B03" w:rsidRPr="00513B03" w14:paraId="126247CC" w14:textId="77777777" w:rsidTr="0098726D">
        <w:trPr>
          <w:trHeight w:val="385"/>
        </w:trPr>
        <w:tc>
          <w:tcPr>
            <w:tcW w:w="2412" w:type="dxa"/>
            <w:tcBorders>
              <w:bottom w:val="single" w:sz="4" w:space="0" w:color="auto"/>
            </w:tcBorders>
            <w:vAlign w:val="bottom"/>
          </w:tcPr>
          <w:p w14:paraId="4C8FDD06" w14:textId="3E3F8D8E"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After</w:t>
            </w:r>
            <w:r w:rsidR="00B55676">
              <w:rPr>
                <w:rFonts w:ascii="Times New Roman" w:hAnsi="Times New Roman"/>
                <w:color w:val="222222"/>
                <w:szCs w:val="22"/>
                <w:lang w:val="en-ID" w:eastAsia="en-ID"/>
              </w:rPr>
              <w:t>-</w:t>
            </w:r>
            <w:r w:rsidRPr="00513B03">
              <w:rPr>
                <w:rFonts w:ascii="Times New Roman" w:hAnsi="Times New Roman"/>
                <w:color w:val="222222"/>
                <w:szCs w:val="22"/>
                <w:lang w:val="en-ID" w:eastAsia="en-ID"/>
              </w:rPr>
              <w:t>sale service</w:t>
            </w:r>
          </w:p>
          <w:p w14:paraId="461F0BA4"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p>
        </w:tc>
        <w:tc>
          <w:tcPr>
            <w:tcW w:w="2412" w:type="dxa"/>
            <w:tcBorders>
              <w:bottom w:val="single" w:sz="4" w:space="0" w:color="auto"/>
            </w:tcBorders>
            <w:vAlign w:val="bottom"/>
            <w:hideMark/>
          </w:tcPr>
          <w:p w14:paraId="300E71F7"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20% bad stock replacement from shop request</w:t>
            </w:r>
          </w:p>
        </w:tc>
        <w:tc>
          <w:tcPr>
            <w:tcW w:w="2412" w:type="dxa"/>
            <w:tcBorders>
              <w:bottom w:val="single" w:sz="4" w:space="0" w:color="auto"/>
            </w:tcBorders>
            <w:vAlign w:val="bottom"/>
            <w:hideMark/>
          </w:tcPr>
          <w:p w14:paraId="3536CCF9"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30% bad stock replacement from shop request</w:t>
            </w:r>
          </w:p>
        </w:tc>
      </w:tr>
    </w:tbl>
    <w:p w14:paraId="265DE967" w14:textId="77777777" w:rsidR="00513B03" w:rsidRPr="00513B03" w:rsidRDefault="00513B03" w:rsidP="00513B03">
      <w:pPr>
        <w:pStyle w:val="Bodytext"/>
        <w:rPr>
          <w:lang w:val="en-GB"/>
        </w:rPr>
      </w:pPr>
    </w:p>
    <w:p w14:paraId="069BE3C1" w14:textId="2D697CEA" w:rsidR="0098726D" w:rsidRDefault="0098726D" w:rsidP="0098726D">
      <w:pPr>
        <w:pStyle w:val="Subsection"/>
        <w:rPr>
          <w:i/>
          <w:iCs w:val="0"/>
        </w:rPr>
      </w:pPr>
      <w:r w:rsidRPr="0098726D">
        <w:rPr>
          <w:i/>
          <w:iCs w:val="0"/>
        </w:rPr>
        <w:t>Employee learning and growth perspective</w:t>
      </w:r>
    </w:p>
    <w:p w14:paraId="1FA96A02" w14:textId="14D9AE2F" w:rsidR="0098726D" w:rsidRPr="00D27ED6" w:rsidRDefault="0098726D" w:rsidP="0098726D">
      <w:pPr>
        <w:pStyle w:val="Section"/>
        <w:numPr>
          <w:ilvl w:val="0"/>
          <w:numId w:val="0"/>
        </w:numPr>
        <w:jc w:val="center"/>
        <w:rPr>
          <w:b w:val="0"/>
          <w:bCs/>
          <w:lang w:val="en-ID" w:eastAsia="en-ID"/>
        </w:rPr>
      </w:pPr>
      <w:r>
        <w:rPr>
          <w:b w:val="0"/>
          <w:bCs/>
          <w:lang w:val="en-ID" w:eastAsia="en-ID"/>
        </w:rPr>
        <w:t xml:space="preserve">                                 </w:t>
      </w:r>
      <w:r w:rsidR="002206A4">
        <w:rPr>
          <w:b w:val="0"/>
          <w:bCs/>
          <w:lang w:val="en-ID" w:eastAsia="en-ID"/>
        </w:rPr>
        <w:t xml:space="preserve">     </w:t>
      </w:r>
      <w:r w:rsidRPr="002712B1">
        <w:rPr>
          <w:lang w:val="en-ID" w:eastAsia="en-ID"/>
        </w:rPr>
        <w:t xml:space="preserve">Table 4 </w:t>
      </w:r>
      <w:r w:rsidRPr="00D27ED6">
        <w:rPr>
          <w:b w:val="0"/>
          <w:bCs/>
          <w:lang w:val="en-ID" w:eastAsia="en-ID"/>
        </w:rPr>
        <w:t xml:space="preserve">Report on </w:t>
      </w:r>
      <w:r w:rsidR="00B55676" w:rsidRPr="00D27ED6">
        <w:rPr>
          <w:b w:val="0"/>
          <w:bCs/>
          <w:lang w:val="en-ID" w:eastAsia="en-ID"/>
        </w:rPr>
        <w:t xml:space="preserve">the </w:t>
      </w:r>
      <w:r w:rsidRPr="00D27ED6">
        <w:rPr>
          <w:b w:val="0"/>
          <w:bCs/>
          <w:lang w:val="en-ID" w:eastAsia="en-ID"/>
        </w:rPr>
        <w:t>measurement of employee learning and growth perspectives</w:t>
      </w:r>
    </w:p>
    <w:tbl>
      <w:tblPr>
        <w:tblW w:w="7236" w:type="dxa"/>
        <w:tblInd w:w="2130" w:type="dxa"/>
        <w:tblLayout w:type="fixed"/>
        <w:tblLook w:val="04A0" w:firstRow="1" w:lastRow="0" w:firstColumn="1" w:lastColumn="0" w:noHBand="0" w:noVBand="1"/>
      </w:tblPr>
      <w:tblGrid>
        <w:gridCol w:w="2412"/>
        <w:gridCol w:w="2412"/>
        <w:gridCol w:w="2412"/>
      </w:tblGrid>
      <w:tr w:rsidR="0098726D" w:rsidRPr="0098726D" w14:paraId="0DA84159" w14:textId="77777777" w:rsidTr="0098726D">
        <w:trPr>
          <w:trHeight w:val="385"/>
        </w:trPr>
        <w:tc>
          <w:tcPr>
            <w:tcW w:w="2412" w:type="dxa"/>
            <w:tcBorders>
              <w:top w:val="single" w:sz="4" w:space="0" w:color="auto"/>
            </w:tcBorders>
            <w:vAlign w:val="bottom"/>
            <w:hideMark/>
          </w:tcPr>
          <w:p w14:paraId="41548041"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c>
          <w:tcPr>
            <w:tcW w:w="2412" w:type="dxa"/>
            <w:tcBorders>
              <w:top w:val="single" w:sz="4" w:space="0" w:color="auto"/>
            </w:tcBorders>
            <w:vAlign w:val="bottom"/>
            <w:hideMark/>
          </w:tcPr>
          <w:p w14:paraId="61C919EC" w14:textId="77777777" w:rsidR="0098726D" w:rsidRPr="0098726D" w:rsidRDefault="0098726D" w:rsidP="0098726D">
            <w:pPr>
              <w:spacing w:line="273" w:lineRule="auto"/>
              <w:jc w:val="right"/>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YEAR</w:t>
            </w:r>
          </w:p>
        </w:tc>
        <w:tc>
          <w:tcPr>
            <w:tcW w:w="2412" w:type="dxa"/>
            <w:tcBorders>
              <w:top w:val="single" w:sz="4" w:space="0" w:color="auto"/>
            </w:tcBorders>
            <w:vAlign w:val="bottom"/>
            <w:hideMark/>
          </w:tcPr>
          <w:p w14:paraId="7AF46A8B"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r>
      <w:tr w:rsidR="0098726D" w:rsidRPr="0098726D" w14:paraId="1F0DF814" w14:textId="77777777" w:rsidTr="0098726D">
        <w:trPr>
          <w:trHeight w:val="385"/>
        </w:trPr>
        <w:tc>
          <w:tcPr>
            <w:tcW w:w="2412" w:type="dxa"/>
            <w:tcBorders>
              <w:bottom w:val="single" w:sz="4" w:space="0" w:color="auto"/>
            </w:tcBorders>
            <w:vAlign w:val="bottom"/>
            <w:hideMark/>
          </w:tcPr>
          <w:p w14:paraId="0ADFA7B6"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SIZE</w:t>
            </w:r>
          </w:p>
        </w:tc>
        <w:tc>
          <w:tcPr>
            <w:tcW w:w="2412" w:type="dxa"/>
            <w:tcBorders>
              <w:bottom w:val="single" w:sz="4" w:space="0" w:color="auto"/>
            </w:tcBorders>
            <w:vAlign w:val="bottom"/>
            <w:hideMark/>
          </w:tcPr>
          <w:p w14:paraId="4131A352"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2017</w:t>
            </w:r>
          </w:p>
        </w:tc>
        <w:tc>
          <w:tcPr>
            <w:tcW w:w="2412" w:type="dxa"/>
            <w:tcBorders>
              <w:bottom w:val="single" w:sz="4" w:space="0" w:color="auto"/>
            </w:tcBorders>
            <w:vAlign w:val="bottom"/>
            <w:hideMark/>
          </w:tcPr>
          <w:p w14:paraId="28534F17"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2018</w:t>
            </w:r>
          </w:p>
        </w:tc>
      </w:tr>
      <w:tr w:rsidR="0098726D" w:rsidRPr="0098726D" w14:paraId="6D5C56D2" w14:textId="77777777" w:rsidTr="0098726D">
        <w:trPr>
          <w:trHeight w:val="385"/>
        </w:trPr>
        <w:tc>
          <w:tcPr>
            <w:tcW w:w="2412" w:type="dxa"/>
            <w:tcBorders>
              <w:top w:val="single" w:sz="4" w:space="0" w:color="auto"/>
            </w:tcBorders>
            <w:vAlign w:val="bottom"/>
          </w:tcPr>
          <w:p w14:paraId="75F2DF1E"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Employee retention rate</w:t>
            </w:r>
          </w:p>
          <w:p w14:paraId="01668986"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p>
        </w:tc>
        <w:tc>
          <w:tcPr>
            <w:tcW w:w="2412" w:type="dxa"/>
            <w:tcBorders>
              <w:top w:val="single" w:sz="4" w:space="0" w:color="auto"/>
            </w:tcBorders>
            <w:vAlign w:val="bottom"/>
          </w:tcPr>
          <w:p w14:paraId="55B68476"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3% of employees left</w:t>
            </w:r>
          </w:p>
          <w:p w14:paraId="56049834" w14:textId="77777777" w:rsidR="0098726D" w:rsidRPr="0098726D" w:rsidRDefault="0098726D" w:rsidP="0098726D">
            <w:pPr>
              <w:spacing w:line="273" w:lineRule="auto"/>
              <w:rPr>
                <w:rFonts w:ascii="Times New Roman" w:hAnsi="Times New Roman"/>
                <w:color w:val="000000"/>
                <w:szCs w:val="22"/>
                <w:lang w:val="en-ID" w:eastAsia="en-ID"/>
              </w:rPr>
            </w:pPr>
          </w:p>
        </w:tc>
        <w:tc>
          <w:tcPr>
            <w:tcW w:w="2412" w:type="dxa"/>
            <w:tcBorders>
              <w:top w:val="single" w:sz="4" w:space="0" w:color="auto"/>
            </w:tcBorders>
            <w:vAlign w:val="bottom"/>
          </w:tcPr>
          <w:p w14:paraId="094FF96E"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6% of employees left</w:t>
            </w:r>
          </w:p>
          <w:p w14:paraId="5C20B212" w14:textId="77777777" w:rsidR="0098726D" w:rsidRPr="0098726D" w:rsidRDefault="0098726D" w:rsidP="0098726D">
            <w:pPr>
              <w:spacing w:line="273" w:lineRule="auto"/>
              <w:rPr>
                <w:rFonts w:ascii="Times New Roman" w:hAnsi="Times New Roman"/>
                <w:color w:val="000000"/>
                <w:szCs w:val="22"/>
                <w:lang w:val="en-ID" w:eastAsia="en-ID"/>
              </w:rPr>
            </w:pPr>
          </w:p>
        </w:tc>
      </w:tr>
      <w:tr w:rsidR="0098726D" w:rsidRPr="0098726D" w14:paraId="2CF8BADD" w14:textId="77777777" w:rsidTr="0098726D">
        <w:trPr>
          <w:trHeight w:val="385"/>
        </w:trPr>
        <w:tc>
          <w:tcPr>
            <w:tcW w:w="2412" w:type="dxa"/>
            <w:tcBorders>
              <w:bottom w:val="single" w:sz="4" w:space="0" w:color="auto"/>
            </w:tcBorders>
            <w:vAlign w:val="bottom"/>
          </w:tcPr>
          <w:p w14:paraId="43D8F6C4" w14:textId="525C2C35"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222222"/>
                <w:szCs w:val="22"/>
                <w:lang w:val="en-ID" w:eastAsia="en-ID"/>
              </w:rPr>
              <w:t>Productivity level</w:t>
            </w:r>
          </w:p>
        </w:tc>
        <w:tc>
          <w:tcPr>
            <w:tcW w:w="2412" w:type="dxa"/>
            <w:tcBorders>
              <w:bottom w:val="single" w:sz="4" w:space="0" w:color="auto"/>
            </w:tcBorders>
            <w:vAlign w:val="bottom"/>
          </w:tcPr>
          <w:p w14:paraId="3B706B8E" w14:textId="78E70949"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222222"/>
                <w:szCs w:val="22"/>
                <w:lang w:val="en-ID" w:eastAsia="en-ID"/>
              </w:rPr>
              <w:t>80% attendance is full</w:t>
            </w:r>
          </w:p>
        </w:tc>
        <w:tc>
          <w:tcPr>
            <w:tcW w:w="2412" w:type="dxa"/>
            <w:tcBorders>
              <w:bottom w:val="single" w:sz="4" w:space="0" w:color="auto"/>
            </w:tcBorders>
            <w:vAlign w:val="bottom"/>
            <w:hideMark/>
          </w:tcPr>
          <w:p w14:paraId="62DB0392"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222222"/>
                <w:szCs w:val="22"/>
                <w:lang w:val="en-ID" w:eastAsia="en-ID"/>
              </w:rPr>
              <w:t>90% attendance is full</w:t>
            </w:r>
          </w:p>
          <w:p w14:paraId="0724E1D7" w14:textId="77777777" w:rsidR="0098726D" w:rsidRPr="0098726D" w:rsidRDefault="0098726D" w:rsidP="0098726D">
            <w:pPr>
              <w:spacing w:line="273" w:lineRule="auto"/>
              <w:rPr>
                <w:rFonts w:ascii="Times New Roman" w:hAnsi="Times New Roman"/>
                <w:color w:val="000000"/>
                <w:szCs w:val="22"/>
                <w:lang w:val="en-ID" w:eastAsia="en-ID"/>
              </w:rPr>
            </w:pPr>
          </w:p>
        </w:tc>
      </w:tr>
    </w:tbl>
    <w:p w14:paraId="38EB68D2" w14:textId="77777777" w:rsidR="0098726D" w:rsidRDefault="0098726D" w:rsidP="0098726D">
      <w:pPr>
        <w:pStyle w:val="p0"/>
        <w:shd w:val="clear" w:color="auto" w:fill="FFFFFF"/>
        <w:spacing w:after="0" w:line="240" w:lineRule="auto"/>
        <w:rPr>
          <w:rFonts w:ascii="Times New Roman" w:hAnsi="Times New Roman" w:cs="Times New Roman"/>
          <w:color w:val="222222"/>
        </w:rPr>
      </w:pPr>
    </w:p>
    <w:p w14:paraId="684C43B2" w14:textId="0373925A" w:rsidR="0098726D" w:rsidRDefault="0098726D" w:rsidP="0098726D">
      <w:pPr>
        <w:pStyle w:val="p0"/>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The results of calculation supply chain performance with the Balanced Scorecard approach in </w:t>
      </w:r>
      <w:r w:rsidR="00B55676">
        <w:rPr>
          <w:rFonts w:ascii="Times New Roman" w:hAnsi="Times New Roman" w:cs="Times New Roman"/>
          <w:color w:val="222222"/>
        </w:rPr>
        <w:t xml:space="preserve">the </w:t>
      </w:r>
      <w:r>
        <w:rPr>
          <w:rFonts w:ascii="Times New Roman" w:hAnsi="Times New Roman" w:cs="Times New Roman"/>
          <w:color w:val="222222"/>
        </w:rPr>
        <w:t xml:space="preserve">CV. </w:t>
      </w:r>
      <w:proofErr w:type="spellStart"/>
      <w:r w:rsidR="00D27ED6">
        <w:rPr>
          <w:rFonts w:ascii="Times New Roman" w:hAnsi="Times New Roman" w:cs="Times New Roman"/>
          <w:color w:val="222222"/>
        </w:rPr>
        <w:t>Mulya</w:t>
      </w:r>
      <w:proofErr w:type="spellEnd"/>
      <w:r w:rsidR="00D27ED6">
        <w:rPr>
          <w:rFonts w:ascii="Times New Roman" w:hAnsi="Times New Roman" w:cs="Times New Roman"/>
          <w:color w:val="222222"/>
        </w:rPr>
        <w:t xml:space="preserve"> Jaya Abadi</w:t>
      </w:r>
      <w:r>
        <w:rPr>
          <w:rFonts w:ascii="Times New Roman" w:hAnsi="Times New Roman" w:cs="Times New Roman"/>
          <w:color w:val="222222"/>
        </w:rPr>
        <w:t xml:space="preserve"> </w:t>
      </w:r>
      <w:r w:rsidR="00B55676">
        <w:rPr>
          <w:rFonts w:ascii="Times New Roman" w:hAnsi="Times New Roman" w:cs="Times New Roman"/>
          <w:color w:val="222222"/>
        </w:rPr>
        <w:t>is</w:t>
      </w:r>
      <w:r>
        <w:rPr>
          <w:rFonts w:ascii="Times New Roman" w:hAnsi="Times New Roman" w:cs="Times New Roman"/>
          <w:color w:val="222222"/>
        </w:rPr>
        <w:t xml:space="preserve"> as follows:</w:t>
      </w:r>
    </w:p>
    <w:p w14:paraId="03C249E9" w14:textId="4F9A207F" w:rsidR="00D27ED6" w:rsidRDefault="00D27ED6" w:rsidP="0098726D">
      <w:pPr>
        <w:pStyle w:val="p0"/>
        <w:shd w:val="clear" w:color="auto" w:fill="FFFFFF"/>
        <w:spacing w:after="0" w:line="240" w:lineRule="auto"/>
        <w:rPr>
          <w:rFonts w:ascii="Times New Roman" w:hAnsi="Times New Roman" w:cs="Times New Roman"/>
          <w:color w:val="222222"/>
        </w:rPr>
      </w:pPr>
    </w:p>
    <w:p w14:paraId="66DD9275" w14:textId="5D48890A" w:rsidR="00D27ED6" w:rsidRDefault="00D27ED6" w:rsidP="0098726D">
      <w:pPr>
        <w:pStyle w:val="p0"/>
        <w:shd w:val="clear" w:color="auto" w:fill="FFFFFF"/>
        <w:spacing w:after="0" w:line="240" w:lineRule="auto"/>
        <w:rPr>
          <w:rFonts w:ascii="Times New Roman" w:hAnsi="Times New Roman" w:cs="Times New Roman"/>
          <w:color w:val="222222"/>
        </w:rPr>
      </w:pPr>
    </w:p>
    <w:p w14:paraId="42BE2C1C" w14:textId="14AF0218" w:rsidR="00D27ED6" w:rsidRDefault="00D27ED6" w:rsidP="0098726D">
      <w:pPr>
        <w:pStyle w:val="p0"/>
        <w:shd w:val="clear" w:color="auto" w:fill="FFFFFF"/>
        <w:spacing w:after="0" w:line="240" w:lineRule="auto"/>
        <w:rPr>
          <w:rFonts w:ascii="Times New Roman" w:hAnsi="Times New Roman" w:cs="Times New Roman"/>
          <w:color w:val="222222"/>
        </w:rPr>
      </w:pPr>
    </w:p>
    <w:p w14:paraId="18F016FB" w14:textId="4DAE60DE" w:rsidR="00D27ED6" w:rsidRDefault="00D27ED6" w:rsidP="0098726D">
      <w:pPr>
        <w:pStyle w:val="p0"/>
        <w:shd w:val="clear" w:color="auto" w:fill="FFFFFF"/>
        <w:spacing w:after="0" w:line="240" w:lineRule="auto"/>
        <w:rPr>
          <w:rFonts w:ascii="Times New Roman" w:hAnsi="Times New Roman" w:cs="Times New Roman"/>
          <w:color w:val="222222"/>
        </w:rPr>
      </w:pPr>
    </w:p>
    <w:p w14:paraId="35C6FBA4" w14:textId="2DB097FF" w:rsidR="00D27ED6" w:rsidRDefault="00D27ED6" w:rsidP="0098726D">
      <w:pPr>
        <w:pStyle w:val="p0"/>
        <w:shd w:val="clear" w:color="auto" w:fill="FFFFFF"/>
        <w:spacing w:after="0" w:line="240" w:lineRule="auto"/>
        <w:rPr>
          <w:rFonts w:ascii="Times New Roman" w:hAnsi="Times New Roman" w:cs="Times New Roman"/>
          <w:color w:val="222222"/>
        </w:rPr>
      </w:pPr>
    </w:p>
    <w:p w14:paraId="6AC3EE2C" w14:textId="7994F455" w:rsidR="00D27ED6" w:rsidRDefault="00D27ED6" w:rsidP="0098726D">
      <w:pPr>
        <w:pStyle w:val="p0"/>
        <w:shd w:val="clear" w:color="auto" w:fill="FFFFFF"/>
        <w:spacing w:after="0" w:line="240" w:lineRule="auto"/>
        <w:rPr>
          <w:rFonts w:ascii="Times New Roman" w:hAnsi="Times New Roman" w:cs="Times New Roman"/>
          <w:color w:val="222222"/>
        </w:rPr>
      </w:pPr>
    </w:p>
    <w:p w14:paraId="626E65BA" w14:textId="77777777" w:rsidR="00D27ED6" w:rsidRDefault="00D27ED6" w:rsidP="0098726D">
      <w:pPr>
        <w:pStyle w:val="p0"/>
        <w:shd w:val="clear" w:color="auto" w:fill="FFFFFF"/>
        <w:spacing w:after="0" w:line="240" w:lineRule="auto"/>
        <w:rPr>
          <w:rFonts w:ascii="Times New Roman" w:hAnsi="Times New Roman" w:cs="Times New Roman"/>
          <w:color w:val="222222"/>
        </w:rPr>
      </w:pPr>
    </w:p>
    <w:p w14:paraId="0F5ABA72" w14:textId="41F186A5" w:rsidR="0098726D" w:rsidRPr="0098726D" w:rsidRDefault="0098726D" w:rsidP="0098726D">
      <w:pPr>
        <w:shd w:val="clear" w:color="auto" w:fill="FFFFFF"/>
        <w:spacing w:line="273" w:lineRule="auto"/>
        <w:jc w:val="center"/>
        <w:rPr>
          <w:rFonts w:ascii="Times New Roman" w:hAnsi="Times New Roman"/>
          <w:b/>
          <w:bCs/>
          <w:color w:val="222222"/>
          <w:szCs w:val="22"/>
          <w:lang w:val="en-ID" w:eastAsia="en-ID"/>
        </w:rPr>
      </w:pPr>
      <w:r>
        <w:rPr>
          <w:rFonts w:ascii="Times New Roman" w:hAnsi="Times New Roman"/>
          <w:color w:val="222222"/>
          <w:szCs w:val="22"/>
          <w:lang w:val="en-ID" w:eastAsia="en-ID"/>
        </w:rPr>
        <w:lastRenderedPageBreak/>
        <w:t xml:space="preserve">                                             </w:t>
      </w:r>
      <w:r w:rsidRPr="0098726D">
        <w:rPr>
          <w:rFonts w:ascii="Times New Roman" w:hAnsi="Times New Roman"/>
          <w:b/>
          <w:bCs/>
          <w:color w:val="222222"/>
          <w:szCs w:val="22"/>
          <w:lang w:val="en-ID" w:eastAsia="en-ID"/>
        </w:rPr>
        <w:t xml:space="preserve">Table 5 </w:t>
      </w:r>
      <w:r w:rsidRPr="00D27ED6">
        <w:rPr>
          <w:rFonts w:ascii="Times New Roman" w:hAnsi="Times New Roman"/>
          <w:color w:val="222222"/>
          <w:szCs w:val="22"/>
          <w:lang w:val="en-ID" w:eastAsia="en-ID"/>
        </w:rPr>
        <w:t>Results of measurement from a financial perspective</w:t>
      </w:r>
    </w:p>
    <w:tbl>
      <w:tblPr>
        <w:tblW w:w="0" w:type="auto"/>
        <w:tblInd w:w="2535" w:type="dxa"/>
        <w:tblBorders>
          <w:top w:val="single" w:sz="4" w:space="0" w:color="auto"/>
          <w:bottom w:val="single" w:sz="4" w:space="0" w:color="auto"/>
        </w:tblBorders>
        <w:tblLayout w:type="fixed"/>
        <w:tblLook w:val="04A0" w:firstRow="1" w:lastRow="0" w:firstColumn="1" w:lastColumn="0" w:noHBand="0" w:noVBand="1"/>
      </w:tblPr>
      <w:tblGrid>
        <w:gridCol w:w="2176"/>
        <w:gridCol w:w="2176"/>
        <w:gridCol w:w="2176"/>
      </w:tblGrid>
      <w:tr w:rsidR="0098726D" w:rsidRPr="0098726D" w14:paraId="538F2478" w14:textId="77777777" w:rsidTr="0098726D">
        <w:trPr>
          <w:trHeight w:val="375"/>
        </w:trPr>
        <w:tc>
          <w:tcPr>
            <w:tcW w:w="2176" w:type="dxa"/>
            <w:tcBorders>
              <w:bottom w:val="nil"/>
            </w:tcBorders>
            <w:vAlign w:val="bottom"/>
            <w:hideMark/>
          </w:tcPr>
          <w:p w14:paraId="26AF55DF"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c>
          <w:tcPr>
            <w:tcW w:w="2176" w:type="dxa"/>
            <w:tcBorders>
              <w:bottom w:val="nil"/>
            </w:tcBorders>
            <w:vAlign w:val="bottom"/>
            <w:hideMark/>
          </w:tcPr>
          <w:p w14:paraId="2F7E172B" w14:textId="77777777" w:rsidR="0098726D" w:rsidRPr="0098726D" w:rsidRDefault="0098726D" w:rsidP="0098726D">
            <w:pPr>
              <w:spacing w:line="273" w:lineRule="auto"/>
              <w:jc w:val="right"/>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YEAR</w:t>
            </w:r>
          </w:p>
        </w:tc>
        <w:tc>
          <w:tcPr>
            <w:tcW w:w="2176" w:type="dxa"/>
            <w:tcBorders>
              <w:bottom w:val="nil"/>
            </w:tcBorders>
            <w:vAlign w:val="bottom"/>
            <w:hideMark/>
          </w:tcPr>
          <w:p w14:paraId="134B8738"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r>
      <w:tr w:rsidR="0098726D" w:rsidRPr="0098726D" w14:paraId="7444BC42" w14:textId="77777777" w:rsidTr="0098726D">
        <w:trPr>
          <w:trHeight w:val="375"/>
        </w:trPr>
        <w:tc>
          <w:tcPr>
            <w:tcW w:w="2176" w:type="dxa"/>
            <w:tcBorders>
              <w:top w:val="nil"/>
              <w:bottom w:val="single" w:sz="4" w:space="0" w:color="auto"/>
            </w:tcBorders>
            <w:vAlign w:val="bottom"/>
            <w:hideMark/>
          </w:tcPr>
          <w:p w14:paraId="3576E11E"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SIZE</w:t>
            </w:r>
          </w:p>
        </w:tc>
        <w:tc>
          <w:tcPr>
            <w:tcW w:w="2176" w:type="dxa"/>
            <w:tcBorders>
              <w:top w:val="nil"/>
              <w:bottom w:val="single" w:sz="4" w:space="0" w:color="auto"/>
            </w:tcBorders>
            <w:vAlign w:val="bottom"/>
            <w:hideMark/>
          </w:tcPr>
          <w:p w14:paraId="2CA7075A"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2017</w:t>
            </w:r>
          </w:p>
        </w:tc>
        <w:tc>
          <w:tcPr>
            <w:tcW w:w="2176" w:type="dxa"/>
            <w:tcBorders>
              <w:top w:val="nil"/>
              <w:bottom w:val="single" w:sz="4" w:space="0" w:color="auto"/>
            </w:tcBorders>
            <w:vAlign w:val="bottom"/>
            <w:hideMark/>
          </w:tcPr>
          <w:p w14:paraId="1ED1DE2A"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2018</w:t>
            </w:r>
          </w:p>
        </w:tc>
      </w:tr>
      <w:tr w:rsidR="0098726D" w:rsidRPr="0098726D" w14:paraId="616E9A0C" w14:textId="77777777" w:rsidTr="0098726D">
        <w:trPr>
          <w:trHeight w:val="375"/>
        </w:trPr>
        <w:tc>
          <w:tcPr>
            <w:tcW w:w="2176" w:type="dxa"/>
            <w:tcBorders>
              <w:top w:val="single" w:sz="4" w:space="0" w:color="auto"/>
            </w:tcBorders>
            <w:vAlign w:val="bottom"/>
            <w:hideMark/>
          </w:tcPr>
          <w:p w14:paraId="0BF7295D"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Net profit margin</w:t>
            </w:r>
          </w:p>
        </w:tc>
        <w:tc>
          <w:tcPr>
            <w:tcW w:w="2176" w:type="dxa"/>
            <w:tcBorders>
              <w:top w:val="single" w:sz="4" w:space="0" w:color="auto"/>
            </w:tcBorders>
            <w:vAlign w:val="bottom"/>
            <w:hideMark/>
          </w:tcPr>
          <w:p w14:paraId="23FA9227"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5,5 %</w:t>
            </w:r>
          </w:p>
        </w:tc>
        <w:tc>
          <w:tcPr>
            <w:tcW w:w="2176" w:type="dxa"/>
            <w:tcBorders>
              <w:top w:val="single" w:sz="4" w:space="0" w:color="auto"/>
            </w:tcBorders>
            <w:vAlign w:val="bottom"/>
            <w:hideMark/>
          </w:tcPr>
          <w:p w14:paraId="5EC5B2F0"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5,7%</w:t>
            </w:r>
          </w:p>
        </w:tc>
      </w:tr>
      <w:tr w:rsidR="0098726D" w:rsidRPr="0098726D" w14:paraId="6385BB0C" w14:textId="77777777" w:rsidTr="0098726D">
        <w:trPr>
          <w:trHeight w:val="375"/>
        </w:trPr>
        <w:tc>
          <w:tcPr>
            <w:tcW w:w="2176" w:type="dxa"/>
            <w:vAlign w:val="bottom"/>
            <w:hideMark/>
          </w:tcPr>
          <w:p w14:paraId="6B1897AC"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Operating profit margin</w:t>
            </w:r>
          </w:p>
        </w:tc>
        <w:tc>
          <w:tcPr>
            <w:tcW w:w="2176" w:type="dxa"/>
            <w:vAlign w:val="bottom"/>
            <w:hideMark/>
          </w:tcPr>
          <w:p w14:paraId="297F8F1B"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7,87 %</w:t>
            </w:r>
          </w:p>
        </w:tc>
        <w:tc>
          <w:tcPr>
            <w:tcW w:w="2176" w:type="dxa"/>
            <w:vAlign w:val="bottom"/>
            <w:hideMark/>
          </w:tcPr>
          <w:p w14:paraId="1DA1CEC2"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8,35 %</w:t>
            </w:r>
          </w:p>
        </w:tc>
      </w:tr>
      <w:tr w:rsidR="0098726D" w:rsidRPr="0098726D" w14:paraId="3964EF09" w14:textId="77777777" w:rsidTr="0098726D">
        <w:trPr>
          <w:trHeight w:val="375"/>
        </w:trPr>
        <w:tc>
          <w:tcPr>
            <w:tcW w:w="2176" w:type="dxa"/>
            <w:vAlign w:val="bottom"/>
            <w:hideMark/>
          </w:tcPr>
          <w:p w14:paraId="1C659BA5"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Return </w:t>
            </w:r>
            <w:proofErr w:type="gramStart"/>
            <w:r w:rsidRPr="0098726D">
              <w:rPr>
                <w:rFonts w:ascii="Times New Roman" w:hAnsi="Times New Roman"/>
                <w:i/>
                <w:iCs/>
                <w:color w:val="000000"/>
                <w:szCs w:val="22"/>
                <w:lang w:val="en-ID" w:eastAsia="en-ID"/>
              </w:rPr>
              <w:t>On</w:t>
            </w:r>
            <w:proofErr w:type="gramEnd"/>
            <w:r w:rsidRPr="0098726D">
              <w:rPr>
                <w:rFonts w:ascii="Times New Roman" w:hAnsi="Times New Roman"/>
                <w:i/>
                <w:iCs/>
                <w:color w:val="000000"/>
                <w:szCs w:val="22"/>
                <w:lang w:val="en-ID" w:eastAsia="en-ID"/>
              </w:rPr>
              <w:t xml:space="preserve"> Investment</w:t>
            </w:r>
          </w:p>
        </w:tc>
        <w:tc>
          <w:tcPr>
            <w:tcW w:w="2176" w:type="dxa"/>
            <w:vAlign w:val="bottom"/>
            <w:hideMark/>
          </w:tcPr>
          <w:p w14:paraId="0110CC15"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2,49 %</w:t>
            </w:r>
          </w:p>
        </w:tc>
        <w:tc>
          <w:tcPr>
            <w:tcW w:w="2176" w:type="dxa"/>
            <w:vAlign w:val="bottom"/>
            <w:hideMark/>
          </w:tcPr>
          <w:p w14:paraId="7C71EB83"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2,56 %</w:t>
            </w:r>
          </w:p>
        </w:tc>
      </w:tr>
      <w:tr w:rsidR="0098726D" w:rsidRPr="0098726D" w14:paraId="7F023E04" w14:textId="77777777" w:rsidTr="0098726D">
        <w:trPr>
          <w:trHeight w:val="375"/>
        </w:trPr>
        <w:tc>
          <w:tcPr>
            <w:tcW w:w="2176" w:type="dxa"/>
            <w:vAlign w:val="bottom"/>
            <w:hideMark/>
          </w:tcPr>
          <w:p w14:paraId="7033079B"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Rentability ratio:</w:t>
            </w:r>
          </w:p>
        </w:tc>
        <w:tc>
          <w:tcPr>
            <w:tcW w:w="2176" w:type="dxa"/>
            <w:vAlign w:val="bottom"/>
            <w:hideMark/>
          </w:tcPr>
          <w:p w14:paraId="70B7AF41"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w:t>
            </w:r>
          </w:p>
        </w:tc>
        <w:tc>
          <w:tcPr>
            <w:tcW w:w="2176" w:type="dxa"/>
            <w:vAlign w:val="bottom"/>
            <w:hideMark/>
          </w:tcPr>
          <w:p w14:paraId="51CB4AD2"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w:t>
            </w:r>
          </w:p>
        </w:tc>
      </w:tr>
      <w:tr w:rsidR="0098726D" w:rsidRPr="0098726D" w14:paraId="7DD1AFC6" w14:textId="77777777" w:rsidTr="0098726D">
        <w:trPr>
          <w:trHeight w:val="375"/>
        </w:trPr>
        <w:tc>
          <w:tcPr>
            <w:tcW w:w="2176" w:type="dxa"/>
            <w:vAlign w:val="bottom"/>
            <w:hideMark/>
          </w:tcPr>
          <w:p w14:paraId="14121698"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ROE</w:t>
            </w:r>
          </w:p>
          <w:p w14:paraId="14F97181"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ROA</w:t>
            </w:r>
          </w:p>
          <w:p w14:paraId="408422C0"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BOPO</w:t>
            </w:r>
          </w:p>
        </w:tc>
        <w:tc>
          <w:tcPr>
            <w:tcW w:w="2176" w:type="dxa"/>
            <w:vAlign w:val="bottom"/>
            <w:hideMark/>
          </w:tcPr>
          <w:p w14:paraId="28360521"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1,20%</w:t>
            </w:r>
          </w:p>
          <w:p w14:paraId="3B6F939D"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0,58%</w:t>
            </w:r>
          </w:p>
          <w:p w14:paraId="427EB298"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3,23%</w:t>
            </w:r>
          </w:p>
        </w:tc>
        <w:tc>
          <w:tcPr>
            <w:tcW w:w="2176" w:type="dxa"/>
            <w:vAlign w:val="bottom"/>
            <w:hideMark/>
          </w:tcPr>
          <w:p w14:paraId="119652C7"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1,10%</w:t>
            </w:r>
          </w:p>
          <w:p w14:paraId="4EF262CD"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0,63%</w:t>
            </w:r>
          </w:p>
          <w:p w14:paraId="43C52964"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2,29%</w:t>
            </w:r>
          </w:p>
        </w:tc>
      </w:tr>
    </w:tbl>
    <w:p w14:paraId="1C6F404F" w14:textId="77777777" w:rsidR="0098726D" w:rsidRDefault="0098726D" w:rsidP="0098726D">
      <w:pPr>
        <w:shd w:val="clear" w:color="auto" w:fill="FFFFFF"/>
        <w:spacing w:line="273" w:lineRule="auto"/>
        <w:jc w:val="both"/>
        <w:rPr>
          <w:rFonts w:ascii="Times New Roman" w:hAnsi="Times New Roman"/>
          <w:color w:val="222222"/>
          <w:szCs w:val="22"/>
          <w:lang w:val="en-ID" w:eastAsia="en-ID"/>
        </w:rPr>
      </w:pPr>
    </w:p>
    <w:p w14:paraId="1AF3C7EE" w14:textId="57E72416" w:rsidR="0098726D" w:rsidRPr="0098726D" w:rsidRDefault="0098726D" w:rsidP="0098726D">
      <w:pPr>
        <w:shd w:val="clear" w:color="auto" w:fill="FFFFFF"/>
        <w:jc w:val="center"/>
        <w:rPr>
          <w:rFonts w:ascii="Times New Roman" w:hAnsi="Times New Roman"/>
          <w:b/>
          <w:bCs/>
          <w:color w:val="222222"/>
          <w:szCs w:val="22"/>
          <w:lang w:val="en-ID" w:eastAsia="en-ID"/>
        </w:rPr>
      </w:pPr>
      <w:r>
        <w:rPr>
          <w:rFonts w:ascii="Times New Roman" w:hAnsi="Times New Roman"/>
          <w:color w:val="222222"/>
          <w:szCs w:val="22"/>
          <w:lang w:val="en-ID" w:eastAsia="en-ID"/>
        </w:rPr>
        <w:t xml:space="preserve">                                            </w:t>
      </w:r>
      <w:r w:rsidRPr="0098726D">
        <w:rPr>
          <w:rFonts w:ascii="Times New Roman" w:hAnsi="Times New Roman"/>
          <w:b/>
          <w:bCs/>
          <w:color w:val="222222"/>
          <w:szCs w:val="22"/>
          <w:lang w:val="en-ID" w:eastAsia="en-ID"/>
        </w:rPr>
        <w:t xml:space="preserve">Table 6 </w:t>
      </w:r>
      <w:r w:rsidRPr="00D27ED6">
        <w:rPr>
          <w:rFonts w:ascii="Times New Roman" w:hAnsi="Times New Roman"/>
          <w:color w:val="222222"/>
          <w:szCs w:val="22"/>
          <w:lang w:val="en-ID" w:eastAsia="en-ID"/>
        </w:rPr>
        <w:t>Measurement results from the customer perspective</w:t>
      </w:r>
    </w:p>
    <w:p w14:paraId="1549BD52" w14:textId="77777777" w:rsidR="0098726D" w:rsidRPr="0098726D" w:rsidRDefault="0098726D" w:rsidP="0098726D">
      <w:pPr>
        <w:ind w:left="2160" w:firstLine="720"/>
        <w:jc w:val="both"/>
        <w:rPr>
          <w:rFonts w:ascii="Times New Roman" w:hAnsi="Times New Roman"/>
          <w:szCs w:val="22"/>
          <w:lang w:val="en-ID" w:eastAsia="en-ID"/>
        </w:rPr>
      </w:pPr>
      <w:r w:rsidRPr="0098726D">
        <w:rPr>
          <w:rFonts w:ascii="Times New Roman" w:hAnsi="Times New Roman"/>
          <w:szCs w:val="22"/>
          <w:lang w:val="en-ID" w:eastAsia="en-ID"/>
        </w:rPr>
        <w:t xml:space="preserve"> </w:t>
      </w:r>
    </w:p>
    <w:tbl>
      <w:tblPr>
        <w:tblW w:w="7236" w:type="dxa"/>
        <w:tblInd w:w="2130" w:type="dxa"/>
        <w:tblBorders>
          <w:top w:val="single" w:sz="4" w:space="0" w:color="auto"/>
        </w:tblBorders>
        <w:tblLayout w:type="fixed"/>
        <w:tblLook w:val="04A0" w:firstRow="1" w:lastRow="0" w:firstColumn="1" w:lastColumn="0" w:noHBand="0" w:noVBand="1"/>
      </w:tblPr>
      <w:tblGrid>
        <w:gridCol w:w="2412"/>
        <w:gridCol w:w="2412"/>
        <w:gridCol w:w="2412"/>
      </w:tblGrid>
      <w:tr w:rsidR="0098726D" w:rsidRPr="0098726D" w14:paraId="45549F01" w14:textId="77777777" w:rsidTr="0098726D">
        <w:trPr>
          <w:trHeight w:val="385"/>
        </w:trPr>
        <w:tc>
          <w:tcPr>
            <w:tcW w:w="2412" w:type="dxa"/>
            <w:tcBorders>
              <w:bottom w:val="nil"/>
            </w:tcBorders>
            <w:vAlign w:val="bottom"/>
            <w:hideMark/>
          </w:tcPr>
          <w:p w14:paraId="48F0ADAF" w14:textId="77777777" w:rsidR="0098726D" w:rsidRPr="0098726D" w:rsidRDefault="0098726D" w:rsidP="0098726D">
            <w:pP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c>
          <w:tcPr>
            <w:tcW w:w="2412" w:type="dxa"/>
            <w:tcBorders>
              <w:bottom w:val="nil"/>
            </w:tcBorders>
            <w:vAlign w:val="bottom"/>
            <w:hideMark/>
          </w:tcPr>
          <w:p w14:paraId="5443E392" w14:textId="77777777" w:rsidR="0098726D" w:rsidRPr="0098726D" w:rsidRDefault="0098726D" w:rsidP="0098726D">
            <w:pPr>
              <w:jc w:val="right"/>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YEAR</w:t>
            </w:r>
          </w:p>
        </w:tc>
        <w:tc>
          <w:tcPr>
            <w:tcW w:w="2412" w:type="dxa"/>
            <w:tcBorders>
              <w:bottom w:val="nil"/>
            </w:tcBorders>
            <w:vAlign w:val="bottom"/>
            <w:hideMark/>
          </w:tcPr>
          <w:p w14:paraId="4B7E3F71" w14:textId="77777777" w:rsidR="0098726D" w:rsidRPr="0098726D" w:rsidRDefault="0098726D" w:rsidP="0098726D">
            <w:pP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r>
      <w:tr w:rsidR="0098726D" w:rsidRPr="0098726D" w14:paraId="260CAC60" w14:textId="77777777" w:rsidTr="0098726D">
        <w:trPr>
          <w:trHeight w:val="385"/>
        </w:trPr>
        <w:tc>
          <w:tcPr>
            <w:tcW w:w="2412" w:type="dxa"/>
            <w:tcBorders>
              <w:top w:val="nil"/>
              <w:bottom w:val="single" w:sz="4" w:space="0" w:color="auto"/>
            </w:tcBorders>
            <w:vAlign w:val="bottom"/>
            <w:hideMark/>
          </w:tcPr>
          <w:p w14:paraId="5A64B1BE" w14:textId="77777777" w:rsidR="0098726D" w:rsidRPr="0098726D" w:rsidRDefault="0098726D" w:rsidP="0098726D">
            <w:pP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SIZE</w:t>
            </w:r>
          </w:p>
        </w:tc>
        <w:tc>
          <w:tcPr>
            <w:tcW w:w="2412" w:type="dxa"/>
            <w:tcBorders>
              <w:top w:val="nil"/>
              <w:bottom w:val="single" w:sz="4" w:space="0" w:color="auto"/>
            </w:tcBorders>
            <w:vAlign w:val="bottom"/>
            <w:hideMark/>
          </w:tcPr>
          <w:p w14:paraId="6403B1B2" w14:textId="77777777" w:rsidR="0098726D" w:rsidRPr="0098726D" w:rsidRDefault="0098726D" w:rsidP="0098726D">
            <w:pPr>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2017</w:t>
            </w:r>
          </w:p>
        </w:tc>
        <w:tc>
          <w:tcPr>
            <w:tcW w:w="2412" w:type="dxa"/>
            <w:tcBorders>
              <w:top w:val="nil"/>
              <w:bottom w:val="single" w:sz="4" w:space="0" w:color="auto"/>
            </w:tcBorders>
            <w:vAlign w:val="bottom"/>
            <w:hideMark/>
          </w:tcPr>
          <w:p w14:paraId="7CC4D42D" w14:textId="77777777" w:rsidR="0098726D" w:rsidRPr="0098726D" w:rsidRDefault="0098726D" w:rsidP="0098726D">
            <w:pPr>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2018</w:t>
            </w:r>
          </w:p>
        </w:tc>
      </w:tr>
      <w:tr w:rsidR="0098726D" w:rsidRPr="0098726D" w14:paraId="7C7929CA" w14:textId="77777777" w:rsidTr="0098726D">
        <w:trPr>
          <w:trHeight w:val="385"/>
        </w:trPr>
        <w:tc>
          <w:tcPr>
            <w:tcW w:w="2412" w:type="dxa"/>
            <w:tcBorders>
              <w:top w:val="single" w:sz="4" w:space="0" w:color="auto"/>
              <w:bottom w:val="nil"/>
            </w:tcBorders>
            <w:vAlign w:val="bottom"/>
            <w:hideMark/>
          </w:tcPr>
          <w:p w14:paraId="4F3D9340"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Customer acquisition rate</w:t>
            </w:r>
          </w:p>
        </w:tc>
        <w:tc>
          <w:tcPr>
            <w:tcW w:w="2412" w:type="dxa"/>
            <w:tcBorders>
              <w:top w:val="single" w:sz="4" w:space="0" w:color="auto"/>
              <w:bottom w:val="nil"/>
            </w:tcBorders>
            <w:vAlign w:val="bottom"/>
            <w:hideMark/>
          </w:tcPr>
          <w:p w14:paraId="0846D6D2"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1,5 %</w:t>
            </w:r>
          </w:p>
        </w:tc>
        <w:tc>
          <w:tcPr>
            <w:tcW w:w="2412" w:type="dxa"/>
            <w:tcBorders>
              <w:top w:val="single" w:sz="4" w:space="0" w:color="auto"/>
              <w:bottom w:val="nil"/>
            </w:tcBorders>
            <w:vAlign w:val="bottom"/>
            <w:hideMark/>
          </w:tcPr>
          <w:p w14:paraId="20ABDE3A"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1,8 %</w:t>
            </w:r>
          </w:p>
        </w:tc>
      </w:tr>
      <w:tr w:rsidR="0098726D" w:rsidRPr="0098726D" w14:paraId="642979C1" w14:textId="77777777" w:rsidTr="0098726D">
        <w:trPr>
          <w:trHeight w:val="385"/>
        </w:trPr>
        <w:tc>
          <w:tcPr>
            <w:tcW w:w="2412" w:type="dxa"/>
            <w:tcBorders>
              <w:top w:val="nil"/>
              <w:bottom w:val="single" w:sz="4" w:space="0" w:color="auto"/>
            </w:tcBorders>
            <w:vAlign w:val="bottom"/>
            <w:hideMark/>
          </w:tcPr>
          <w:p w14:paraId="4F45189A"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Customer retention rate</w:t>
            </w:r>
          </w:p>
        </w:tc>
        <w:tc>
          <w:tcPr>
            <w:tcW w:w="2412" w:type="dxa"/>
            <w:tcBorders>
              <w:top w:val="nil"/>
              <w:bottom w:val="single" w:sz="4" w:space="0" w:color="auto"/>
            </w:tcBorders>
            <w:vAlign w:val="bottom"/>
            <w:hideMark/>
          </w:tcPr>
          <w:p w14:paraId="28CDAD47"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1,2 %</w:t>
            </w:r>
          </w:p>
        </w:tc>
        <w:tc>
          <w:tcPr>
            <w:tcW w:w="2412" w:type="dxa"/>
            <w:tcBorders>
              <w:top w:val="nil"/>
              <w:bottom w:val="single" w:sz="4" w:space="0" w:color="auto"/>
            </w:tcBorders>
            <w:vAlign w:val="bottom"/>
            <w:hideMark/>
          </w:tcPr>
          <w:p w14:paraId="757D54C1"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1,6 %</w:t>
            </w:r>
          </w:p>
        </w:tc>
      </w:tr>
    </w:tbl>
    <w:p w14:paraId="3002F2DE" w14:textId="77777777" w:rsidR="00C53E32" w:rsidRDefault="00C53E32" w:rsidP="0098726D">
      <w:pPr>
        <w:shd w:val="clear" w:color="auto" w:fill="FFFFFF"/>
        <w:spacing w:line="273" w:lineRule="auto"/>
        <w:jc w:val="both"/>
        <w:rPr>
          <w:rFonts w:ascii="Times New Roman" w:hAnsi="Times New Roman"/>
          <w:color w:val="222222"/>
          <w:szCs w:val="22"/>
          <w:lang w:val="en-ID" w:eastAsia="en-ID"/>
        </w:rPr>
      </w:pPr>
    </w:p>
    <w:p w14:paraId="40F37424" w14:textId="553D2DDE" w:rsidR="0098726D" w:rsidRPr="0098726D" w:rsidRDefault="00C53E32" w:rsidP="00C53E32">
      <w:pPr>
        <w:shd w:val="clear" w:color="auto" w:fill="FFFFFF"/>
        <w:spacing w:line="273" w:lineRule="auto"/>
        <w:jc w:val="center"/>
        <w:rPr>
          <w:rFonts w:ascii="Times New Roman" w:hAnsi="Times New Roman"/>
          <w:b/>
          <w:bCs/>
          <w:color w:val="222222"/>
          <w:szCs w:val="22"/>
          <w:lang w:val="en-ID" w:eastAsia="en-ID"/>
        </w:rPr>
      </w:pPr>
      <w:r>
        <w:rPr>
          <w:rFonts w:ascii="Times New Roman" w:hAnsi="Times New Roman"/>
          <w:color w:val="222222"/>
          <w:szCs w:val="22"/>
          <w:lang w:val="en-ID" w:eastAsia="en-ID"/>
        </w:rPr>
        <w:t xml:space="preserve">                                              </w:t>
      </w:r>
      <w:r w:rsidR="0098726D" w:rsidRPr="0098726D">
        <w:rPr>
          <w:rFonts w:ascii="Times New Roman" w:hAnsi="Times New Roman"/>
          <w:b/>
          <w:bCs/>
          <w:color w:val="222222"/>
          <w:szCs w:val="22"/>
          <w:lang w:val="en-ID" w:eastAsia="en-ID"/>
        </w:rPr>
        <w:t xml:space="preserve">Table 7 </w:t>
      </w:r>
      <w:r w:rsidR="0098726D" w:rsidRPr="00D27ED6">
        <w:rPr>
          <w:rFonts w:ascii="Times New Roman" w:hAnsi="Times New Roman"/>
          <w:color w:val="222222"/>
          <w:szCs w:val="22"/>
          <w:lang w:val="en-ID" w:eastAsia="en-ID"/>
        </w:rPr>
        <w:t>Measurement results from the internal business perspective</w:t>
      </w:r>
    </w:p>
    <w:tbl>
      <w:tblPr>
        <w:tblW w:w="7236" w:type="dxa"/>
        <w:tblInd w:w="2130" w:type="dxa"/>
        <w:tblBorders>
          <w:top w:val="single" w:sz="4" w:space="0" w:color="auto"/>
        </w:tblBorders>
        <w:tblLayout w:type="fixed"/>
        <w:tblLook w:val="04A0" w:firstRow="1" w:lastRow="0" w:firstColumn="1" w:lastColumn="0" w:noHBand="0" w:noVBand="1"/>
      </w:tblPr>
      <w:tblGrid>
        <w:gridCol w:w="2412"/>
        <w:gridCol w:w="2412"/>
        <w:gridCol w:w="2412"/>
      </w:tblGrid>
      <w:tr w:rsidR="0098726D" w:rsidRPr="0098726D" w14:paraId="7B05DB3D" w14:textId="77777777" w:rsidTr="00C53E32">
        <w:trPr>
          <w:trHeight w:val="385"/>
        </w:trPr>
        <w:tc>
          <w:tcPr>
            <w:tcW w:w="2412" w:type="dxa"/>
            <w:tcBorders>
              <w:bottom w:val="nil"/>
            </w:tcBorders>
            <w:vAlign w:val="bottom"/>
            <w:hideMark/>
          </w:tcPr>
          <w:p w14:paraId="56BB4E9C"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c>
          <w:tcPr>
            <w:tcW w:w="2412" w:type="dxa"/>
            <w:tcBorders>
              <w:bottom w:val="nil"/>
            </w:tcBorders>
            <w:vAlign w:val="bottom"/>
            <w:hideMark/>
          </w:tcPr>
          <w:p w14:paraId="6AC3A617" w14:textId="77777777" w:rsidR="0098726D" w:rsidRPr="0098726D" w:rsidRDefault="0098726D" w:rsidP="0098726D">
            <w:pPr>
              <w:spacing w:line="273" w:lineRule="auto"/>
              <w:jc w:val="right"/>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YEAR</w:t>
            </w:r>
          </w:p>
        </w:tc>
        <w:tc>
          <w:tcPr>
            <w:tcW w:w="2412" w:type="dxa"/>
            <w:tcBorders>
              <w:bottom w:val="nil"/>
            </w:tcBorders>
            <w:vAlign w:val="bottom"/>
            <w:hideMark/>
          </w:tcPr>
          <w:p w14:paraId="6EC79E03"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r>
      <w:tr w:rsidR="0098726D" w:rsidRPr="0098726D" w14:paraId="5F507B9D" w14:textId="77777777" w:rsidTr="00C53E32">
        <w:trPr>
          <w:trHeight w:val="385"/>
        </w:trPr>
        <w:tc>
          <w:tcPr>
            <w:tcW w:w="2412" w:type="dxa"/>
            <w:tcBorders>
              <w:top w:val="nil"/>
              <w:bottom w:val="single" w:sz="4" w:space="0" w:color="auto"/>
            </w:tcBorders>
            <w:vAlign w:val="bottom"/>
            <w:hideMark/>
          </w:tcPr>
          <w:p w14:paraId="2AB8A0A2"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SIZE</w:t>
            </w:r>
          </w:p>
        </w:tc>
        <w:tc>
          <w:tcPr>
            <w:tcW w:w="2412" w:type="dxa"/>
            <w:tcBorders>
              <w:top w:val="nil"/>
              <w:bottom w:val="single" w:sz="4" w:space="0" w:color="auto"/>
            </w:tcBorders>
            <w:vAlign w:val="bottom"/>
            <w:hideMark/>
          </w:tcPr>
          <w:p w14:paraId="07F728DE"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2017</w:t>
            </w:r>
          </w:p>
        </w:tc>
        <w:tc>
          <w:tcPr>
            <w:tcW w:w="2412" w:type="dxa"/>
            <w:tcBorders>
              <w:top w:val="nil"/>
              <w:bottom w:val="single" w:sz="4" w:space="0" w:color="auto"/>
            </w:tcBorders>
            <w:vAlign w:val="bottom"/>
            <w:hideMark/>
          </w:tcPr>
          <w:p w14:paraId="2FE78119"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2018</w:t>
            </w:r>
          </w:p>
        </w:tc>
      </w:tr>
      <w:tr w:rsidR="0098726D" w:rsidRPr="0098726D" w14:paraId="1BB6786A" w14:textId="77777777" w:rsidTr="00C53E32">
        <w:trPr>
          <w:trHeight w:val="385"/>
        </w:trPr>
        <w:tc>
          <w:tcPr>
            <w:tcW w:w="2412" w:type="dxa"/>
            <w:tcBorders>
              <w:top w:val="single" w:sz="4" w:space="0" w:color="auto"/>
              <w:bottom w:val="nil"/>
            </w:tcBorders>
            <w:vAlign w:val="bottom"/>
            <w:hideMark/>
          </w:tcPr>
          <w:p w14:paraId="2DA32694"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w:t>
            </w:r>
            <w:proofErr w:type="spellStart"/>
            <w:r w:rsidRPr="0098726D">
              <w:rPr>
                <w:rFonts w:ascii="Times New Roman" w:hAnsi="Times New Roman"/>
                <w:color w:val="000000"/>
                <w:szCs w:val="22"/>
                <w:lang w:val="en-ID" w:eastAsia="en-ID"/>
              </w:rPr>
              <w:t>Inovation</w:t>
            </w:r>
            <w:proofErr w:type="spellEnd"/>
          </w:p>
        </w:tc>
        <w:tc>
          <w:tcPr>
            <w:tcW w:w="2412" w:type="dxa"/>
            <w:tcBorders>
              <w:top w:val="single" w:sz="4" w:space="0" w:color="auto"/>
              <w:bottom w:val="nil"/>
            </w:tcBorders>
            <w:vAlign w:val="bottom"/>
            <w:hideMark/>
          </w:tcPr>
          <w:p w14:paraId="670BCEDC"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2 %</w:t>
            </w:r>
          </w:p>
        </w:tc>
        <w:tc>
          <w:tcPr>
            <w:tcW w:w="2412" w:type="dxa"/>
            <w:tcBorders>
              <w:top w:val="single" w:sz="4" w:space="0" w:color="auto"/>
              <w:bottom w:val="nil"/>
            </w:tcBorders>
            <w:vAlign w:val="bottom"/>
            <w:hideMark/>
          </w:tcPr>
          <w:p w14:paraId="4B0BB89F"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1 %</w:t>
            </w:r>
          </w:p>
        </w:tc>
      </w:tr>
      <w:tr w:rsidR="0098726D" w:rsidRPr="0098726D" w14:paraId="11C4467C" w14:textId="77777777" w:rsidTr="00C53E32">
        <w:trPr>
          <w:trHeight w:val="385"/>
        </w:trPr>
        <w:tc>
          <w:tcPr>
            <w:tcW w:w="2412" w:type="dxa"/>
            <w:tcBorders>
              <w:top w:val="nil"/>
              <w:bottom w:val="single" w:sz="4" w:space="0" w:color="auto"/>
            </w:tcBorders>
            <w:vAlign w:val="bottom"/>
            <w:hideMark/>
          </w:tcPr>
          <w:p w14:paraId="42364D61"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After sale service</w:t>
            </w:r>
          </w:p>
        </w:tc>
        <w:tc>
          <w:tcPr>
            <w:tcW w:w="2412" w:type="dxa"/>
            <w:tcBorders>
              <w:top w:val="nil"/>
              <w:bottom w:val="single" w:sz="4" w:space="0" w:color="auto"/>
            </w:tcBorders>
            <w:vAlign w:val="bottom"/>
            <w:hideMark/>
          </w:tcPr>
          <w:p w14:paraId="38435808"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20% </w:t>
            </w:r>
          </w:p>
        </w:tc>
        <w:tc>
          <w:tcPr>
            <w:tcW w:w="2412" w:type="dxa"/>
            <w:tcBorders>
              <w:top w:val="nil"/>
              <w:bottom w:val="single" w:sz="4" w:space="0" w:color="auto"/>
            </w:tcBorders>
            <w:vAlign w:val="bottom"/>
            <w:hideMark/>
          </w:tcPr>
          <w:p w14:paraId="0A9503ED"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30%</w:t>
            </w:r>
          </w:p>
        </w:tc>
      </w:tr>
    </w:tbl>
    <w:p w14:paraId="6FBC9610" w14:textId="77777777" w:rsidR="00C53E32" w:rsidRDefault="00C53E32" w:rsidP="00C53E32">
      <w:pPr>
        <w:shd w:val="clear" w:color="auto" w:fill="FFFFFF"/>
        <w:spacing w:line="273" w:lineRule="auto"/>
        <w:ind w:left="2748"/>
        <w:jc w:val="both"/>
        <w:rPr>
          <w:rFonts w:ascii="Times New Roman" w:hAnsi="Times New Roman"/>
          <w:color w:val="222222"/>
          <w:szCs w:val="22"/>
          <w:lang w:val="en-ID" w:eastAsia="en-ID"/>
        </w:rPr>
      </w:pPr>
    </w:p>
    <w:p w14:paraId="19BF63B7" w14:textId="21ECB2E9" w:rsidR="00C53E32" w:rsidRPr="00D27ED6" w:rsidRDefault="00C53E32" w:rsidP="00C53E32">
      <w:pPr>
        <w:shd w:val="clear" w:color="auto" w:fill="FFFFFF"/>
        <w:spacing w:line="273" w:lineRule="auto"/>
        <w:ind w:left="2748"/>
        <w:jc w:val="both"/>
        <w:rPr>
          <w:rFonts w:ascii="Times New Roman" w:hAnsi="Times New Roman"/>
          <w:color w:val="222222"/>
          <w:szCs w:val="22"/>
          <w:lang w:val="en-ID" w:eastAsia="en-ID"/>
        </w:rPr>
      </w:pPr>
      <w:r w:rsidRPr="00C53E32">
        <w:rPr>
          <w:rFonts w:ascii="Times New Roman" w:hAnsi="Times New Roman"/>
          <w:b/>
          <w:bCs/>
          <w:color w:val="222222"/>
          <w:szCs w:val="22"/>
          <w:lang w:val="en-ID" w:eastAsia="en-ID"/>
        </w:rPr>
        <w:t xml:space="preserve">Table 8 </w:t>
      </w:r>
      <w:r w:rsidRPr="00D27ED6">
        <w:rPr>
          <w:rFonts w:ascii="Times New Roman" w:hAnsi="Times New Roman"/>
          <w:color w:val="222222"/>
          <w:szCs w:val="22"/>
          <w:lang w:val="en-ID" w:eastAsia="en-ID"/>
        </w:rPr>
        <w:t>Measurement results from the perspective of learning and employee growth</w:t>
      </w:r>
    </w:p>
    <w:tbl>
      <w:tblPr>
        <w:tblW w:w="7236" w:type="dxa"/>
        <w:tblInd w:w="2130" w:type="dxa"/>
        <w:tblBorders>
          <w:top w:val="single" w:sz="4" w:space="0" w:color="auto"/>
        </w:tblBorders>
        <w:tblLayout w:type="fixed"/>
        <w:tblLook w:val="04A0" w:firstRow="1" w:lastRow="0" w:firstColumn="1" w:lastColumn="0" w:noHBand="0" w:noVBand="1"/>
      </w:tblPr>
      <w:tblGrid>
        <w:gridCol w:w="2412"/>
        <w:gridCol w:w="2412"/>
        <w:gridCol w:w="2412"/>
      </w:tblGrid>
      <w:tr w:rsidR="00C53E32" w:rsidRPr="00C53E32" w14:paraId="558E94C3" w14:textId="77777777" w:rsidTr="00C53E32">
        <w:trPr>
          <w:trHeight w:val="385"/>
        </w:trPr>
        <w:tc>
          <w:tcPr>
            <w:tcW w:w="2412" w:type="dxa"/>
            <w:tcBorders>
              <w:bottom w:val="nil"/>
            </w:tcBorders>
            <w:vAlign w:val="bottom"/>
            <w:hideMark/>
          </w:tcPr>
          <w:p w14:paraId="5E61165B" w14:textId="77777777" w:rsidR="00C53E32" w:rsidRPr="00C53E32" w:rsidRDefault="00C53E32" w:rsidP="00C53E32">
            <w:pPr>
              <w:spacing w:line="273" w:lineRule="auto"/>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 </w:t>
            </w:r>
          </w:p>
        </w:tc>
        <w:tc>
          <w:tcPr>
            <w:tcW w:w="2412" w:type="dxa"/>
            <w:tcBorders>
              <w:bottom w:val="nil"/>
            </w:tcBorders>
            <w:vAlign w:val="bottom"/>
            <w:hideMark/>
          </w:tcPr>
          <w:p w14:paraId="4DA387B6" w14:textId="77777777" w:rsidR="00C53E32" w:rsidRPr="00C53E32" w:rsidRDefault="00C53E32" w:rsidP="00C53E32">
            <w:pPr>
              <w:spacing w:line="273" w:lineRule="auto"/>
              <w:jc w:val="right"/>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 xml:space="preserve"> YEAR</w:t>
            </w:r>
          </w:p>
        </w:tc>
        <w:tc>
          <w:tcPr>
            <w:tcW w:w="2412" w:type="dxa"/>
            <w:tcBorders>
              <w:bottom w:val="nil"/>
            </w:tcBorders>
            <w:vAlign w:val="bottom"/>
            <w:hideMark/>
          </w:tcPr>
          <w:p w14:paraId="159A251D" w14:textId="77777777" w:rsidR="00C53E32" w:rsidRPr="00C53E32" w:rsidRDefault="00C53E32" w:rsidP="00C53E32">
            <w:pPr>
              <w:spacing w:line="273" w:lineRule="auto"/>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 </w:t>
            </w:r>
          </w:p>
        </w:tc>
      </w:tr>
      <w:tr w:rsidR="00C53E32" w:rsidRPr="00C53E32" w14:paraId="6CFF431E" w14:textId="77777777" w:rsidTr="00C53E32">
        <w:trPr>
          <w:trHeight w:val="385"/>
        </w:trPr>
        <w:tc>
          <w:tcPr>
            <w:tcW w:w="2412" w:type="dxa"/>
            <w:tcBorders>
              <w:top w:val="nil"/>
              <w:bottom w:val="single" w:sz="4" w:space="0" w:color="auto"/>
            </w:tcBorders>
            <w:vAlign w:val="bottom"/>
            <w:hideMark/>
          </w:tcPr>
          <w:p w14:paraId="59EDE4C4" w14:textId="77777777" w:rsidR="00C53E32" w:rsidRPr="00C53E32" w:rsidRDefault="00C53E32" w:rsidP="00C53E32">
            <w:pPr>
              <w:spacing w:line="273" w:lineRule="auto"/>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 xml:space="preserve"> SIZE</w:t>
            </w:r>
          </w:p>
        </w:tc>
        <w:tc>
          <w:tcPr>
            <w:tcW w:w="2412" w:type="dxa"/>
            <w:tcBorders>
              <w:top w:val="nil"/>
              <w:bottom w:val="single" w:sz="4" w:space="0" w:color="auto"/>
            </w:tcBorders>
            <w:vAlign w:val="bottom"/>
            <w:hideMark/>
          </w:tcPr>
          <w:p w14:paraId="166E0A93" w14:textId="77777777" w:rsidR="00C53E32" w:rsidRPr="00C53E32" w:rsidRDefault="00C53E32" w:rsidP="00C53E32">
            <w:pPr>
              <w:spacing w:line="273" w:lineRule="auto"/>
              <w:jc w:val="center"/>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2017</w:t>
            </w:r>
          </w:p>
        </w:tc>
        <w:tc>
          <w:tcPr>
            <w:tcW w:w="2412" w:type="dxa"/>
            <w:tcBorders>
              <w:top w:val="nil"/>
              <w:bottom w:val="single" w:sz="4" w:space="0" w:color="auto"/>
            </w:tcBorders>
            <w:vAlign w:val="bottom"/>
            <w:hideMark/>
          </w:tcPr>
          <w:p w14:paraId="169854F0" w14:textId="77777777" w:rsidR="00C53E32" w:rsidRPr="00C53E32" w:rsidRDefault="00C53E32" w:rsidP="00C53E32">
            <w:pPr>
              <w:spacing w:line="273" w:lineRule="auto"/>
              <w:jc w:val="center"/>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2018</w:t>
            </w:r>
          </w:p>
        </w:tc>
      </w:tr>
      <w:tr w:rsidR="00C53E32" w:rsidRPr="00C53E32" w14:paraId="627BE31D" w14:textId="77777777" w:rsidTr="00C53E32">
        <w:trPr>
          <w:trHeight w:val="385"/>
        </w:trPr>
        <w:tc>
          <w:tcPr>
            <w:tcW w:w="2412" w:type="dxa"/>
            <w:tcBorders>
              <w:top w:val="single" w:sz="4" w:space="0" w:color="auto"/>
              <w:bottom w:val="nil"/>
            </w:tcBorders>
            <w:vAlign w:val="bottom"/>
            <w:hideMark/>
          </w:tcPr>
          <w:p w14:paraId="17BEBE20"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w:t>
            </w:r>
            <w:r w:rsidRPr="00C53E32">
              <w:rPr>
                <w:rFonts w:ascii="Times New Roman" w:hAnsi="Times New Roman"/>
                <w:color w:val="222222"/>
                <w:szCs w:val="22"/>
                <w:lang w:val="en-ID" w:eastAsia="en-ID"/>
              </w:rPr>
              <w:t>Employee retention rate</w:t>
            </w:r>
          </w:p>
        </w:tc>
        <w:tc>
          <w:tcPr>
            <w:tcW w:w="2412" w:type="dxa"/>
            <w:tcBorders>
              <w:top w:val="single" w:sz="4" w:space="0" w:color="auto"/>
              <w:bottom w:val="nil"/>
            </w:tcBorders>
            <w:vAlign w:val="bottom"/>
            <w:hideMark/>
          </w:tcPr>
          <w:p w14:paraId="0B909E94"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xml:space="preserve">3 % </w:t>
            </w:r>
          </w:p>
        </w:tc>
        <w:tc>
          <w:tcPr>
            <w:tcW w:w="2412" w:type="dxa"/>
            <w:tcBorders>
              <w:top w:val="single" w:sz="4" w:space="0" w:color="auto"/>
              <w:bottom w:val="nil"/>
            </w:tcBorders>
            <w:vAlign w:val="bottom"/>
            <w:hideMark/>
          </w:tcPr>
          <w:p w14:paraId="46205C25"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xml:space="preserve">6 % </w:t>
            </w:r>
          </w:p>
        </w:tc>
      </w:tr>
      <w:tr w:rsidR="00C53E32" w:rsidRPr="00C53E32" w14:paraId="4DAFC878" w14:textId="77777777" w:rsidTr="00C53E32">
        <w:trPr>
          <w:trHeight w:val="385"/>
        </w:trPr>
        <w:tc>
          <w:tcPr>
            <w:tcW w:w="2412" w:type="dxa"/>
            <w:tcBorders>
              <w:top w:val="nil"/>
              <w:bottom w:val="single" w:sz="4" w:space="0" w:color="auto"/>
            </w:tcBorders>
            <w:vAlign w:val="bottom"/>
          </w:tcPr>
          <w:p w14:paraId="24BC7863" w14:textId="2B3E7789" w:rsidR="00C53E32" w:rsidRPr="00C53E32" w:rsidRDefault="00C53E32" w:rsidP="00C53E32">
            <w:pPr>
              <w:shd w:val="clear" w:color="auto" w:fill="FFFFFF"/>
              <w:spacing w:line="273" w:lineRule="auto"/>
              <w:jc w:val="both"/>
              <w:rPr>
                <w:rFonts w:ascii="Times New Roman" w:hAnsi="Times New Roman"/>
                <w:color w:val="222222"/>
                <w:szCs w:val="22"/>
                <w:lang w:val="en-ID" w:eastAsia="en-ID"/>
              </w:rPr>
            </w:pPr>
            <w:r w:rsidRPr="00C53E32">
              <w:rPr>
                <w:rFonts w:ascii="Times New Roman" w:hAnsi="Times New Roman"/>
                <w:color w:val="222222"/>
                <w:szCs w:val="22"/>
                <w:lang w:val="en-ID" w:eastAsia="en-ID"/>
              </w:rPr>
              <w:t>Productivity level</w:t>
            </w:r>
          </w:p>
        </w:tc>
        <w:tc>
          <w:tcPr>
            <w:tcW w:w="2412" w:type="dxa"/>
            <w:tcBorders>
              <w:top w:val="nil"/>
              <w:bottom w:val="single" w:sz="4" w:space="0" w:color="auto"/>
            </w:tcBorders>
            <w:vAlign w:val="bottom"/>
            <w:hideMark/>
          </w:tcPr>
          <w:p w14:paraId="6D632243"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xml:space="preserve">80 % </w:t>
            </w:r>
          </w:p>
        </w:tc>
        <w:tc>
          <w:tcPr>
            <w:tcW w:w="2412" w:type="dxa"/>
            <w:tcBorders>
              <w:top w:val="nil"/>
              <w:bottom w:val="single" w:sz="4" w:space="0" w:color="auto"/>
            </w:tcBorders>
            <w:vAlign w:val="bottom"/>
            <w:hideMark/>
          </w:tcPr>
          <w:p w14:paraId="0F265C4E"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xml:space="preserve">90 % </w:t>
            </w:r>
          </w:p>
        </w:tc>
      </w:tr>
    </w:tbl>
    <w:p w14:paraId="094C9D2E" w14:textId="77777777" w:rsidR="00C53E32" w:rsidRDefault="00C53E32" w:rsidP="00C53E32">
      <w:pPr>
        <w:pStyle w:val="p0"/>
        <w:shd w:val="clear" w:color="auto" w:fill="FFFFFF"/>
        <w:spacing w:after="0"/>
        <w:jc w:val="both"/>
        <w:rPr>
          <w:rFonts w:ascii="Times New Roman" w:hAnsi="Times New Roman" w:cs="Times New Roman"/>
          <w:color w:val="222222"/>
        </w:rPr>
      </w:pPr>
    </w:p>
    <w:p w14:paraId="43F81F6E" w14:textId="7270523E" w:rsidR="00C53E32" w:rsidRDefault="00C53E32" w:rsidP="00C53E32">
      <w:pPr>
        <w:pStyle w:val="p0"/>
        <w:shd w:val="clear" w:color="auto" w:fill="FFFFFF"/>
        <w:spacing w:after="0"/>
        <w:jc w:val="both"/>
        <w:rPr>
          <w:rFonts w:ascii="Times New Roman" w:hAnsi="Times New Roman" w:cs="Times New Roman"/>
          <w:color w:val="222222"/>
        </w:rPr>
      </w:pPr>
      <w:r>
        <w:rPr>
          <w:rFonts w:ascii="Times New Roman" w:hAnsi="Times New Roman" w:cs="Times New Roman"/>
          <w:color w:val="222222"/>
        </w:rPr>
        <w:t xml:space="preserve">From the data above, it can be seen that the company's net profit margin from 2017 to 2018 has increased by 0.2%. The increase in </w:t>
      </w:r>
      <w:r w:rsidR="00B55676">
        <w:rPr>
          <w:rFonts w:ascii="Times New Roman" w:hAnsi="Times New Roman" w:cs="Times New Roman"/>
          <w:color w:val="222222"/>
        </w:rPr>
        <w:t xml:space="preserve">the </w:t>
      </w:r>
      <w:r>
        <w:rPr>
          <w:rFonts w:ascii="Times New Roman" w:hAnsi="Times New Roman" w:cs="Times New Roman"/>
          <w:color w:val="222222"/>
        </w:rPr>
        <w:t>net profit margin was due to the level of sales which had increased slightly from 2017. This was due to several company customers who only paid a little of their obligations after the payment was due.</w:t>
      </w:r>
    </w:p>
    <w:p w14:paraId="20DA871E" w14:textId="5859F10D" w:rsidR="00C53E32" w:rsidRDefault="00C53E32" w:rsidP="002712B1">
      <w:pPr>
        <w:pStyle w:val="p0"/>
        <w:shd w:val="clear" w:color="auto" w:fill="FFFFFF"/>
        <w:spacing w:after="0" w:line="240" w:lineRule="auto"/>
        <w:ind w:firstLine="284"/>
        <w:jc w:val="both"/>
        <w:rPr>
          <w:rFonts w:ascii="Times New Roman" w:hAnsi="Times New Roman" w:cs="Times New Roman"/>
          <w:color w:val="222222"/>
        </w:rPr>
      </w:pPr>
      <w:r>
        <w:rPr>
          <w:rFonts w:ascii="Times New Roman" w:hAnsi="Times New Roman" w:cs="Times New Roman"/>
          <w:color w:val="222222"/>
        </w:rPr>
        <w:t xml:space="preserve">The operating profit margin shows a positive percentage from 2017 to 2018. The company experienced an increase of 0.48%. The increase in operating profit margin was due to a fairly large level </w:t>
      </w:r>
      <w:r>
        <w:rPr>
          <w:rFonts w:ascii="Times New Roman" w:hAnsi="Times New Roman" w:cs="Times New Roman"/>
          <w:color w:val="222222"/>
        </w:rPr>
        <w:lastRenderedPageBreak/>
        <w:t>of sales and sufficient distribution costs so that the company in generating profit from operations had increased.</w:t>
      </w:r>
    </w:p>
    <w:p w14:paraId="781C2646" w14:textId="490AC9EC" w:rsidR="00C53E32" w:rsidRDefault="00C53E32" w:rsidP="002712B1">
      <w:pPr>
        <w:pStyle w:val="p0"/>
        <w:spacing w:after="0" w:line="240" w:lineRule="auto"/>
        <w:ind w:firstLine="284"/>
        <w:jc w:val="both"/>
        <w:rPr>
          <w:rFonts w:ascii="Times New Roman" w:hAnsi="Times New Roman" w:cs="Times New Roman"/>
          <w:color w:val="222222"/>
        </w:rPr>
      </w:pPr>
      <w:r>
        <w:rPr>
          <w:rFonts w:ascii="Times New Roman" w:hAnsi="Times New Roman" w:cs="Times New Roman"/>
          <w:color w:val="222222"/>
        </w:rPr>
        <w:t xml:space="preserve">From the measurement results of the customer perspective, it can be seen that the percentage of customer acquisition has increased from 2017 to 2018 with an increase of 3%. This increase was due to the number of new customers CV. </w:t>
      </w:r>
      <w:proofErr w:type="spellStart"/>
      <w:r w:rsidR="00784F56">
        <w:rPr>
          <w:rFonts w:ascii="Times New Roman" w:hAnsi="Times New Roman" w:cs="Times New Roman"/>
          <w:color w:val="222222"/>
        </w:rPr>
        <w:t>Mulya</w:t>
      </w:r>
      <w:proofErr w:type="spellEnd"/>
      <w:r w:rsidR="00784F56">
        <w:rPr>
          <w:rFonts w:ascii="Times New Roman" w:hAnsi="Times New Roman" w:cs="Times New Roman"/>
          <w:color w:val="222222"/>
        </w:rPr>
        <w:t xml:space="preserve"> Jaya Abadi</w:t>
      </w:r>
    </w:p>
    <w:p w14:paraId="3DF14ACF" w14:textId="77777777" w:rsidR="00784F56" w:rsidRDefault="00784F56" w:rsidP="002712B1">
      <w:pPr>
        <w:pStyle w:val="p0"/>
        <w:spacing w:after="0" w:line="240" w:lineRule="auto"/>
        <w:ind w:firstLine="284"/>
        <w:jc w:val="both"/>
        <w:rPr>
          <w:rFonts w:ascii="Times New Roman" w:hAnsi="Times New Roman" w:cs="Times New Roman"/>
          <w:color w:val="222222"/>
        </w:rPr>
      </w:pPr>
    </w:p>
    <w:p w14:paraId="6051ECF0" w14:textId="0BE06AC1" w:rsidR="00C53E32" w:rsidRDefault="00C53E32" w:rsidP="00C53E32">
      <w:pPr>
        <w:pStyle w:val="Section"/>
      </w:pPr>
      <w:r>
        <w:t>Conclusion</w:t>
      </w:r>
    </w:p>
    <w:p w14:paraId="0DB0CC82" w14:textId="4D0DF5EB" w:rsidR="00C53E32" w:rsidRDefault="00C53E32" w:rsidP="00C53E32">
      <w:pPr>
        <w:pStyle w:val="Section"/>
        <w:numPr>
          <w:ilvl w:val="0"/>
          <w:numId w:val="0"/>
        </w:numPr>
        <w:jc w:val="both"/>
        <w:rPr>
          <w:b w:val="0"/>
          <w:bCs/>
        </w:rPr>
      </w:pPr>
      <w:r w:rsidRPr="00C53E32">
        <w:rPr>
          <w:b w:val="0"/>
          <w:bCs/>
        </w:rPr>
        <w:t xml:space="preserve">The results of the research on the performance of a company have been carried out well, seen from the four balanced scorecard perspectives, namely: (1) Financial perspective, the company's net profit margin from 2017 to 2018 has increased 0.2%, the operating profit margin is seen as a positive percentage of the year. 2017 to 2018. The company experienced an increase of 0.48%, ROI (Return </w:t>
      </w:r>
      <w:proofErr w:type="gramStart"/>
      <w:r w:rsidRPr="00C53E32">
        <w:rPr>
          <w:b w:val="0"/>
          <w:bCs/>
        </w:rPr>
        <w:t>On</w:t>
      </w:r>
      <w:proofErr w:type="gramEnd"/>
      <w:r w:rsidRPr="00C53E32">
        <w:rPr>
          <w:b w:val="0"/>
          <w:bCs/>
        </w:rPr>
        <w:t xml:space="preserve"> Investment) that from 2017 to 2018 experienced an increase that was not too large. It can be seen that the Return </w:t>
      </w:r>
      <w:proofErr w:type="gramStart"/>
      <w:r w:rsidRPr="00C53E32">
        <w:rPr>
          <w:b w:val="0"/>
          <w:bCs/>
        </w:rPr>
        <w:t>On</w:t>
      </w:r>
      <w:proofErr w:type="gramEnd"/>
      <w:r w:rsidRPr="00C53E32">
        <w:rPr>
          <w:b w:val="0"/>
          <w:bCs/>
        </w:rPr>
        <w:t xml:space="preserve"> Investment has increased by 0.07% from the previous year, the percentage of ROE profitability ratio decreased 0.10%, ROA increased by 0.05%, BOPO increased by 0.06% (2) Customer perspective, the percentage of customer acquisition experienced an increase from 2017 to 2018 with a 3% increase in percentage and a 4% increase in customer retention. (3) Internal business and process perspectives, in the past 2 years there has been a decline in innovations from 2 innovations to 1 innovation, 2017 to 2018</w:t>
      </w:r>
      <w:r w:rsidR="00B55676">
        <w:rPr>
          <w:b w:val="0"/>
          <w:bCs/>
        </w:rPr>
        <w:t>,</w:t>
      </w:r>
      <w:r w:rsidRPr="00C53E32">
        <w:rPr>
          <w:b w:val="0"/>
          <w:bCs/>
        </w:rPr>
        <w:t xml:space="preserve"> and an increase in bad stock replacement of 10% of store requests from the previous year. (4) Learning and growth perspective, this increased employee retention rate is because the number that left from 2017 to 2018 decreased from the reports obtained from the company, it was noted that in 2017 the number of employees who left was 50, while in 2018 there were 30 people. Employee productivity level is seen from employee attendance. In 2017, 80% entered full, while in 2018 90% entered full.</w:t>
      </w:r>
    </w:p>
    <w:p w14:paraId="299C7CBB" w14:textId="319F7A55" w:rsidR="00784F56" w:rsidRDefault="00784F56" w:rsidP="00784F56">
      <w:pPr>
        <w:pStyle w:val="Section"/>
      </w:pPr>
      <w:r>
        <w:t>Acknowledgments</w:t>
      </w:r>
    </w:p>
    <w:p w14:paraId="0E3498FF" w14:textId="7F5C3A08" w:rsidR="00784F56" w:rsidRPr="00784F56" w:rsidRDefault="006C1AF1" w:rsidP="00784F56">
      <w:pPr>
        <w:pStyle w:val="Section"/>
        <w:numPr>
          <w:ilvl w:val="0"/>
          <w:numId w:val="0"/>
        </w:numPr>
        <w:spacing w:before="0"/>
        <w:rPr>
          <w:b w:val="0"/>
          <w:bCs/>
          <w:lang w:val="en-ID" w:eastAsia="en-ID"/>
        </w:rPr>
      </w:pPr>
      <w:r>
        <w:rPr>
          <w:b w:val="0"/>
          <w:bCs/>
          <w:lang w:val="en-ID" w:eastAsia="en-ID"/>
        </w:rPr>
        <w:t>In t</w:t>
      </w:r>
      <w:r w:rsidR="00784F56" w:rsidRPr="00784F56">
        <w:rPr>
          <w:b w:val="0"/>
          <w:bCs/>
          <w:lang w:val="en-ID" w:eastAsia="en-ID"/>
        </w:rPr>
        <w:t>his opportunity the author tries to express his gratitude even though it cannot be mentioned one by one:</w:t>
      </w:r>
    </w:p>
    <w:p w14:paraId="03811A5B" w14:textId="003CAE30" w:rsidR="00784F56" w:rsidRPr="00784F56" w:rsidRDefault="00784F56" w:rsidP="00784F56">
      <w:pPr>
        <w:pStyle w:val="Section"/>
        <w:numPr>
          <w:ilvl w:val="0"/>
          <w:numId w:val="0"/>
        </w:numPr>
        <w:spacing w:before="0"/>
        <w:rPr>
          <w:b w:val="0"/>
          <w:bCs/>
          <w:lang w:val="en-ID" w:eastAsia="en-ID"/>
        </w:rPr>
      </w:pPr>
      <w:r w:rsidRPr="00784F56">
        <w:rPr>
          <w:b w:val="0"/>
          <w:bCs/>
          <w:lang w:val="en-ID" w:eastAsia="en-ID"/>
        </w:rPr>
        <w:t xml:space="preserve">1. Mrs. </w:t>
      </w:r>
      <w:proofErr w:type="spellStart"/>
      <w:r w:rsidRPr="00784F56">
        <w:rPr>
          <w:b w:val="0"/>
          <w:bCs/>
          <w:lang w:val="en-ID" w:eastAsia="en-ID"/>
        </w:rPr>
        <w:t>Yunia</w:t>
      </w:r>
      <w:proofErr w:type="spellEnd"/>
      <w:r w:rsidRPr="00784F56">
        <w:rPr>
          <w:b w:val="0"/>
          <w:bCs/>
          <w:lang w:val="en-ID" w:eastAsia="en-ID"/>
        </w:rPr>
        <w:t xml:space="preserve"> </w:t>
      </w:r>
      <w:proofErr w:type="spellStart"/>
      <w:r w:rsidRPr="00784F56">
        <w:rPr>
          <w:b w:val="0"/>
          <w:bCs/>
          <w:lang w:val="en-ID" w:eastAsia="en-ID"/>
        </w:rPr>
        <w:t>Dwie</w:t>
      </w:r>
      <w:proofErr w:type="spellEnd"/>
      <w:r w:rsidRPr="00784F56">
        <w:rPr>
          <w:b w:val="0"/>
          <w:bCs/>
          <w:lang w:val="en-ID" w:eastAsia="en-ID"/>
        </w:rPr>
        <w:t xml:space="preserve"> </w:t>
      </w:r>
      <w:proofErr w:type="spellStart"/>
      <w:r w:rsidRPr="00784F56">
        <w:rPr>
          <w:b w:val="0"/>
          <w:bCs/>
          <w:lang w:val="en-ID" w:eastAsia="en-ID"/>
        </w:rPr>
        <w:t>Nurcahyanie</w:t>
      </w:r>
      <w:proofErr w:type="spellEnd"/>
      <w:r w:rsidRPr="00784F56">
        <w:rPr>
          <w:b w:val="0"/>
          <w:bCs/>
          <w:lang w:val="en-ID" w:eastAsia="en-ID"/>
        </w:rPr>
        <w:t>, S.T., M.T as Dean of the Faculty of Engineering,</w:t>
      </w:r>
      <w:r>
        <w:rPr>
          <w:b w:val="0"/>
          <w:bCs/>
          <w:lang w:val="en-ID" w:eastAsia="en-ID"/>
        </w:rPr>
        <w:t xml:space="preserve"> </w:t>
      </w:r>
      <w:r w:rsidRPr="00784F56">
        <w:rPr>
          <w:b w:val="0"/>
          <w:bCs/>
          <w:lang w:val="en-ID" w:eastAsia="en-ID"/>
        </w:rPr>
        <w:t xml:space="preserve">Universitas PGRI Adi </w:t>
      </w:r>
      <w:proofErr w:type="spellStart"/>
      <w:r w:rsidRPr="00784F56">
        <w:rPr>
          <w:b w:val="0"/>
          <w:bCs/>
          <w:lang w:val="en-ID" w:eastAsia="en-ID"/>
        </w:rPr>
        <w:t>Buana</w:t>
      </w:r>
      <w:proofErr w:type="spellEnd"/>
      <w:r w:rsidRPr="00784F56">
        <w:rPr>
          <w:b w:val="0"/>
          <w:bCs/>
          <w:lang w:val="en-ID" w:eastAsia="en-ID"/>
        </w:rPr>
        <w:t xml:space="preserve"> </w:t>
      </w:r>
      <w:proofErr w:type="spellStart"/>
      <w:r w:rsidRPr="00784F56">
        <w:rPr>
          <w:b w:val="0"/>
          <w:bCs/>
          <w:lang w:val="en-ID" w:eastAsia="en-ID"/>
        </w:rPr>
        <w:t>Suarabaya</w:t>
      </w:r>
      <w:proofErr w:type="spellEnd"/>
      <w:r w:rsidRPr="00784F56">
        <w:rPr>
          <w:b w:val="0"/>
          <w:bCs/>
          <w:lang w:val="en-ID" w:eastAsia="en-ID"/>
        </w:rPr>
        <w:t>.</w:t>
      </w:r>
    </w:p>
    <w:p w14:paraId="6AF79D1C" w14:textId="5031E5B5" w:rsidR="00513B03" w:rsidRDefault="00784F56" w:rsidP="00784F56">
      <w:pPr>
        <w:pStyle w:val="Section"/>
        <w:numPr>
          <w:ilvl w:val="0"/>
          <w:numId w:val="0"/>
        </w:numPr>
        <w:spacing w:before="0"/>
        <w:rPr>
          <w:b w:val="0"/>
          <w:bCs/>
          <w:lang w:val="en-ID" w:eastAsia="en-ID"/>
        </w:rPr>
      </w:pPr>
      <w:r>
        <w:rPr>
          <w:b w:val="0"/>
          <w:bCs/>
          <w:lang w:val="en-ID" w:eastAsia="en-ID"/>
        </w:rPr>
        <w:t xml:space="preserve">2. </w:t>
      </w:r>
      <w:r w:rsidRPr="00784F56">
        <w:rPr>
          <w:b w:val="0"/>
          <w:bCs/>
          <w:lang w:val="en-ID" w:eastAsia="en-ID"/>
        </w:rPr>
        <w:t>Mr. Indra Dwi Febryanto, S.T., M.T As the supervisor who has taken the time to</w:t>
      </w:r>
      <w:r>
        <w:rPr>
          <w:b w:val="0"/>
          <w:bCs/>
          <w:lang w:val="en-ID" w:eastAsia="en-ID"/>
        </w:rPr>
        <w:t xml:space="preserve"> </w:t>
      </w:r>
      <w:r w:rsidRPr="00784F56">
        <w:rPr>
          <w:b w:val="0"/>
          <w:bCs/>
          <w:lang w:val="en-ID" w:eastAsia="en-ID"/>
        </w:rPr>
        <w:t>provide guidance and improvements for the preparation of this final project.</w:t>
      </w:r>
    </w:p>
    <w:p w14:paraId="25463E27" w14:textId="77777777" w:rsidR="00784F56" w:rsidRPr="00784F56" w:rsidRDefault="00784F56" w:rsidP="00784F56">
      <w:pPr>
        <w:pStyle w:val="Bodytext"/>
        <w:rPr>
          <w:lang w:val="en-ID" w:eastAsia="en-ID"/>
        </w:rPr>
      </w:pPr>
    </w:p>
    <w:p w14:paraId="67A72196" w14:textId="5CA0EEC9" w:rsidR="00784F56" w:rsidRPr="00784F56" w:rsidRDefault="00B34CA2" w:rsidP="00784F56">
      <w:pPr>
        <w:jc w:val="both"/>
        <w:rPr>
          <w:b/>
          <w:bCs/>
        </w:rPr>
      </w:pPr>
      <w:r w:rsidRPr="00B34CA2">
        <w:rPr>
          <w:b/>
          <w:bCs/>
        </w:rPr>
        <w:t>References</w:t>
      </w:r>
      <w:r w:rsidR="00784F56" w:rsidRPr="00784F56">
        <w:rPr>
          <w:rFonts w:ascii="Times New Roman" w:hAnsi="Times New Roman"/>
          <w:lang w:val="en-US"/>
        </w:rPr>
        <w:fldChar w:fldCharType="begin" w:fldLock="1"/>
      </w:r>
      <w:r w:rsidR="00784F56" w:rsidRPr="00784F56">
        <w:rPr>
          <w:rFonts w:ascii="Times New Roman" w:hAnsi="Times New Roman"/>
          <w:lang w:val="en-US"/>
        </w:rPr>
        <w:instrText xml:space="preserve">ADDIN Mendeley Bibliography CSL_BIBLIOGRAPHY </w:instrText>
      </w:r>
      <w:r w:rsidR="00784F56" w:rsidRPr="00784F56">
        <w:rPr>
          <w:rFonts w:ascii="Times New Roman" w:hAnsi="Times New Roman"/>
          <w:lang w:val="en-US"/>
        </w:rPr>
        <w:fldChar w:fldCharType="separate"/>
      </w:r>
    </w:p>
    <w:p w14:paraId="49F48A7C" w14:textId="77777777" w:rsidR="009911AC" w:rsidRDefault="009911AC" w:rsidP="009911AC">
      <w:pPr>
        <w:widowControl w:val="0"/>
        <w:autoSpaceDE w:val="0"/>
        <w:autoSpaceDN w:val="0"/>
        <w:adjustRightInd w:val="0"/>
        <w:ind w:left="480" w:hanging="482"/>
        <w:rPr>
          <w:rFonts w:ascii="Times New Roman" w:hAnsi="Times New Roman"/>
          <w:noProof/>
          <w:szCs w:val="24"/>
          <w:lang w:val="en-US" w:eastAsia="en-ID"/>
        </w:rPr>
      </w:pPr>
      <w:r>
        <w:rPr>
          <w:rFonts w:ascii="Times New Roman" w:hAnsi="Times New Roman"/>
          <w:color w:val="222222"/>
          <w:lang w:val="en-US"/>
        </w:rPr>
        <w:t>[</w:t>
      </w:r>
      <w:proofErr w:type="gramStart"/>
      <w:r>
        <w:rPr>
          <w:rFonts w:ascii="Times New Roman" w:hAnsi="Times New Roman"/>
          <w:color w:val="222222"/>
          <w:lang w:val="en-US"/>
        </w:rPr>
        <w:t>1]Abdullah</w:t>
      </w:r>
      <w:proofErr w:type="gramEnd"/>
      <w:r>
        <w:rPr>
          <w:rFonts w:ascii="Times New Roman" w:hAnsi="Times New Roman"/>
          <w:color w:val="222222"/>
          <w:lang w:val="en-US"/>
        </w:rPr>
        <w:t xml:space="preserve">, M. 2014. Management and Employee Performance Evaluation. Yogyakarta: Publisher    </w:t>
      </w:r>
      <w:proofErr w:type="spellStart"/>
      <w:r>
        <w:rPr>
          <w:rFonts w:ascii="Times New Roman" w:hAnsi="Times New Roman"/>
          <w:color w:val="222222"/>
          <w:lang w:val="en-US"/>
        </w:rPr>
        <w:t>Aswaja</w:t>
      </w:r>
      <w:proofErr w:type="spellEnd"/>
      <w:r>
        <w:rPr>
          <w:rFonts w:ascii="Times New Roman" w:hAnsi="Times New Roman"/>
          <w:color w:val="222222"/>
          <w:lang w:val="en-US"/>
        </w:rPr>
        <w:t xml:space="preserve">    </w:t>
      </w:r>
      <w:proofErr w:type="spellStart"/>
      <w:r>
        <w:rPr>
          <w:rFonts w:ascii="Times New Roman" w:hAnsi="Times New Roman"/>
          <w:color w:val="222222"/>
          <w:lang w:val="en-US"/>
        </w:rPr>
        <w:t>Pressindo</w:t>
      </w:r>
      <w:proofErr w:type="spellEnd"/>
    </w:p>
    <w:p w14:paraId="45718233" w14:textId="2432C638" w:rsidR="009911AC" w:rsidRDefault="009911AC" w:rsidP="009911AC">
      <w:pPr>
        <w:widowControl w:val="0"/>
        <w:autoSpaceDE w:val="0"/>
        <w:autoSpaceDN w:val="0"/>
        <w:adjustRightInd w:val="0"/>
        <w:ind w:left="482" w:hanging="482"/>
        <w:rPr>
          <w:rFonts w:ascii="Calibri" w:hAnsi="Calibri" w:cs="Calibri"/>
          <w:noProof/>
          <w:szCs w:val="24"/>
          <w:lang w:val="en-US"/>
        </w:rPr>
      </w:pPr>
      <w:r>
        <w:rPr>
          <w:lang w:val="en-US"/>
        </w:rPr>
        <w:fldChar w:fldCharType="begin" w:fldLock="1"/>
      </w:r>
      <w:r>
        <w:rPr>
          <w:lang w:val="en-US"/>
        </w:rPr>
        <w:instrText xml:space="preserve">ADDIN Mendeley Bibliography CSL_BIBLIOGRAPHY </w:instrText>
      </w:r>
      <w:r>
        <w:rPr>
          <w:lang w:val="en-US"/>
        </w:rPr>
        <w:fldChar w:fldCharType="separate"/>
      </w:r>
      <w:r>
        <w:rPr>
          <w:rFonts w:ascii="Calibri" w:hAnsi="Calibri" w:cs="Calibri"/>
          <w:noProof/>
          <w:szCs w:val="24"/>
          <w:lang w:val="en-US"/>
        </w:rPr>
        <w:t xml:space="preserve">[2]Acquaye A Ibn-Mohammed T Genovese A Afrifa G A Yamoah F A and Oppon E, 2018 A quantitative model for environmentally sustainable supply chain performance measurement </w:t>
      </w:r>
      <w:r>
        <w:rPr>
          <w:rFonts w:ascii="Calibri" w:hAnsi="Calibri" w:cs="Calibri"/>
          <w:i/>
          <w:iCs/>
          <w:noProof/>
          <w:szCs w:val="24"/>
          <w:lang w:val="en-US"/>
        </w:rPr>
        <w:t>Eur. J. Oper. Res.</w:t>
      </w:r>
      <w:r>
        <w:rPr>
          <w:rFonts w:ascii="Calibri" w:hAnsi="Calibri" w:cs="Calibri"/>
          <w:noProof/>
          <w:szCs w:val="24"/>
          <w:lang w:val="en-US"/>
        </w:rPr>
        <w:t xml:space="preserve"> </w:t>
      </w:r>
      <w:r>
        <w:rPr>
          <w:rFonts w:ascii="Calibri" w:hAnsi="Calibri" w:cs="Calibri"/>
          <w:b/>
          <w:bCs/>
          <w:noProof/>
          <w:szCs w:val="24"/>
          <w:lang w:val="en-US"/>
        </w:rPr>
        <w:t>269</w:t>
      </w:r>
      <w:r>
        <w:rPr>
          <w:rFonts w:ascii="Calibri" w:hAnsi="Calibri" w:cs="Calibri"/>
          <w:noProof/>
          <w:szCs w:val="24"/>
          <w:lang w:val="en-US"/>
        </w:rPr>
        <w:t>, 1 p. 188–205.</w:t>
      </w:r>
    </w:p>
    <w:p w14:paraId="2E9CBF7C" w14:textId="4AEB1A20" w:rsidR="009911AC" w:rsidRDefault="009911AC" w:rsidP="009911AC">
      <w:pPr>
        <w:widowControl w:val="0"/>
        <w:autoSpaceDE w:val="0"/>
        <w:autoSpaceDN w:val="0"/>
        <w:adjustRightInd w:val="0"/>
        <w:ind w:left="482" w:hanging="482"/>
        <w:rPr>
          <w:rFonts w:ascii="Calibri" w:hAnsi="Calibri" w:cs="Calibri"/>
          <w:noProof/>
          <w:szCs w:val="24"/>
          <w:lang w:val="en-US"/>
        </w:rPr>
      </w:pPr>
      <w:r>
        <w:rPr>
          <w:rFonts w:ascii="Calibri" w:hAnsi="Calibri" w:cs="Calibri"/>
          <w:noProof/>
          <w:szCs w:val="24"/>
          <w:lang w:val="en-US"/>
        </w:rPr>
        <w:t xml:space="preserve">[3]Azfar K R W Khan N and Gabriel H F, 2014 Performance Measurement: A Conceptual Framework for Supply Chain Practices </w:t>
      </w:r>
      <w:r>
        <w:rPr>
          <w:rFonts w:ascii="Calibri" w:hAnsi="Calibri" w:cs="Calibri"/>
          <w:i/>
          <w:iCs/>
          <w:noProof/>
          <w:szCs w:val="24"/>
          <w:lang w:val="en-US"/>
        </w:rPr>
        <w:t>Procedia - Soc. Behav. Sci.</w:t>
      </w:r>
      <w:r>
        <w:rPr>
          <w:rFonts w:ascii="Calibri" w:hAnsi="Calibri" w:cs="Calibri"/>
          <w:noProof/>
          <w:szCs w:val="24"/>
          <w:lang w:val="en-US"/>
        </w:rPr>
        <w:t xml:space="preserve"> </w:t>
      </w:r>
      <w:r>
        <w:rPr>
          <w:rFonts w:ascii="Calibri" w:hAnsi="Calibri" w:cs="Calibri"/>
          <w:b/>
          <w:bCs/>
          <w:noProof/>
          <w:szCs w:val="24"/>
          <w:lang w:val="en-US"/>
        </w:rPr>
        <w:t>150</w:t>
      </w:r>
      <w:r>
        <w:rPr>
          <w:rFonts w:ascii="Calibri" w:hAnsi="Calibri" w:cs="Calibri"/>
          <w:noProof/>
          <w:szCs w:val="24"/>
          <w:lang w:val="en-US"/>
        </w:rPr>
        <w:t xml:space="preserve"> p. 803–812.</w:t>
      </w:r>
    </w:p>
    <w:p w14:paraId="7342004A" w14:textId="3B375F56" w:rsidR="009911AC" w:rsidRPr="009911AC" w:rsidRDefault="009911AC" w:rsidP="009911AC">
      <w:pPr>
        <w:widowControl w:val="0"/>
        <w:autoSpaceDE w:val="0"/>
        <w:autoSpaceDN w:val="0"/>
        <w:adjustRightInd w:val="0"/>
        <w:ind w:left="482" w:hanging="482"/>
        <w:rPr>
          <w:rFonts w:ascii="Times New Roman" w:hAnsi="Times New Roman"/>
          <w:noProof/>
          <w:szCs w:val="24"/>
          <w:lang w:val="en-US"/>
        </w:rPr>
      </w:pPr>
      <w:r>
        <w:rPr>
          <w:rFonts w:ascii="Times New Roman" w:hAnsi="Times New Roman"/>
          <w:lang w:val="en-US"/>
        </w:rPr>
        <w:t xml:space="preserve">[4]B.R. Ferguson, Implementing supply chain management, Prod. Inventory Manage. J. (2000) 64–67.  </w:t>
      </w:r>
    </w:p>
    <w:p w14:paraId="461208B3" w14:textId="385617EA" w:rsidR="009911AC" w:rsidRDefault="009911AC" w:rsidP="009911AC">
      <w:pPr>
        <w:widowControl w:val="0"/>
        <w:autoSpaceDE w:val="0"/>
        <w:autoSpaceDN w:val="0"/>
        <w:adjustRightInd w:val="0"/>
        <w:ind w:left="482" w:hanging="482"/>
        <w:rPr>
          <w:rFonts w:ascii="Calibri" w:hAnsi="Calibri" w:cs="Calibri"/>
          <w:noProof/>
          <w:szCs w:val="24"/>
          <w:lang w:val="en-US"/>
        </w:rPr>
      </w:pPr>
      <w:r>
        <w:rPr>
          <w:rFonts w:ascii="Calibri" w:hAnsi="Calibri" w:cs="Calibri"/>
          <w:noProof/>
          <w:szCs w:val="24"/>
          <w:lang w:val="en-US"/>
        </w:rPr>
        <w:t xml:space="preserve">[5]Butzer S Schötz S Petroschke M and Steinhilper R, 2017 Development of a Performance Measurement System for International Reverse Supply Chains </w:t>
      </w:r>
      <w:r>
        <w:rPr>
          <w:rFonts w:ascii="Calibri" w:hAnsi="Calibri" w:cs="Calibri"/>
          <w:i/>
          <w:iCs/>
          <w:noProof/>
          <w:szCs w:val="24"/>
          <w:lang w:val="en-US"/>
        </w:rPr>
        <w:t>Procedia CIRP</w:t>
      </w:r>
      <w:r>
        <w:rPr>
          <w:rFonts w:ascii="Calibri" w:hAnsi="Calibri" w:cs="Calibri"/>
          <w:noProof/>
          <w:szCs w:val="24"/>
          <w:lang w:val="en-US"/>
        </w:rPr>
        <w:t xml:space="preserve"> </w:t>
      </w:r>
      <w:r>
        <w:rPr>
          <w:rFonts w:ascii="Calibri" w:hAnsi="Calibri" w:cs="Calibri"/>
          <w:b/>
          <w:bCs/>
          <w:noProof/>
          <w:szCs w:val="24"/>
          <w:lang w:val="en-US"/>
        </w:rPr>
        <w:t>61</w:t>
      </w:r>
      <w:r>
        <w:rPr>
          <w:rFonts w:ascii="Calibri" w:hAnsi="Calibri" w:cs="Calibri"/>
          <w:noProof/>
          <w:szCs w:val="24"/>
          <w:lang w:val="en-US"/>
        </w:rPr>
        <w:t xml:space="preserve"> p. 251–256.</w:t>
      </w:r>
    </w:p>
    <w:p w14:paraId="3CE49192" w14:textId="069B83CC" w:rsidR="009911AC" w:rsidRDefault="009911AC" w:rsidP="009911AC">
      <w:pPr>
        <w:widowControl w:val="0"/>
        <w:autoSpaceDE w:val="0"/>
        <w:autoSpaceDN w:val="0"/>
        <w:adjustRightInd w:val="0"/>
        <w:ind w:left="482" w:hanging="482"/>
        <w:rPr>
          <w:rFonts w:ascii="Calibri" w:hAnsi="Calibri" w:cs="Calibri"/>
          <w:noProof/>
          <w:szCs w:val="24"/>
          <w:lang w:val="en-US"/>
        </w:rPr>
      </w:pPr>
      <w:r>
        <w:rPr>
          <w:rFonts w:ascii="Calibri" w:hAnsi="Calibri" w:cs="Calibri"/>
          <w:noProof/>
          <w:szCs w:val="24"/>
          <w:lang w:val="en-US"/>
        </w:rPr>
        <w:t xml:space="preserve">[6]Darmasto B Magister S Pasca A Universitas S Ekonomi F and Riau U, 2000 Analisis Pengukuran Kinerja Perusahaan Dengan Metode Balanced Scorecard </w:t>
      </w:r>
      <w:r>
        <w:rPr>
          <w:rFonts w:ascii="Calibri" w:hAnsi="Calibri" w:cs="Calibri"/>
          <w:b/>
          <w:bCs/>
          <w:noProof/>
          <w:szCs w:val="24"/>
          <w:lang w:val="en-US"/>
        </w:rPr>
        <w:t>9</w:t>
      </w:r>
      <w:r>
        <w:rPr>
          <w:rFonts w:ascii="Calibri" w:hAnsi="Calibri" w:cs="Calibri"/>
          <w:noProof/>
          <w:szCs w:val="24"/>
          <w:lang w:val="en-US"/>
        </w:rPr>
        <w:t>, 1 p. 70–85.</w:t>
      </w:r>
    </w:p>
    <w:p w14:paraId="27B16003" w14:textId="171BE0B6" w:rsidR="009911AC" w:rsidRDefault="009911AC" w:rsidP="009911AC">
      <w:pPr>
        <w:widowControl w:val="0"/>
        <w:autoSpaceDE w:val="0"/>
        <w:autoSpaceDN w:val="0"/>
        <w:adjustRightInd w:val="0"/>
        <w:ind w:left="482" w:hanging="482"/>
        <w:rPr>
          <w:rFonts w:ascii="Calibri" w:hAnsi="Calibri" w:cs="Calibri"/>
          <w:noProof/>
          <w:szCs w:val="24"/>
          <w:lang w:val="en-US"/>
        </w:rPr>
      </w:pPr>
      <w:r>
        <w:rPr>
          <w:rFonts w:ascii="Calibri" w:hAnsi="Calibri" w:cs="Calibri"/>
          <w:noProof/>
          <w:szCs w:val="24"/>
          <w:lang w:val="en-US"/>
        </w:rPr>
        <w:t xml:space="preserve">[7]Ducq Y and Berrah L, 2009 </w:t>
      </w:r>
      <w:r>
        <w:rPr>
          <w:rFonts w:ascii="Calibri" w:hAnsi="Calibri" w:cs="Calibri"/>
          <w:i/>
          <w:iCs/>
          <w:noProof/>
          <w:szCs w:val="24"/>
          <w:lang w:val="en-US"/>
        </w:rPr>
        <w:t>Supply chain performance measurement: Management models, performance indicators and interoperability</w:t>
      </w:r>
      <w:r>
        <w:rPr>
          <w:rFonts w:ascii="Calibri" w:hAnsi="Calibri" w:cs="Calibri"/>
          <w:noProof/>
          <w:szCs w:val="24"/>
          <w:lang w:val="en-US"/>
        </w:rPr>
        <w:t xml:space="preserve"> </w:t>
      </w:r>
      <w:r>
        <w:rPr>
          <w:rFonts w:ascii="Calibri" w:hAnsi="Calibri" w:cs="Calibri"/>
          <w:b/>
          <w:bCs/>
          <w:noProof/>
          <w:szCs w:val="24"/>
          <w:lang w:val="en-US"/>
        </w:rPr>
        <w:t>13</w:t>
      </w:r>
      <w:r>
        <w:rPr>
          <w:rFonts w:ascii="Calibri" w:hAnsi="Calibri" w:cs="Calibri"/>
          <w:noProof/>
          <w:szCs w:val="24"/>
          <w:lang w:val="en-US"/>
        </w:rPr>
        <w:t>, PART 1 IFAC.</w:t>
      </w:r>
    </w:p>
    <w:p w14:paraId="5ABD21FD" w14:textId="19FF1C18" w:rsidR="009911AC" w:rsidRDefault="009911AC" w:rsidP="009911AC">
      <w:pPr>
        <w:widowControl w:val="0"/>
        <w:autoSpaceDE w:val="0"/>
        <w:autoSpaceDN w:val="0"/>
        <w:adjustRightInd w:val="0"/>
        <w:ind w:left="482" w:hanging="482"/>
        <w:rPr>
          <w:rFonts w:ascii="Calibri" w:hAnsi="Calibri" w:cs="Calibri"/>
          <w:noProof/>
          <w:szCs w:val="24"/>
          <w:lang w:val="en-US"/>
        </w:rPr>
      </w:pPr>
      <w:r>
        <w:rPr>
          <w:rFonts w:ascii="Calibri" w:hAnsi="Calibri" w:cs="Calibri"/>
          <w:noProof/>
          <w:szCs w:val="24"/>
          <w:lang w:val="en-US"/>
        </w:rPr>
        <w:t xml:space="preserve">[8]Farsi M </w:t>
      </w:r>
      <w:r>
        <w:rPr>
          <w:rFonts w:ascii="Calibri" w:hAnsi="Calibri" w:cs="Calibri"/>
          <w:i/>
          <w:iCs/>
          <w:noProof/>
          <w:szCs w:val="24"/>
          <w:lang w:val="en-US"/>
        </w:rPr>
        <w:t>et al.</w:t>
      </w:r>
      <w:r>
        <w:rPr>
          <w:rFonts w:ascii="Calibri" w:hAnsi="Calibri" w:cs="Calibri"/>
          <w:noProof/>
          <w:szCs w:val="24"/>
          <w:lang w:val="en-US"/>
        </w:rPr>
        <w:t xml:space="preserve">, 2020 An optimisation framework for improving supply chain performance: Case study of a bespoke service provider </w:t>
      </w:r>
      <w:r>
        <w:rPr>
          <w:rFonts w:ascii="Calibri" w:hAnsi="Calibri" w:cs="Calibri"/>
          <w:i/>
          <w:iCs/>
          <w:noProof/>
          <w:szCs w:val="24"/>
          <w:lang w:val="en-US"/>
        </w:rPr>
        <w:t>Procedia Manuf.</w:t>
      </w:r>
      <w:r>
        <w:rPr>
          <w:rFonts w:ascii="Calibri" w:hAnsi="Calibri" w:cs="Calibri"/>
          <w:noProof/>
          <w:szCs w:val="24"/>
          <w:lang w:val="en-US"/>
        </w:rPr>
        <w:t xml:space="preserve"> </w:t>
      </w:r>
      <w:r>
        <w:rPr>
          <w:rFonts w:ascii="Calibri" w:hAnsi="Calibri" w:cs="Calibri"/>
          <w:b/>
          <w:bCs/>
          <w:noProof/>
          <w:szCs w:val="24"/>
          <w:lang w:val="en-US"/>
        </w:rPr>
        <w:t>49</w:t>
      </w:r>
      <w:r>
        <w:rPr>
          <w:rFonts w:ascii="Calibri" w:hAnsi="Calibri" w:cs="Calibri"/>
          <w:noProof/>
          <w:szCs w:val="24"/>
          <w:lang w:val="en-US"/>
        </w:rPr>
        <w:t xml:space="preserve"> p. 185–192.</w:t>
      </w:r>
    </w:p>
    <w:p w14:paraId="05F225B5" w14:textId="56513657" w:rsidR="009911AC" w:rsidRPr="009911AC" w:rsidRDefault="009911AC" w:rsidP="009911AC">
      <w:pPr>
        <w:widowControl w:val="0"/>
        <w:autoSpaceDE w:val="0"/>
        <w:autoSpaceDN w:val="0"/>
        <w:adjustRightInd w:val="0"/>
        <w:ind w:left="480" w:hanging="482"/>
        <w:rPr>
          <w:rFonts w:ascii="Times New Roman" w:hAnsi="Times New Roman"/>
          <w:noProof/>
          <w:szCs w:val="24"/>
          <w:lang w:val="en-US"/>
        </w:rPr>
      </w:pPr>
      <w:r>
        <w:rPr>
          <w:rFonts w:ascii="Times New Roman" w:hAnsi="Times New Roman"/>
          <w:lang w:val="en-US"/>
        </w:rPr>
        <w:lastRenderedPageBreak/>
        <w:t>[9]I.J. Chen, A. Paulraj, Understanding supply chain management: critical research and a theoretical framework, Int. J. Prod. Res. 42 (2004) 131–163</w:t>
      </w:r>
    </w:p>
    <w:p w14:paraId="359D4EA5" w14:textId="0B95CD19" w:rsidR="009911AC" w:rsidRDefault="009911AC" w:rsidP="009911AC">
      <w:pPr>
        <w:widowControl w:val="0"/>
        <w:autoSpaceDE w:val="0"/>
        <w:autoSpaceDN w:val="0"/>
        <w:adjustRightInd w:val="0"/>
        <w:ind w:left="482" w:hanging="482"/>
        <w:rPr>
          <w:rFonts w:ascii="Calibri" w:hAnsi="Calibri" w:cs="Calibri"/>
          <w:noProof/>
          <w:szCs w:val="24"/>
          <w:lang w:val="en-US"/>
        </w:rPr>
      </w:pPr>
      <w:r>
        <w:rPr>
          <w:rFonts w:ascii="Calibri" w:hAnsi="Calibri" w:cs="Calibri"/>
          <w:noProof/>
          <w:szCs w:val="24"/>
          <w:lang w:val="en-US"/>
        </w:rPr>
        <w:t>[10]</w:t>
      </w:r>
      <w:r>
        <w:rPr>
          <w:rFonts w:ascii="Calibri" w:hAnsi="Calibri" w:cs="Calibri"/>
          <w:noProof/>
          <w:szCs w:val="24"/>
          <w:lang w:val="en-US"/>
        </w:rPr>
        <w:t>J</w:t>
      </w:r>
      <w:r>
        <w:rPr>
          <w:rFonts w:ascii="Calibri" w:hAnsi="Calibri" w:cs="Calibri"/>
          <w:noProof/>
          <w:szCs w:val="24"/>
          <w:lang w:val="en-US"/>
        </w:rPr>
        <w:t xml:space="preserve">agan Mohan Reddy K Neelakanteswara Rao A and Krishnanand L, 2019 A review on supply chain performance measurement systems </w:t>
      </w:r>
      <w:r>
        <w:rPr>
          <w:rFonts w:ascii="Calibri" w:hAnsi="Calibri" w:cs="Calibri"/>
          <w:i/>
          <w:iCs/>
          <w:noProof/>
          <w:szCs w:val="24"/>
          <w:lang w:val="en-US"/>
        </w:rPr>
        <w:t>Procedia Manuf.</w:t>
      </w:r>
      <w:r>
        <w:rPr>
          <w:rFonts w:ascii="Calibri" w:hAnsi="Calibri" w:cs="Calibri"/>
          <w:noProof/>
          <w:szCs w:val="24"/>
          <w:lang w:val="en-US"/>
        </w:rPr>
        <w:t xml:space="preserve"> </w:t>
      </w:r>
      <w:r>
        <w:rPr>
          <w:rFonts w:ascii="Calibri" w:hAnsi="Calibri" w:cs="Calibri"/>
          <w:b/>
          <w:bCs/>
          <w:noProof/>
          <w:szCs w:val="24"/>
          <w:lang w:val="en-US"/>
        </w:rPr>
        <w:t>30</w:t>
      </w:r>
      <w:r>
        <w:rPr>
          <w:rFonts w:ascii="Calibri" w:hAnsi="Calibri" w:cs="Calibri"/>
          <w:noProof/>
          <w:szCs w:val="24"/>
          <w:lang w:val="en-US"/>
        </w:rPr>
        <w:t xml:space="preserve"> p. 40–47.</w:t>
      </w:r>
    </w:p>
    <w:p w14:paraId="78EF2CFF" w14:textId="049E881E" w:rsidR="009911AC" w:rsidRPr="009911AC" w:rsidRDefault="009911AC" w:rsidP="009911AC">
      <w:pPr>
        <w:pStyle w:val="p0"/>
        <w:shd w:val="clear" w:color="auto" w:fill="FFFFFF"/>
        <w:spacing w:after="0" w:line="240" w:lineRule="auto"/>
        <w:ind w:left="482" w:hanging="482"/>
        <w:rPr>
          <w:rFonts w:ascii="Times New Roman" w:hAnsi="Times New Roman" w:cs="Times New Roman"/>
          <w:color w:val="222222"/>
        </w:rPr>
      </w:pPr>
      <w:r>
        <w:rPr>
          <w:rFonts w:ascii="Times New Roman" w:hAnsi="Times New Roman" w:cs="Times New Roman"/>
          <w:color w:val="222222"/>
        </w:rPr>
        <w:t>[11]Kaplan, Robert S and David P Norton, 2000, Balanced Scorecard: Implementing Strategy into Action, Erlangga: Jakarta.</w:t>
      </w:r>
    </w:p>
    <w:p w14:paraId="0A9E34F1" w14:textId="5EF5A650" w:rsidR="009911AC" w:rsidRDefault="009911AC" w:rsidP="009911AC">
      <w:pPr>
        <w:widowControl w:val="0"/>
        <w:autoSpaceDE w:val="0"/>
        <w:autoSpaceDN w:val="0"/>
        <w:adjustRightInd w:val="0"/>
        <w:ind w:left="482" w:hanging="482"/>
        <w:rPr>
          <w:rFonts w:ascii="Calibri" w:hAnsi="Calibri" w:cs="Calibri"/>
          <w:noProof/>
          <w:szCs w:val="24"/>
          <w:lang w:val="en-US"/>
        </w:rPr>
      </w:pPr>
      <w:r>
        <w:rPr>
          <w:rFonts w:ascii="Calibri" w:hAnsi="Calibri" w:cs="Calibri"/>
          <w:noProof/>
          <w:szCs w:val="24"/>
          <w:lang w:val="en-US"/>
        </w:rPr>
        <w:t xml:space="preserve">[12]Liebetruth T, 2017 Sustainability in Performance Measurement and Management Systems for Supply Chains </w:t>
      </w:r>
      <w:r>
        <w:rPr>
          <w:rFonts w:ascii="Calibri" w:hAnsi="Calibri" w:cs="Calibri"/>
          <w:i/>
          <w:iCs/>
          <w:noProof/>
          <w:szCs w:val="24"/>
          <w:lang w:val="en-US"/>
        </w:rPr>
        <w:t>Procedia Eng.</w:t>
      </w:r>
      <w:r>
        <w:rPr>
          <w:rFonts w:ascii="Calibri" w:hAnsi="Calibri" w:cs="Calibri"/>
          <w:noProof/>
          <w:szCs w:val="24"/>
          <w:lang w:val="en-US"/>
        </w:rPr>
        <w:t xml:space="preserve"> </w:t>
      </w:r>
      <w:r>
        <w:rPr>
          <w:rFonts w:ascii="Calibri" w:hAnsi="Calibri" w:cs="Calibri"/>
          <w:b/>
          <w:bCs/>
          <w:noProof/>
          <w:szCs w:val="24"/>
          <w:lang w:val="en-US"/>
        </w:rPr>
        <w:t>192</w:t>
      </w:r>
      <w:r>
        <w:rPr>
          <w:rFonts w:ascii="Calibri" w:hAnsi="Calibri" w:cs="Calibri"/>
          <w:noProof/>
          <w:szCs w:val="24"/>
          <w:lang w:val="en-US"/>
        </w:rPr>
        <w:t xml:space="preserve"> p. 539–544.</w:t>
      </w:r>
    </w:p>
    <w:p w14:paraId="7261B03A" w14:textId="3911F6D8" w:rsidR="009911AC" w:rsidRDefault="009911AC" w:rsidP="009911AC">
      <w:pPr>
        <w:widowControl w:val="0"/>
        <w:autoSpaceDE w:val="0"/>
        <w:autoSpaceDN w:val="0"/>
        <w:adjustRightInd w:val="0"/>
        <w:ind w:left="482" w:hanging="482"/>
        <w:rPr>
          <w:rFonts w:ascii="Calibri" w:hAnsi="Calibri" w:cs="Calibri"/>
          <w:noProof/>
          <w:szCs w:val="24"/>
          <w:lang w:val="en-US"/>
        </w:rPr>
      </w:pPr>
      <w:r>
        <w:rPr>
          <w:rFonts w:ascii="Calibri" w:hAnsi="Calibri" w:cs="Calibri"/>
          <w:noProof/>
          <w:szCs w:val="24"/>
          <w:lang w:val="en-US"/>
        </w:rPr>
        <w:t xml:space="preserve">13]Shafiee M Hosseinzadeh Lotfi F and Saleh H, 2014 Supply chain performance evaluation with data envelopment analysis and balanced scorecard approach </w:t>
      </w:r>
      <w:r>
        <w:rPr>
          <w:rFonts w:ascii="Calibri" w:hAnsi="Calibri" w:cs="Calibri"/>
          <w:i/>
          <w:iCs/>
          <w:noProof/>
          <w:szCs w:val="24"/>
          <w:lang w:val="en-US"/>
        </w:rPr>
        <w:t>Appl. Math. Model.</w:t>
      </w:r>
      <w:r>
        <w:rPr>
          <w:rFonts w:ascii="Calibri" w:hAnsi="Calibri" w:cs="Calibri"/>
          <w:noProof/>
          <w:szCs w:val="24"/>
          <w:lang w:val="en-US"/>
        </w:rPr>
        <w:t xml:space="preserve"> </w:t>
      </w:r>
      <w:r>
        <w:rPr>
          <w:rFonts w:ascii="Calibri" w:hAnsi="Calibri" w:cs="Calibri"/>
          <w:b/>
          <w:bCs/>
          <w:noProof/>
          <w:szCs w:val="24"/>
          <w:lang w:val="en-US"/>
        </w:rPr>
        <w:t>38</w:t>
      </w:r>
      <w:r>
        <w:rPr>
          <w:rFonts w:ascii="Calibri" w:hAnsi="Calibri" w:cs="Calibri"/>
          <w:noProof/>
          <w:szCs w:val="24"/>
          <w:lang w:val="en-US"/>
        </w:rPr>
        <w:t>, 21–22 p. 5092–5112.</w:t>
      </w:r>
    </w:p>
    <w:p w14:paraId="28B2A77E" w14:textId="1E91A2F5" w:rsidR="009911AC" w:rsidRDefault="009911AC" w:rsidP="009911AC">
      <w:pPr>
        <w:widowControl w:val="0"/>
        <w:autoSpaceDE w:val="0"/>
        <w:autoSpaceDN w:val="0"/>
        <w:adjustRightInd w:val="0"/>
        <w:ind w:left="482" w:hanging="482"/>
        <w:rPr>
          <w:rFonts w:ascii="Calibri" w:hAnsi="Calibri" w:cs="Calibri"/>
          <w:noProof/>
          <w:szCs w:val="24"/>
          <w:lang w:val="en-US"/>
        </w:rPr>
      </w:pPr>
      <w:r>
        <w:rPr>
          <w:rFonts w:ascii="Calibri" w:hAnsi="Calibri" w:cs="Calibri"/>
          <w:noProof/>
          <w:szCs w:val="24"/>
          <w:lang w:val="en-US"/>
        </w:rPr>
        <w:t xml:space="preserve">[14]Uysal F, 2012 An Integrated Model for Sustainable Performance Measurement in Supply Chain </w:t>
      </w:r>
      <w:r>
        <w:rPr>
          <w:rFonts w:ascii="Calibri" w:hAnsi="Calibri" w:cs="Calibri"/>
          <w:i/>
          <w:iCs/>
          <w:noProof/>
          <w:szCs w:val="24"/>
          <w:lang w:val="en-US"/>
        </w:rPr>
        <w:t>Procedia - Soc. Behav. Sci.</w:t>
      </w:r>
      <w:r>
        <w:rPr>
          <w:rFonts w:ascii="Calibri" w:hAnsi="Calibri" w:cs="Calibri"/>
          <w:noProof/>
          <w:szCs w:val="24"/>
          <w:lang w:val="en-US"/>
        </w:rPr>
        <w:t xml:space="preserve"> </w:t>
      </w:r>
      <w:r>
        <w:rPr>
          <w:rFonts w:ascii="Calibri" w:hAnsi="Calibri" w:cs="Calibri"/>
          <w:b/>
          <w:bCs/>
          <w:noProof/>
          <w:szCs w:val="24"/>
          <w:lang w:val="en-US"/>
        </w:rPr>
        <w:t>62</w:t>
      </w:r>
      <w:r>
        <w:rPr>
          <w:rFonts w:ascii="Calibri" w:hAnsi="Calibri" w:cs="Calibri"/>
          <w:noProof/>
          <w:szCs w:val="24"/>
          <w:lang w:val="en-US"/>
        </w:rPr>
        <w:t>, 1995 p. 689–694.</w:t>
      </w:r>
    </w:p>
    <w:p w14:paraId="68D06184" w14:textId="6995ADF4" w:rsidR="009911AC" w:rsidRDefault="009911AC" w:rsidP="009911AC">
      <w:pPr>
        <w:widowControl w:val="0"/>
        <w:autoSpaceDE w:val="0"/>
        <w:autoSpaceDN w:val="0"/>
        <w:adjustRightInd w:val="0"/>
        <w:ind w:left="482" w:hanging="482"/>
        <w:rPr>
          <w:rFonts w:ascii="Calibri" w:hAnsi="Calibri" w:cs="Calibri"/>
          <w:noProof/>
          <w:szCs w:val="22"/>
          <w:lang w:val="en-US"/>
        </w:rPr>
      </w:pPr>
      <w:r>
        <w:rPr>
          <w:rFonts w:ascii="Calibri" w:hAnsi="Calibri" w:cs="Calibri"/>
          <w:noProof/>
          <w:szCs w:val="24"/>
          <w:lang w:val="en-US"/>
        </w:rPr>
        <w:t xml:space="preserve">[15]Zouggar S Zolghadri M and Girard P, 2009 </w:t>
      </w:r>
      <w:r>
        <w:rPr>
          <w:rFonts w:ascii="Calibri" w:hAnsi="Calibri" w:cs="Calibri"/>
          <w:i/>
          <w:iCs/>
          <w:noProof/>
          <w:szCs w:val="24"/>
          <w:lang w:val="en-US"/>
        </w:rPr>
        <w:t xml:space="preserve">Performance improvement in supply chains through </w:t>
      </w:r>
      <w:r>
        <w:rPr>
          <w:rFonts w:ascii="Calibri" w:hAnsi="Calibri" w:cs="Calibri"/>
          <w:i/>
          <w:iCs/>
          <w:noProof/>
          <w:szCs w:val="24"/>
          <w:lang w:val="en-US"/>
        </w:rPr>
        <w:t xml:space="preserve">  </w:t>
      </w:r>
      <w:r>
        <w:rPr>
          <w:rFonts w:ascii="Calibri" w:hAnsi="Calibri" w:cs="Calibri"/>
          <w:i/>
          <w:iCs/>
          <w:noProof/>
          <w:szCs w:val="24"/>
          <w:lang w:val="en-US"/>
        </w:rPr>
        <w:t>better partners’ selection</w:t>
      </w:r>
      <w:r>
        <w:rPr>
          <w:rFonts w:ascii="Calibri" w:hAnsi="Calibri" w:cs="Calibri"/>
          <w:noProof/>
          <w:szCs w:val="24"/>
          <w:lang w:val="en-US"/>
        </w:rPr>
        <w:t xml:space="preserve"> </w:t>
      </w:r>
      <w:r>
        <w:rPr>
          <w:rFonts w:ascii="Calibri" w:hAnsi="Calibri" w:cs="Calibri"/>
          <w:b/>
          <w:bCs/>
          <w:noProof/>
          <w:szCs w:val="24"/>
          <w:lang w:val="en-US"/>
        </w:rPr>
        <w:t>13</w:t>
      </w:r>
      <w:r>
        <w:rPr>
          <w:rFonts w:ascii="Calibri" w:hAnsi="Calibri" w:cs="Calibri"/>
          <w:noProof/>
          <w:szCs w:val="24"/>
          <w:lang w:val="en-US"/>
        </w:rPr>
        <w:t>, PART 1 IFAC.</w:t>
      </w:r>
    </w:p>
    <w:p w14:paraId="7AB14C97" w14:textId="0A0CB71B" w:rsidR="009911AC" w:rsidRDefault="009911AC" w:rsidP="007A2882">
      <w:pPr>
        <w:widowControl w:val="0"/>
        <w:autoSpaceDE w:val="0"/>
        <w:autoSpaceDN w:val="0"/>
        <w:adjustRightInd w:val="0"/>
        <w:rPr>
          <w:rFonts w:ascii="Times New Roman" w:hAnsi="Times New Roman"/>
          <w:color w:val="222222"/>
          <w:lang w:val="en-US"/>
        </w:rPr>
      </w:pPr>
      <w:r>
        <w:rPr>
          <w:lang w:val="en-US"/>
        </w:rPr>
        <w:fldChar w:fldCharType="end"/>
      </w:r>
    </w:p>
    <w:p w14:paraId="3D224A56" w14:textId="77777777" w:rsidR="00784F56" w:rsidRPr="00784F56" w:rsidRDefault="00784F56" w:rsidP="00784F56">
      <w:pPr>
        <w:rPr>
          <w:rFonts w:ascii="Times New Roman" w:hAnsi="Times New Roman"/>
        </w:rPr>
      </w:pPr>
      <w:r w:rsidRPr="00784F56">
        <w:rPr>
          <w:rFonts w:ascii="Times New Roman" w:hAnsi="Times New Roman"/>
          <w:lang w:val="en-US"/>
        </w:rPr>
        <w:fldChar w:fldCharType="end"/>
      </w:r>
    </w:p>
    <w:p w14:paraId="228DA515" w14:textId="01420405" w:rsidR="00DE6D76" w:rsidRPr="00377E75" w:rsidRDefault="00DE6D76" w:rsidP="00377E75">
      <w:pPr>
        <w:pStyle w:val="p0"/>
        <w:shd w:val="clear" w:color="auto" w:fill="FFFFFF"/>
        <w:spacing w:after="0" w:line="240" w:lineRule="auto"/>
        <w:ind w:hanging="284"/>
        <w:rPr>
          <w:rFonts w:ascii="Times New Roman" w:hAnsi="Times New Roman" w:cs="Times New Roman"/>
          <w:color w:val="222222"/>
        </w:rPr>
      </w:pPr>
    </w:p>
    <w:sectPr w:rsidR="00DE6D76" w:rsidRPr="00377E75" w:rsidSect="00B5335B">
      <w:headerReference w:type="default" r:id="rId8"/>
      <w:footnotePr>
        <w:pos w:val="beneathText"/>
      </w:footnotePr>
      <w:endnotePr>
        <w:numFmt w:val="chicago"/>
        <w:numStart w:val="4"/>
      </w:endnotePr>
      <w:pgSz w:w="11907" w:h="16840"/>
      <w:pgMar w:top="2268" w:right="1418" w:bottom="1531"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FBD7E" w14:textId="77777777" w:rsidR="00CB05EB" w:rsidRDefault="00CB05EB">
      <w:r>
        <w:separator/>
      </w:r>
    </w:p>
  </w:endnote>
  <w:endnote w:type="continuationSeparator" w:id="0">
    <w:p w14:paraId="5365B52C" w14:textId="77777777" w:rsidR="00CB05EB" w:rsidRDefault="00CB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6EBE2" w14:textId="77777777" w:rsidR="00CB05EB" w:rsidRPr="00043761" w:rsidRDefault="00CB05EB">
      <w:pPr>
        <w:pStyle w:val="Bulleted"/>
        <w:numPr>
          <w:ilvl w:val="0"/>
          <w:numId w:val="0"/>
        </w:numPr>
        <w:rPr>
          <w:rFonts w:ascii="Sabon" w:hAnsi="Sabon"/>
          <w:color w:val="auto"/>
          <w:szCs w:val="20"/>
        </w:rPr>
      </w:pPr>
      <w:r>
        <w:separator/>
      </w:r>
    </w:p>
  </w:footnote>
  <w:footnote w:type="continuationSeparator" w:id="0">
    <w:p w14:paraId="3595E5DE" w14:textId="77777777" w:rsidR="00CB05EB" w:rsidRDefault="00CB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6CA6E" w14:textId="77777777" w:rsidR="00AD59CF" w:rsidRDefault="00AD59CF"/>
  <w:p w14:paraId="18B09436" w14:textId="77777777" w:rsidR="00AD59CF" w:rsidRDefault="00AD59CF"/>
  <w:p w14:paraId="4932A293" w14:textId="77777777" w:rsidR="00AD59CF" w:rsidRDefault="00AD59CF"/>
  <w:p w14:paraId="3693BBC4" w14:textId="77777777" w:rsidR="00AD59CF" w:rsidRDefault="00AD59CF"/>
  <w:p w14:paraId="5C972A4A" w14:textId="77777777" w:rsidR="00AD59CF" w:rsidRDefault="00AD59CF"/>
  <w:p w14:paraId="2E3E3BCA" w14:textId="77777777" w:rsidR="00AD59CF" w:rsidRDefault="00AD59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D4F8EB72"/>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F71571"/>
    <w:multiLevelType w:val="hybridMultilevel"/>
    <w:tmpl w:val="AFD89112"/>
    <w:lvl w:ilvl="0" w:tplc="5C885C3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06663801"/>
    <w:multiLevelType w:val="hybridMultilevel"/>
    <w:tmpl w:val="4B08F9E0"/>
    <w:lvl w:ilvl="0" w:tplc="932A4E9A">
      <w:start w:val="1"/>
      <w:numFmt w:val="decimal"/>
      <w:lvlText w:val="%1."/>
      <w:lvlJc w:val="left"/>
      <w:pPr>
        <w:ind w:left="1004" w:hanging="360"/>
      </w:pPr>
      <w:rPr>
        <w:rFonts w:ascii="Times New Roman" w:eastAsia="Times New Roman" w:hAnsi="Times New Roman" w:cs="Times New Roman"/>
        <w:color w:val="222222"/>
        <w:sz w:val="22"/>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60ADC"/>
    <w:multiLevelType w:val="multilevel"/>
    <w:tmpl w:val="7DA479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A94518"/>
    <w:multiLevelType w:val="hybridMultilevel"/>
    <w:tmpl w:val="10EC8232"/>
    <w:lvl w:ilvl="0" w:tplc="7504827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22D45456"/>
    <w:multiLevelType w:val="multilevel"/>
    <w:tmpl w:val="3C1A1AFC"/>
    <w:lvl w:ilvl="0">
      <w:start w:val="1"/>
      <w:numFmt w:val="decimal"/>
      <w:lvlText w:val="%1"/>
      <w:lvlJc w:val="left"/>
      <w:pPr>
        <w:ind w:left="450" w:hanging="450"/>
      </w:pPr>
      <w:rPr>
        <w:rFonts w:hint="default"/>
      </w:rPr>
    </w:lvl>
    <w:lvl w:ilvl="1">
      <w:start w:val="600"/>
      <w:numFmt w:val="decimal"/>
      <w:lvlText w:val="%1.%2"/>
      <w:lvlJc w:val="left"/>
      <w:pPr>
        <w:ind w:left="500" w:hanging="45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7" w15:restartNumberingAfterBreak="0">
    <w:nsid w:val="2E5B1406"/>
    <w:multiLevelType w:val="hybridMultilevel"/>
    <w:tmpl w:val="87DA26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9D900E0"/>
    <w:multiLevelType w:val="hybridMultilevel"/>
    <w:tmpl w:val="91969E4A"/>
    <w:lvl w:ilvl="0" w:tplc="3E12BE5E">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15:restartNumberingAfterBreak="0">
    <w:nsid w:val="4FB5198E"/>
    <w:multiLevelType w:val="hybridMultilevel"/>
    <w:tmpl w:val="0B8073BE"/>
    <w:lvl w:ilvl="0" w:tplc="B0BCBCE0">
      <w:start w:val="1"/>
      <w:numFmt w:val="decimal"/>
      <w:lvlText w:val="%1."/>
      <w:lvlJc w:val="left"/>
      <w:pPr>
        <w:ind w:left="1004" w:hanging="360"/>
      </w:pPr>
      <w:rPr>
        <w:rFonts w:ascii="Times New Roman" w:eastAsia="Times New Roman" w:hAnsi="Times New Roman" w:cs="Times New Roman"/>
        <w:color w:val="222222"/>
        <w:sz w:val="22"/>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0" w15:restartNumberingAfterBreak="0">
    <w:nsid w:val="581C78F0"/>
    <w:multiLevelType w:val="hybridMultilevel"/>
    <w:tmpl w:val="0C9E65F6"/>
    <w:lvl w:ilvl="0" w:tplc="B7166F6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15:restartNumberingAfterBreak="0">
    <w:nsid w:val="5AC62B4B"/>
    <w:multiLevelType w:val="hybridMultilevel"/>
    <w:tmpl w:val="3D7E5B9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224081"/>
    <w:multiLevelType w:val="hybridMultilevel"/>
    <w:tmpl w:val="1B28550E"/>
    <w:lvl w:ilvl="0" w:tplc="86C0E0E0">
      <w:start w:val="1"/>
      <w:numFmt w:val="decimal"/>
      <w:lvlText w:val="%1."/>
      <w:lvlJc w:val="left"/>
      <w:pPr>
        <w:ind w:left="1004" w:hanging="360"/>
      </w:pPr>
      <w:rPr>
        <w:rFonts w:ascii="Times New Roman" w:eastAsia="Times New Roman" w:hAnsi="Times New Roman" w:cs="Times New Roman"/>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4" w15:restartNumberingAfterBreak="0">
    <w:nsid w:val="6C431AFB"/>
    <w:multiLevelType w:val="multilevel"/>
    <w:tmpl w:val="6D560EC4"/>
    <w:lvl w:ilvl="0">
      <w:start w:val="2"/>
      <w:numFmt w:val="decimal"/>
      <w:lvlText w:val="%1"/>
      <w:lvlJc w:val="left"/>
      <w:pPr>
        <w:ind w:left="360" w:hanging="360"/>
      </w:pPr>
      <w:rPr>
        <w:rFonts w:hint="default"/>
        <w:i/>
      </w:rPr>
    </w:lvl>
    <w:lvl w:ilvl="1">
      <w:start w:val="2"/>
      <w:numFmt w:val="decimal"/>
      <w:lvlText w:val="%1.%2"/>
      <w:lvlJc w:val="left"/>
      <w:pPr>
        <w:ind w:left="502" w:hanging="360"/>
      </w:pPr>
      <w:rPr>
        <w:rFonts w:hint="default"/>
        <w:i/>
      </w:rPr>
    </w:lvl>
    <w:lvl w:ilvl="2">
      <w:start w:val="1"/>
      <w:numFmt w:val="decimal"/>
      <w:lvlText w:val="%1.%2.%3"/>
      <w:lvlJc w:val="left"/>
      <w:pPr>
        <w:ind w:left="1004" w:hanging="720"/>
      </w:pPr>
      <w:rPr>
        <w:rFonts w:hint="default"/>
        <w:i/>
      </w:rPr>
    </w:lvl>
    <w:lvl w:ilvl="3">
      <w:start w:val="1"/>
      <w:numFmt w:val="decimal"/>
      <w:lvlText w:val="%1.%2.%3.%4"/>
      <w:lvlJc w:val="left"/>
      <w:pPr>
        <w:ind w:left="1146" w:hanging="720"/>
      </w:pPr>
      <w:rPr>
        <w:rFonts w:hint="default"/>
        <w:i/>
      </w:rPr>
    </w:lvl>
    <w:lvl w:ilvl="4">
      <w:start w:val="1"/>
      <w:numFmt w:val="decimal"/>
      <w:lvlText w:val="%1.%2.%3.%4.%5"/>
      <w:lvlJc w:val="left"/>
      <w:pPr>
        <w:ind w:left="1648" w:hanging="1080"/>
      </w:pPr>
      <w:rPr>
        <w:rFonts w:hint="default"/>
        <w:i/>
      </w:rPr>
    </w:lvl>
    <w:lvl w:ilvl="5">
      <w:start w:val="1"/>
      <w:numFmt w:val="decimal"/>
      <w:lvlText w:val="%1.%2.%3.%4.%5.%6"/>
      <w:lvlJc w:val="left"/>
      <w:pPr>
        <w:ind w:left="1790" w:hanging="1080"/>
      </w:pPr>
      <w:rPr>
        <w:rFonts w:hint="default"/>
        <w:i/>
      </w:rPr>
    </w:lvl>
    <w:lvl w:ilvl="6">
      <w:start w:val="1"/>
      <w:numFmt w:val="decimal"/>
      <w:lvlText w:val="%1.%2.%3.%4.%5.%6.%7"/>
      <w:lvlJc w:val="left"/>
      <w:pPr>
        <w:ind w:left="2292" w:hanging="1440"/>
      </w:pPr>
      <w:rPr>
        <w:rFonts w:hint="default"/>
        <w:i/>
      </w:rPr>
    </w:lvl>
    <w:lvl w:ilvl="7">
      <w:start w:val="1"/>
      <w:numFmt w:val="decimal"/>
      <w:lvlText w:val="%1.%2.%3.%4.%5.%6.%7.%8"/>
      <w:lvlJc w:val="left"/>
      <w:pPr>
        <w:ind w:left="2434" w:hanging="1440"/>
      </w:pPr>
      <w:rPr>
        <w:rFonts w:hint="default"/>
        <w:i/>
      </w:rPr>
    </w:lvl>
    <w:lvl w:ilvl="8">
      <w:start w:val="1"/>
      <w:numFmt w:val="decimal"/>
      <w:lvlText w:val="%1.%2.%3.%4.%5.%6.%7.%8.%9"/>
      <w:lvlJc w:val="left"/>
      <w:pPr>
        <w:ind w:left="2576" w:hanging="1440"/>
      </w:pPr>
      <w:rPr>
        <w:rFonts w:hint="default"/>
        <w:i/>
      </w:rPr>
    </w:lvl>
  </w:abstractNum>
  <w:abstractNum w:abstractNumId="15" w15:restartNumberingAfterBreak="0">
    <w:nsid w:val="6FB53490"/>
    <w:multiLevelType w:val="hybridMultilevel"/>
    <w:tmpl w:val="C41AB3D2"/>
    <w:lvl w:ilvl="0" w:tplc="20E66122">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6"/>
  </w:num>
  <w:num w:numId="2">
    <w:abstractNumId w:val="3"/>
  </w:num>
  <w:num w:numId="3">
    <w:abstractNumId w:val="0"/>
  </w:num>
  <w:num w:numId="4">
    <w:abstractNumId w:val="12"/>
  </w:num>
  <w:num w:numId="5">
    <w:abstractNumId w:val="14"/>
  </w:num>
  <w:num w:numId="6">
    <w:abstractNumId w:val="4"/>
  </w:num>
  <w:num w:numId="7">
    <w:abstractNumId w:val="7"/>
  </w:num>
  <w:num w:numId="8">
    <w:abstractNumId w:val="10"/>
  </w:num>
  <w:num w:numId="9">
    <w:abstractNumId w:val="11"/>
  </w:num>
  <w:num w:numId="10">
    <w:abstractNumId w:val="1"/>
  </w:num>
  <w:num w:numId="11">
    <w:abstractNumId w:val="8"/>
  </w:num>
  <w:num w:numId="12">
    <w:abstractNumId w:val="2"/>
  </w:num>
  <w:num w:numId="13">
    <w:abstractNumId w:val="13"/>
  </w:num>
  <w:num w:numId="14">
    <w:abstractNumId w:val="15"/>
  </w:num>
  <w:num w:numId="15">
    <w:abstractNumId w:val="9"/>
  </w:num>
  <w:num w:numId="16">
    <w:abstractNumId w:val="6"/>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QwMzI2MbOwtDA3NzdW0lEKTi0uzszPAykwrwUAILzR/ywAAAA="/>
  </w:docVars>
  <w:rsids>
    <w:rsidRoot w:val="00EF6BE4"/>
    <w:rsid w:val="00006EA6"/>
    <w:rsid w:val="000F1EB8"/>
    <w:rsid w:val="001335E7"/>
    <w:rsid w:val="001E6F13"/>
    <w:rsid w:val="00217A99"/>
    <w:rsid w:val="002206A4"/>
    <w:rsid w:val="002712B1"/>
    <w:rsid w:val="002F4BBD"/>
    <w:rsid w:val="003071E7"/>
    <w:rsid w:val="003751EB"/>
    <w:rsid w:val="00377E75"/>
    <w:rsid w:val="003C5FA6"/>
    <w:rsid w:val="00470218"/>
    <w:rsid w:val="004B7184"/>
    <w:rsid w:val="004F330F"/>
    <w:rsid w:val="00513B03"/>
    <w:rsid w:val="005158FA"/>
    <w:rsid w:val="005262F6"/>
    <w:rsid w:val="005440C5"/>
    <w:rsid w:val="00584EAA"/>
    <w:rsid w:val="005A69B7"/>
    <w:rsid w:val="006307CE"/>
    <w:rsid w:val="00662C19"/>
    <w:rsid w:val="006C1AF1"/>
    <w:rsid w:val="006F45A4"/>
    <w:rsid w:val="00733CB3"/>
    <w:rsid w:val="00784F56"/>
    <w:rsid w:val="007A2882"/>
    <w:rsid w:val="00890A2B"/>
    <w:rsid w:val="00973B5E"/>
    <w:rsid w:val="0098726D"/>
    <w:rsid w:val="009911AC"/>
    <w:rsid w:val="009A0487"/>
    <w:rsid w:val="00AD057B"/>
    <w:rsid w:val="00AD59CF"/>
    <w:rsid w:val="00B05982"/>
    <w:rsid w:val="00B07A46"/>
    <w:rsid w:val="00B11B14"/>
    <w:rsid w:val="00B12653"/>
    <w:rsid w:val="00B34CA2"/>
    <w:rsid w:val="00B5335B"/>
    <w:rsid w:val="00B55676"/>
    <w:rsid w:val="00B577E9"/>
    <w:rsid w:val="00B64135"/>
    <w:rsid w:val="00B83F45"/>
    <w:rsid w:val="00BB7639"/>
    <w:rsid w:val="00BC640E"/>
    <w:rsid w:val="00BE2F77"/>
    <w:rsid w:val="00C53E32"/>
    <w:rsid w:val="00CA2D69"/>
    <w:rsid w:val="00CB05EB"/>
    <w:rsid w:val="00CC4E12"/>
    <w:rsid w:val="00CE578C"/>
    <w:rsid w:val="00CE6A27"/>
    <w:rsid w:val="00D27ED6"/>
    <w:rsid w:val="00DA5F21"/>
    <w:rsid w:val="00DE3C26"/>
    <w:rsid w:val="00DE6D76"/>
    <w:rsid w:val="00E62C2B"/>
    <w:rsid w:val="00EF6BE4"/>
    <w:rsid w:val="00F466CF"/>
    <w:rsid w:val="00FC197E"/>
    <w:rsid w:val="00FF4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9F262"/>
  <w15:docId w15:val="{119BBAF1-DA5C-F74A-A964-B796BD5F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662C19"/>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rsid w:val="00CE6A27"/>
    <w:rPr>
      <w:rFonts w:asciiTheme="minorHAnsi" w:eastAsiaTheme="minorHAnsi" w:hAnsiTheme="minorHAnsi" w:cstheme="minorBidi"/>
      <w:sz w:val="24"/>
      <w:szCs w:val="24"/>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2C2B"/>
    <w:pPr>
      <w:spacing w:after="200"/>
    </w:pPr>
    <w:rPr>
      <w:i/>
      <w:iCs/>
      <w:color w:val="1F497D" w:themeColor="text2"/>
      <w:sz w:val="18"/>
      <w:szCs w:val="18"/>
    </w:rPr>
  </w:style>
  <w:style w:type="paragraph" w:customStyle="1" w:styleId="p0">
    <w:name w:val="p0"/>
    <w:basedOn w:val="Normal"/>
    <w:rsid w:val="000F1EB8"/>
    <w:pPr>
      <w:spacing w:after="200" w:line="273" w:lineRule="auto"/>
    </w:pPr>
    <w:rPr>
      <w:rFonts w:ascii="Calibri" w:hAnsi="Calibri" w:cs="Calibri"/>
      <w:szCs w:val="22"/>
      <w:lang w:val="en-ID" w:eastAsia="en-ID"/>
    </w:rPr>
  </w:style>
  <w:style w:type="paragraph" w:customStyle="1" w:styleId="p15">
    <w:name w:val="p15"/>
    <w:basedOn w:val="Normal"/>
    <w:rsid w:val="000F1EB8"/>
    <w:rPr>
      <w:rFonts w:ascii="Courier New" w:hAnsi="Courier New" w:cs="Courier New"/>
      <w:sz w:val="20"/>
      <w:lang w:val="en-ID" w:eastAsia="en-ID"/>
    </w:rPr>
  </w:style>
  <w:style w:type="paragraph" w:styleId="ListParagraph">
    <w:name w:val="List Paragraph"/>
    <w:basedOn w:val="Normal"/>
    <w:uiPriority w:val="34"/>
    <w:qFormat/>
    <w:rsid w:val="00AD5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9661">
      <w:bodyDiv w:val="1"/>
      <w:marLeft w:val="0"/>
      <w:marRight w:val="0"/>
      <w:marTop w:val="0"/>
      <w:marBottom w:val="0"/>
      <w:divBdr>
        <w:top w:val="none" w:sz="0" w:space="0" w:color="auto"/>
        <w:left w:val="none" w:sz="0" w:space="0" w:color="auto"/>
        <w:bottom w:val="none" w:sz="0" w:space="0" w:color="auto"/>
        <w:right w:val="none" w:sz="0" w:space="0" w:color="auto"/>
      </w:divBdr>
    </w:div>
    <w:div w:id="48844895">
      <w:bodyDiv w:val="1"/>
      <w:marLeft w:val="0"/>
      <w:marRight w:val="0"/>
      <w:marTop w:val="0"/>
      <w:marBottom w:val="0"/>
      <w:divBdr>
        <w:top w:val="none" w:sz="0" w:space="0" w:color="auto"/>
        <w:left w:val="none" w:sz="0" w:space="0" w:color="auto"/>
        <w:bottom w:val="none" w:sz="0" w:space="0" w:color="auto"/>
        <w:right w:val="none" w:sz="0" w:space="0" w:color="auto"/>
      </w:divBdr>
    </w:div>
    <w:div w:id="75564953">
      <w:bodyDiv w:val="1"/>
      <w:marLeft w:val="0"/>
      <w:marRight w:val="0"/>
      <w:marTop w:val="0"/>
      <w:marBottom w:val="0"/>
      <w:divBdr>
        <w:top w:val="none" w:sz="0" w:space="0" w:color="auto"/>
        <w:left w:val="none" w:sz="0" w:space="0" w:color="auto"/>
        <w:bottom w:val="none" w:sz="0" w:space="0" w:color="auto"/>
        <w:right w:val="none" w:sz="0" w:space="0" w:color="auto"/>
      </w:divBdr>
    </w:div>
    <w:div w:id="107745666">
      <w:bodyDiv w:val="1"/>
      <w:marLeft w:val="0"/>
      <w:marRight w:val="0"/>
      <w:marTop w:val="0"/>
      <w:marBottom w:val="0"/>
      <w:divBdr>
        <w:top w:val="none" w:sz="0" w:space="0" w:color="auto"/>
        <w:left w:val="none" w:sz="0" w:space="0" w:color="auto"/>
        <w:bottom w:val="none" w:sz="0" w:space="0" w:color="auto"/>
        <w:right w:val="none" w:sz="0" w:space="0" w:color="auto"/>
      </w:divBdr>
    </w:div>
    <w:div w:id="186454568">
      <w:bodyDiv w:val="1"/>
      <w:marLeft w:val="0"/>
      <w:marRight w:val="0"/>
      <w:marTop w:val="0"/>
      <w:marBottom w:val="0"/>
      <w:divBdr>
        <w:top w:val="none" w:sz="0" w:space="0" w:color="auto"/>
        <w:left w:val="none" w:sz="0" w:space="0" w:color="auto"/>
        <w:bottom w:val="none" w:sz="0" w:space="0" w:color="auto"/>
        <w:right w:val="none" w:sz="0" w:space="0" w:color="auto"/>
      </w:divBdr>
    </w:div>
    <w:div w:id="196087609">
      <w:bodyDiv w:val="1"/>
      <w:marLeft w:val="0"/>
      <w:marRight w:val="0"/>
      <w:marTop w:val="0"/>
      <w:marBottom w:val="0"/>
      <w:divBdr>
        <w:top w:val="none" w:sz="0" w:space="0" w:color="auto"/>
        <w:left w:val="none" w:sz="0" w:space="0" w:color="auto"/>
        <w:bottom w:val="none" w:sz="0" w:space="0" w:color="auto"/>
        <w:right w:val="none" w:sz="0" w:space="0" w:color="auto"/>
      </w:divBdr>
    </w:div>
    <w:div w:id="206457671">
      <w:bodyDiv w:val="1"/>
      <w:marLeft w:val="0"/>
      <w:marRight w:val="0"/>
      <w:marTop w:val="0"/>
      <w:marBottom w:val="0"/>
      <w:divBdr>
        <w:top w:val="none" w:sz="0" w:space="0" w:color="auto"/>
        <w:left w:val="none" w:sz="0" w:space="0" w:color="auto"/>
        <w:bottom w:val="none" w:sz="0" w:space="0" w:color="auto"/>
        <w:right w:val="none" w:sz="0" w:space="0" w:color="auto"/>
      </w:divBdr>
    </w:div>
    <w:div w:id="300355699">
      <w:bodyDiv w:val="1"/>
      <w:marLeft w:val="0"/>
      <w:marRight w:val="0"/>
      <w:marTop w:val="0"/>
      <w:marBottom w:val="0"/>
      <w:divBdr>
        <w:top w:val="none" w:sz="0" w:space="0" w:color="auto"/>
        <w:left w:val="none" w:sz="0" w:space="0" w:color="auto"/>
        <w:bottom w:val="none" w:sz="0" w:space="0" w:color="auto"/>
        <w:right w:val="none" w:sz="0" w:space="0" w:color="auto"/>
      </w:divBdr>
    </w:div>
    <w:div w:id="523136773">
      <w:bodyDiv w:val="1"/>
      <w:marLeft w:val="0"/>
      <w:marRight w:val="0"/>
      <w:marTop w:val="0"/>
      <w:marBottom w:val="0"/>
      <w:divBdr>
        <w:top w:val="none" w:sz="0" w:space="0" w:color="auto"/>
        <w:left w:val="none" w:sz="0" w:space="0" w:color="auto"/>
        <w:bottom w:val="none" w:sz="0" w:space="0" w:color="auto"/>
        <w:right w:val="none" w:sz="0" w:space="0" w:color="auto"/>
      </w:divBdr>
    </w:div>
    <w:div w:id="576551195">
      <w:bodyDiv w:val="1"/>
      <w:marLeft w:val="0"/>
      <w:marRight w:val="0"/>
      <w:marTop w:val="0"/>
      <w:marBottom w:val="0"/>
      <w:divBdr>
        <w:top w:val="none" w:sz="0" w:space="0" w:color="auto"/>
        <w:left w:val="none" w:sz="0" w:space="0" w:color="auto"/>
        <w:bottom w:val="none" w:sz="0" w:space="0" w:color="auto"/>
        <w:right w:val="none" w:sz="0" w:space="0" w:color="auto"/>
      </w:divBdr>
    </w:div>
    <w:div w:id="584144070">
      <w:bodyDiv w:val="1"/>
      <w:marLeft w:val="0"/>
      <w:marRight w:val="0"/>
      <w:marTop w:val="0"/>
      <w:marBottom w:val="0"/>
      <w:divBdr>
        <w:top w:val="none" w:sz="0" w:space="0" w:color="auto"/>
        <w:left w:val="none" w:sz="0" w:space="0" w:color="auto"/>
        <w:bottom w:val="none" w:sz="0" w:space="0" w:color="auto"/>
        <w:right w:val="none" w:sz="0" w:space="0" w:color="auto"/>
      </w:divBdr>
    </w:div>
    <w:div w:id="652368196">
      <w:bodyDiv w:val="1"/>
      <w:marLeft w:val="0"/>
      <w:marRight w:val="0"/>
      <w:marTop w:val="0"/>
      <w:marBottom w:val="0"/>
      <w:divBdr>
        <w:top w:val="none" w:sz="0" w:space="0" w:color="auto"/>
        <w:left w:val="none" w:sz="0" w:space="0" w:color="auto"/>
        <w:bottom w:val="none" w:sz="0" w:space="0" w:color="auto"/>
        <w:right w:val="none" w:sz="0" w:space="0" w:color="auto"/>
      </w:divBdr>
    </w:div>
    <w:div w:id="807480582">
      <w:bodyDiv w:val="1"/>
      <w:marLeft w:val="0"/>
      <w:marRight w:val="0"/>
      <w:marTop w:val="0"/>
      <w:marBottom w:val="0"/>
      <w:divBdr>
        <w:top w:val="none" w:sz="0" w:space="0" w:color="auto"/>
        <w:left w:val="none" w:sz="0" w:space="0" w:color="auto"/>
        <w:bottom w:val="none" w:sz="0" w:space="0" w:color="auto"/>
        <w:right w:val="none" w:sz="0" w:space="0" w:color="auto"/>
      </w:divBdr>
    </w:div>
    <w:div w:id="824204074">
      <w:bodyDiv w:val="1"/>
      <w:marLeft w:val="0"/>
      <w:marRight w:val="0"/>
      <w:marTop w:val="0"/>
      <w:marBottom w:val="0"/>
      <w:divBdr>
        <w:top w:val="none" w:sz="0" w:space="0" w:color="auto"/>
        <w:left w:val="none" w:sz="0" w:space="0" w:color="auto"/>
        <w:bottom w:val="none" w:sz="0" w:space="0" w:color="auto"/>
        <w:right w:val="none" w:sz="0" w:space="0" w:color="auto"/>
      </w:divBdr>
    </w:div>
    <w:div w:id="908074124">
      <w:bodyDiv w:val="1"/>
      <w:marLeft w:val="0"/>
      <w:marRight w:val="0"/>
      <w:marTop w:val="0"/>
      <w:marBottom w:val="0"/>
      <w:divBdr>
        <w:top w:val="none" w:sz="0" w:space="0" w:color="auto"/>
        <w:left w:val="none" w:sz="0" w:space="0" w:color="auto"/>
        <w:bottom w:val="none" w:sz="0" w:space="0" w:color="auto"/>
        <w:right w:val="none" w:sz="0" w:space="0" w:color="auto"/>
      </w:divBdr>
    </w:div>
    <w:div w:id="922496533">
      <w:bodyDiv w:val="1"/>
      <w:marLeft w:val="0"/>
      <w:marRight w:val="0"/>
      <w:marTop w:val="0"/>
      <w:marBottom w:val="0"/>
      <w:divBdr>
        <w:top w:val="none" w:sz="0" w:space="0" w:color="auto"/>
        <w:left w:val="none" w:sz="0" w:space="0" w:color="auto"/>
        <w:bottom w:val="none" w:sz="0" w:space="0" w:color="auto"/>
        <w:right w:val="none" w:sz="0" w:space="0" w:color="auto"/>
      </w:divBdr>
    </w:div>
    <w:div w:id="1073968063">
      <w:bodyDiv w:val="1"/>
      <w:marLeft w:val="0"/>
      <w:marRight w:val="0"/>
      <w:marTop w:val="0"/>
      <w:marBottom w:val="0"/>
      <w:divBdr>
        <w:top w:val="none" w:sz="0" w:space="0" w:color="auto"/>
        <w:left w:val="none" w:sz="0" w:space="0" w:color="auto"/>
        <w:bottom w:val="none" w:sz="0" w:space="0" w:color="auto"/>
        <w:right w:val="none" w:sz="0" w:space="0" w:color="auto"/>
      </w:divBdr>
    </w:div>
    <w:div w:id="1080443328">
      <w:bodyDiv w:val="1"/>
      <w:marLeft w:val="0"/>
      <w:marRight w:val="0"/>
      <w:marTop w:val="0"/>
      <w:marBottom w:val="0"/>
      <w:divBdr>
        <w:top w:val="none" w:sz="0" w:space="0" w:color="auto"/>
        <w:left w:val="none" w:sz="0" w:space="0" w:color="auto"/>
        <w:bottom w:val="none" w:sz="0" w:space="0" w:color="auto"/>
        <w:right w:val="none" w:sz="0" w:space="0" w:color="auto"/>
      </w:divBdr>
    </w:div>
    <w:div w:id="1205873439">
      <w:bodyDiv w:val="1"/>
      <w:marLeft w:val="0"/>
      <w:marRight w:val="0"/>
      <w:marTop w:val="0"/>
      <w:marBottom w:val="0"/>
      <w:divBdr>
        <w:top w:val="none" w:sz="0" w:space="0" w:color="auto"/>
        <w:left w:val="none" w:sz="0" w:space="0" w:color="auto"/>
        <w:bottom w:val="none" w:sz="0" w:space="0" w:color="auto"/>
        <w:right w:val="none" w:sz="0" w:space="0" w:color="auto"/>
      </w:divBdr>
    </w:div>
    <w:div w:id="1210147939">
      <w:bodyDiv w:val="1"/>
      <w:marLeft w:val="0"/>
      <w:marRight w:val="0"/>
      <w:marTop w:val="0"/>
      <w:marBottom w:val="0"/>
      <w:divBdr>
        <w:top w:val="none" w:sz="0" w:space="0" w:color="auto"/>
        <w:left w:val="none" w:sz="0" w:space="0" w:color="auto"/>
        <w:bottom w:val="none" w:sz="0" w:space="0" w:color="auto"/>
        <w:right w:val="none" w:sz="0" w:space="0" w:color="auto"/>
      </w:divBdr>
    </w:div>
    <w:div w:id="1247416634">
      <w:bodyDiv w:val="1"/>
      <w:marLeft w:val="0"/>
      <w:marRight w:val="0"/>
      <w:marTop w:val="0"/>
      <w:marBottom w:val="0"/>
      <w:divBdr>
        <w:top w:val="none" w:sz="0" w:space="0" w:color="auto"/>
        <w:left w:val="none" w:sz="0" w:space="0" w:color="auto"/>
        <w:bottom w:val="none" w:sz="0" w:space="0" w:color="auto"/>
        <w:right w:val="none" w:sz="0" w:space="0" w:color="auto"/>
      </w:divBdr>
    </w:div>
    <w:div w:id="1284577551">
      <w:bodyDiv w:val="1"/>
      <w:marLeft w:val="0"/>
      <w:marRight w:val="0"/>
      <w:marTop w:val="0"/>
      <w:marBottom w:val="0"/>
      <w:divBdr>
        <w:top w:val="none" w:sz="0" w:space="0" w:color="auto"/>
        <w:left w:val="none" w:sz="0" w:space="0" w:color="auto"/>
        <w:bottom w:val="none" w:sz="0" w:space="0" w:color="auto"/>
        <w:right w:val="none" w:sz="0" w:space="0" w:color="auto"/>
      </w:divBdr>
    </w:div>
    <w:div w:id="1326477519">
      <w:bodyDiv w:val="1"/>
      <w:marLeft w:val="0"/>
      <w:marRight w:val="0"/>
      <w:marTop w:val="0"/>
      <w:marBottom w:val="0"/>
      <w:divBdr>
        <w:top w:val="none" w:sz="0" w:space="0" w:color="auto"/>
        <w:left w:val="none" w:sz="0" w:space="0" w:color="auto"/>
        <w:bottom w:val="none" w:sz="0" w:space="0" w:color="auto"/>
        <w:right w:val="none" w:sz="0" w:space="0" w:color="auto"/>
      </w:divBdr>
    </w:div>
    <w:div w:id="1404525833">
      <w:bodyDiv w:val="1"/>
      <w:marLeft w:val="0"/>
      <w:marRight w:val="0"/>
      <w:marTop w:val="0"/>
      <w:marBottom w:val="0"/>
      <w:divBdr>
        <w:top w:val="none" w:sz="0" w:space="0" w:color="auto"/>
        <w:left w:val="none" w:sz="0" w:space="0" w:color="auto"/>
        <w:bottom w:val="none" w:sz="0" w:space="0" w:color="auto"/>
        <w:right w:val="none" w:sz="0" w:space="0" w:color="auto"/>
      </w:divBdr>
    </w:div>
    <w:div w:id="1435829454">
      <w:bodyDiv w:val="1"/>
      <w:marLeft w:val="0"/>
      <w:marRight w:val="0"/>
      <w:marTop w:val="0"/>
      <w:marBottom w:val="0"/>
      <w:divBdr>
        <w:top w:val="none" w:sz="0" w:space="0" w:color="auto"/>
        <w:left w:val="none" w:sz="0" w:space="0" w:color="auto"/>
        <w:bottom w:val="none" w:sz="0" w:space="0" w:color="auto"/>
        <w:right w:val="none" w:sz="0" w:space="0" w:color="auto"/>
      </w:divBdr>
    </w:div>
    <w:div w:id="1473061365">
      <w:bodyDiv w:val="1"/>
      <w:marLeft w:val="0"/>
      <w:marRight w:val="0"/>
      <w:marTop w:val="0"/>
      <w:marBottom w:val="0"/>
      <w:divBdr>
        <w:top w:val="none" w:sz="0" w:space="0" w:color="auto"/>
        <w:left w:val="none" w:sz="0" w:space="0" w:color="auto"/>
        <w:bottom w:val="none" w:sz="0" w:space="0" w:color="auto"/>
        <w:right w:val="none" w:sz="0" w:space="0" w:color="auto"/>
      </w:divBdr>
    </w:div>
    <w:div w:id="1788353292">
      <w:bodyDiv w:val="1"/>
      <w:marLeft w:val="0"/>
      <w:marRight w:val="0"/>
      <w:marTop w:val="0"/>
      <w:marBottom w:val="0"/>
      <w:divBdr>
        <w:top w:val="none" w:sz="0" w:space="0" w:color="auto"/>
        <w:left w:val="none" w:sz="0" w:space="0" w:color="auto"/>
        <w:bottom w:val="none" w:sz="0" w:space="0" w:color="auto"/>
        <w:right w:val="none" w:sz="0" w:space="0" w:color="auto"/>
      </w:divBdr>
    </w:div>
    <w:div w:id="1819877274">
      <w:bodyDiv w:val="1"/>
      <w:marLeft w:val="0"/>
      <w:marRight w:val="0"/>
      <w:marTop w:val="0"/>
      <w:marBottom w:val="0"/>
      <w:divBdr>
        <w:top w:val="none" w:sz="0" w:space="0" w:color="auto"/>
        <w:left w:val="none" w:sz="0" w:space="0" w:color="auto"/>
        <w:bottom w:val="none" w:sz="0" w:space="0" w:color="auto"/>
        <w:right w:val="none" w:sz="0" w:space="0" w:color="auto"/>
      </w:divBdr>
    </w:div>
    <w:div w:id="1848016610">
      <w:bodyDiv w:val="1"/>
      <w:marLeft w:val="0"/>
      <w:marRight w:val="0"/>
      <w:marTop w:val="0"/>
      <w:marBottom w:val="0"/>
      <w:divBdr>
        <w:top w:val="none" w:sz="0" w:space="0" w:color="auto"/>
        <w:left w:val="none" w:sz="0" w:space="0" w:color="auto"/>
        <w:bottom w:val="none" w:sz="0" w:space="0" w:color="auto"/>
        <w:right w:val="none" w:sz="0" w:space="0" w:color="auto"/>
      </w:divBdr>
    </w:div>
    <w:div w:id="1932932661">
      <w:bodyDiv w:val="1"/>
      <w:marLeft w:val="0"/>
      <w:marRight w:val="0"/>
      <w:marTop w:val="0"/>
      <w:marBottom w:val="0"/>
      <w:divBdr>
        <w:top w:val="none" w:sz="0" w:space="0" w:color="auto"/>
        <w:left w:val="none" w:sz="0" w:space="0" w:color="auto"/>
        <w:bottom w:val="none" w:sz="0" w:space="0" w:color="auto"/>
        <w:right w:val="none" w:sz="0" w:space="0" w:color="auto"/>
      </w:divBdr>
    </w:div>
    <w:div w:id="211825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11</TotalTime>
  <Pages>7</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indra dwi febryanto</cp:lastModifiedBy>
  <cp:revision>3</cp:revision>
  <cp:lastPrinted>2005-02-25T09:52:00Z</cp:lastPrinted>
  <dcterms:created xsi:type="dcterms:W3CDTF">2020-12-13T12:42:00Z</dcterms:created>
  <dcterms:modified xsi:type="dcterms:W3CDTF">2020-12-13T12:56:00Z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6430a34f-d08c-36f1-9cb8-c9abd6c681e2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