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E864E" w14:textId="3A0B7376" w:rsidR="001732B7" w:rsidRPr="006624CF" w:rsidRDefault="004502C3" w:rsidP="001732B7">
      <w:pPr>
        <w:pStyle w:val="Title"/>
      </w:pPr>
      <w:r>
        <w:t>P</w:t>
      </w:r>
      <w:r w:rsidR="00265048">
        <w:t xml:space="preserve">reheat </w:t>
      </w:r>
      <w:r>
        <w:t>T</w:t>
      </w:r>
      <w:r w:rsidR="00265048">
        <w:t xml:space="preserve">emperature </w:t>
      </w:r>
      <w:r>
        <w:t xml:space="preserve">Effect </w:t>
      </w:r>
      <w:r w:rsidR="00265048">
        <w:t xml:space="preserve">on welding </w:t>
      </w:r>
      <w:r>
        <w:t>Repair Process on T</w:t>
      </w:r>
      <w:r w:rsidR="00265048">
        <w:t xml:space="preserve">ruck </w:t>
      </w:r>
      <w:r>
        <w:t>F</w:t>
      </w:r>
      <w:r w:rsidR="00265048">
        <w:t xml:space="preserve">rame </w:t>
      </w:r>
      <w:r>
        <w:t xml:space="preserve">by </w:t>
      </w:r>
      <w:r w:rsidR="00265048">
        <w:t>using FCAW technique</w:t>
      </w:r>
    </w:p>
    <w:p w14:paraId="23533975" w14:textId="6CC8583E" w:rsidR="000552D4" w:rsidRPr="000552D4" w:rsidRDefault="000552D4" w:rsidP="00265048">
      <w:pPr>
        <w:pStyle w:val="Authors"/>
        <w:ind w:firstLine="0"/>
      </w:pPr>
    </w:p>
    <w:p w14:paraId="14A971CE" w14:textId="3AB309D8" w:rsidR="00C6451F" w:rsidRDefault="00265048" w:rsidP="00C6451F">
      <w:pPr>
        <w:pStyle w:val="Authors"/>
        <w:ind w:left="1418" w:firstLine="0"/>
        <w:rPr>
          <w:rStyle w:val="Monospaced"/>
          <w:rFonts w:ascii="Times New Roman" w:hAnsi="Times New Roman"/>
        </w:rPr>
      </w:pPr>
      <w:proofErr w:type="spellStart"/>
      <w:r>
        <w:t>Tumianto</w:t>
      </w:r>
      <w:proofErr w:type="spellEnd"/>
      <w:r w:rsidR="0068484C">
        <w:rPr>
          <w:rStyle w:val="FootnoteReference"/>
        </w:rPr>
        <w:footnoteReference w:id="1"/>
      </w:r>
      <w:r w:rsidR="00CE4161" w:rsidRPr="004B01A1">
        <w:t>,</w:t>
      </w:r>
      <w:r w:rsidR="00F73594" w:rsidRPr="004B01A1">
        <w:t xml:space="preserve"> </w:t>
      </w:r>
      <w:r w:rsidR="00FC39BE" w:rsidRPr="004B01A1">
        <w:t>Muhammad Al-</w:t>
      </w:r>
      <w:proofErr w:type="spellStart"/>
      <w:r w:rsidR="00FC39BE" w:rsidRPr="004B01A1">
        <w:t>Hapis</w:t>
      </w:r>
      <w:proofErr w:type="spellEnd"/>
      <w:r w:rsidR="00FC39BE" w:rsidRPr="004B01A1">
        <w:t xml:space="preserve"> Abdul Razak</w:t>
      </w:r>
      <w:r w:rsidR="0068484C">
        <w:rPr>
          <w:rStyle w:val="FootnoteReference"/>
        </w:rPr>
        <w:footnoteReference w:id="2"/>
      </w:r>
      <w:r w:rsidR="00CE4161" w:rsidRPr="004B01A1">
        <w:t>,</w:t>
      </w:r>
      <w:r w:rsidR="00CE4161" w:rsidRPr="004B01A1">
        <w:rPr>
          <w:vertAlign w:val="superscript"/>
        </w:rPr>
        <w:t xml:space="preserve"> </w:t>
      </w:r>
      <w:r w:rsidR="00CE4161" w:rsidRPr="004B01A1">
        <w:t>Azmi Hassan</w:t>
      </w:r>
      <w:r w:rsidR="0068484C">
        <w:rPr>
          <w:rStyle w:val="FootnoteReference"/>
        </w:rPr>
        <w:footnoteReference w:id="3"/>
      </w:r>
      <w:r w:rsidR="00CE4161" w:rsidRPr="004B01A1">
        <w:t>,</w:t>
      </w:r>
      <w:r w:rsidR="00FC39BE" w:rsidRPr="004B01A1">
        <w:t xml:space="preserve"> </w:t>
      </w:r>
      <w:r w:rsidR="00CE4161" w:rsidRPr="004B01A1">
        <w:t xml:space="preserve">Surya </w:t>
      </w:r>
      <w:proofErr w:type="spellStart"/>
      <w:r w:rsidR="00CE4161" w:rsidRPr="004B01A1">
        <w:t>Atmadyaya</w:t>
      </w:r>
      <w:proofErr w:type="spellEnd"/>
      <w:r w:rsidR="0068484C">
        <w:rPr>
          <w:rStyle w:val="FootnoteReference"/>
        </w:rPr>
        <w:footnoteReference w:id="4"/>
      </w:r>
      <w:r w:rsidR="00CE4161" w:rsidRPr="004B01A1">
        <w:t>,</w:t>
      </w:r>
      <w:r w:rsidR="00FC39BE" w:rsidRPr="004B01A1">
        <w:t xml:space="preserve"> </w:t>
      </w:r>
      <w:proofErr w:type="spellStart"/>
      <w:r>
        <w:t>Iwan</w:t>
      </w:r>
      <w:proofErr w:type="spellEnd"/>
      <w:r>
        <w:t xml:space="preserve"> Susanto</w:t>
      </w:r>
      <w:r w:rsidR="0068484C">
        <w:rPr>
          <w:rStyle w:val="FootnoteReference"/>
        </w:rPr>
        <w:footnoteReference w:id="5"/>
      </w:r>
    </w:p>
    <w:p w14:paraId="3C192D27" w14:textId="1CAD33D4" w:rsidR="00C6451F" w:rsidRPr="00C6451F" w:rsidRDefault="00C6451F" w:rsidP="00C6451F">
      <w:pPr>
        <w:pStyle w:val="Institute"/>
        <w:ind w:left="1418" w:firstLine="22"/>
        <w:rPr>
          <w:rStyle w:val="Monospaced"/>
          <w:rFonts w:ascii="Times New Roman" w:hAnsi="Times New Roman"/>
        </w:rPr>
      </w:pPr>
      <w:r w:rsidRPr="00C6451F">
        <w:rPr>
          <w:rStyle w:val="Monospaced"/>
          <w:rFonts w:ascii="Times New Roman" w:hAnsi="Times New Roman"/>
        </w:rPr>
        <w:t xml:space="preserve">Manufacturing Section, </w:t>
      </w:r>
      <w:proofErr w:type="spellStart"/>
      <w:r w:rsidRPr="00C6451F">
        <w:rPr>
          <w:rStyle w:val="Monospaced"/>
          <w:rFonts w:ascii="Times New Roman" w:hAnsi="Times New Roman"/>
        </w:rPr>
        <w:t>Universiti</w:t>
      </w:r>
      <w:proofErr w:type="spellEnd"/>
      <w:r w:rsidRPr="00C6451F">
        <w:rPr>
          <w:rStyle w:val="Monospaced"/>
          <w:rFonts w:ascii="Times New Roman" w:hAnsi="Times New Roman"/>
        </w:rPr>
        <w:t xml:space="preserve"> Kuala Lumpur Malaysian Spanish Institute, Kulim Hi-Tech Park, Malaysia.</w:t>
      </w:r>
    </w:p>
    <w:p w14:paraId="2CE5F7E7" w14:textId="77777777" w:rsidR="00C6451F" w:rsidRPr="00C6451F" w:rsidRDefault="00C6451F" w:rsidP="00C6451F">
      <w:pPr>
        <w:pStyle w:val="Institute"/>
        <w:rPr>
          <w:rStyle w:val="Monospaced"/>
          <w:rFonts w:ascii="Times New Roman" w:hAnsi="Times New Roman"/>
        </w:rPr>
      </w:pPr>
    </w:p>
    <w:p w14:paraId="0D641E61" w14:textId="0616FB4A" w:rsidR="00C6451F" w:rsidRPr="00C6451F" w:rsidRDefault="00C6451F" w:rsidP="00C6451F">
      <w:pPr>
        <w:pStyle w:val="Institute"/>
        <w:ind w:left="1418" w:firstLine="0"/>
        <w:rPr>
          <w:rStyle w:val="Monospaced"/>
          <w:rFonts w:ascii="Times New Roman" w:hAnsi="Times New Roman"/>
        </w:rPr>
      </w:pPr>
      <w:r w:rsidRPr="00C6451F">
        <w:rPr>
          <w:rStyle w:val="Monospaced"/>
          <w:rFonts w:ascii="Times New Roman" w:hAnsi="Times New Roman"/>
        </w:rPr>
        <w:t xml:space="preserve">Electrical, Electronics and Automation Section, </w:t>
      </w:r>
      <w:proofErr w:type="spellStart"/>
      <w:r w:rsidRPr="00C6451F">
        <w:rPr>
          <w:rStyle w:val="Monospaced"/>
          <w:rFonts w:ascii="Times New Roman" w:hAnsi="Times New Roman"/>
        </w:rPr>
        <w:t>Universiti</w:t>
      </w:r>
      <w:proofErr w:type="spellEnd"/>
      <w:r w:rsidRPr="00C6451F">
        <w:rPr>
          <w:rStyle w:val="Monospaced"/>
          <w:rFonts w:ascii="Times New Roman" w:hAnsi="Times New Roman"/>
        </w:rPr>
        <w:t xml:space="preserve"> Kuala Lumpur Malaysian Spanish Institute, Kulim Hi-</w:t>
      </w:r>
      <w:proofErr w:type="gramStart"/>
      <w:r w:rsidRPr="00C6451F">
        <w:rPr>
          <w:rStyle w:val="Monospaced"/>
          <w:rFonts w:ascii="Times New Roman" w:hAnsi="Times New Roman"/>
        </w:rPr>
        <w:t>Tech  Park</w:t>
      </w:r>
      <w:proofErr w:type="gramEnd"/>
      <w:r w:rsidRPr="00C6451F">
        <w:rPr>
          <w:rStyle w:val="Monospaced"/>
          <w:rFonts w:ascii="Times New Roman" w:hAnsi="Times New Roman"/>
        </w:rPr>
        <w:t>, 09000 Kulim, Kedah, Malaysia.</w:t>
      </w:r>
    </w:p>
    <w:p w14:paraId="54EE3153" w14:textId="77777777" w:rsidR="00C6451F" w:rsidRPr="00C6451F" w:rsidRDefault="00C6451F" w:rsidP="00C6451F">
      <w:pPr>
        <w:pStyle w:val="Institute"/>
        <w:rPr>
          <w:rStyle w:val="Monospaced"/>
          <w:rFonts w:ascii="Times New Roman" w:hAnsi="Times New Roman"/>
        </w:rPr>
      </w:pPr>
    </w:p>
    <w:p w14:paraId="50E71EEF" w14:textId="77777777" w:rsidR="00C6451F" w:rsidRPr="00C6451F" w:rsidRDefault="00C6451F" w:rsidP="00C6451F">
      <w:pPr>
        <w:pStyle w:val="Institute"/>
        <w:rPr>
          <w:rStyle w:val="Monospaced"/>
          <w:rFonts w:ascii="Times New Roman" w:hAnsi="Times New Roman"/>
        </w:rPr>
      </w:pPr>
      <w:r w:rsidRPr="00C6451F">
        <w:rPr>
          <w:rStyle w:val="Monospaced"/>
          <w:rFonts w:ascii="Times New Roman" w:hAnsi="Times New Roman"/>
        </w:rPr>
        <w:t xml:space="preserve">* </w:t>
      </w:r>
      <w:proofErr w:type="spellStart"/>
      <w:r w:rsidRPr="00C6451F">
        <w:rPr>
          <w:rStyle w:val="Monospaced"/>
          <w:rFonts w:ascii="Times New Roman" w:hAnsi="Times New Roman"/>
        </w:rPr>
        <w:t>Tumianto</w:t>
      </w:r>
      <w:proofErr w:type="spellEnd"/>
    </w:p>
    <w:p w14:paraId="4D9A923C" w14:textId="77777777" w:rsidR="00C6451F" w:rsidRPr="00C6451F" w:rsidRDefault="00C6451F" w:rsidP="00C6451F">
      <w:pPr>
        <w:pStyle w:val="Institute"/>
        <w:rPr>
          <w:rStyle w:val="Monospaced"/>
          <w:rFonts w:ascii="Times New Roman" w:hAnsi="Times New Roman"/>
        </w:rPr>
      </w:pPr>
      <w:r w:rsidRPr="00C6451F">
        <w:rPr>
          <w:rStyle w:val="Monospaced"/>
          <w:rFonts w:ascii="Times New Roman" w:hAnsi="Times New Roman"/>
        </w:rPr>
        <w:t>Email: tumianto@s.unikl.edu.my</w:t>
      </w:r>
    </w:p>
    <w:p w14:paraId="3DE8F8B7" w14:textId="77777777" w:rsidR="00C6451F" w:rsidRPr="00C6451F" w:rsidRDefault="00C6451F" w:rsidP="00C6451F">
      <w:pPr>
        <w:pStyle w:val="Institute"/>
        <w:rPr>
          <w:rStyle w:val="Monospaced"/>
          <w:rFonts w:ascii="Times New Roman" w:hAnsi="Times New Roman"/>
        </w:rPr>
      </w:pPr>
    </w:p>
    <w:p w14:paraId="2D9A540E" w14:textId="77777777" w:rsidR="00C6451F" w:rsidRPr="00C6451F" w:rsidRDefault="00C6451F" w:rsidP="00C6451F">
      <w:pPr>
        <w:pStyle w:val="Institute"/>
        <w:rPr>
          <w:rStyle w:val="Monospaced"/>
          <w:rFonts w:ascii="Times New Roman" w:hAnsi="Times New Roman"/>
        </w:rPr>
      </w:pPr>
      <w:r w:rsidRPr="00C6451F">
        <w:rPr>
          <w:rStyle w:val="Monospaced"/>
          <w:rFonts w:ascii="Times New Roman" w:hAnsi="Times New Roman"/>
        </w:rPr>
        <w:t>Muhammad Al-</w:t>
      </w:r>
      <w:proofErr w:type="spellStart"/>
      <w:r w:rsidRPr="00C6451F">
        <w:rPr>
          <w:rStyle w:val="Monospaced"/>
          <w:rFonts w:ascii="Times New Roman" w:hAnsi="Times New Roman"/>
        </w:rPr>
        <w:t>Hapis</w:t>
      </w:r>
      <w:proofErr w:type="spellEnd"/>
      <w:r w:rsidRPr="00C6451F">
        <w:rPr>
          <w:rStyle w:val="Monospaced"/>
          <w:rFonts w:ascii="Times New Roman" w:hAnsi="Times New Roman"/>
        </w:rPr>
        <w:t xml:space="preserve"> Abdul Razak</w:t>
      </w:r>
    </w:p>
    <w:p w14:paraId="1497732E" w14:textId="77777777" w:rsidR="00C6451F" w:rsidRPr="00C6451F" w:rsidRDefault="00C6451F" w:rsidP="00C6451F">
      <w:pPr>
        <w:pStyle w:val="Institute"/>
        <w:rPr>
          <w:rStyle w:val="Monospaced"/>
          <w:rFonts w:ascii="Times New Roman" w:hAnsi="Times New Roman"/>
        </w:rPr>
      </w:pPr>
      <w:r w:rsidRPr="00C6451F">
        <w:rPr>
          <w:rStyle w:val="Monospaced"/>
          <w:rFonts w:ascii="Times New Roman" w:hAnsi="Times New Roman"/>
        </w:rPr>
        <w:t>Email: alhapis@unikl.edu.my</w:t>
      </w:r>
    </w:p>
    <w:p w14:paraId="112A7A3D" w14:textId="77777777" w:rsidR="00C6451F" w:rsidRPr="00C6451F" w:rsidRDefault="00C6451F" w:rsidP="00C6451F">
      <w:pPr>
        <w:pStyle w:val="Institute"/>
        <w:rPr>
          <w:rStyle w:val="Monospaced"/>
          <w:rFonts w:ascii="Times New Roman" w:hAnsi="Times New Roman"/>
        </w:rPr>
      </w:pPr>
    </w:p>
    <w:p w14:paraId="25A0376D" w14:textId="77777777" w:rsidR="00C6451F" w:rsidRPr="00C6451F" w:rsidRDefault="00C6451F" w:rsidP="00C6451F">
      <w:pPr>
        <w:pStyle w:val="Institute"/>
        <w:rPr>
          <w:rStyle w:val="Monospaced"/>
          <w:rFonts w:ascii="Times New Roman" w:hAnsi="Times New Roman"/>
        </w:rPr>
      </w:pPr>
      <w:r w:rsidRPr="00C6451F">
        <w:rPr>
          <w:rStyle w:val="Monospaced"/>
          <w:rFonts w:ascii="Times New Roman" w:hAnsi="Times New Roman"/>
        </w:rPr>
        <w:t>Azmi Hassan</w:t>
      </w:r>
    </w:p>
    <w:p w14:paraId="0E7B0C18" w14:textId="77777777" w:rsidR="00C6451F" w:rsidRPr="00C6451F" w:rsidRDefault="00C6451F" w:rsidP="00C6451F">
      <w:pPr>
        <w:pStyle w:val="Institute"/>
        <w:rPr>
          <w:rStyle w:val="Monospaced"/>
          <w:rFonts w:ascii="Times New Roman" w:hAnsi="Times New Roman"/>
        </w:rPr>
      </w:pPr>
      <w:r w:rsidRPr="00C6451F">
        <w:rPr>
          <w:rStyle w:val="Monospaced"/>
          <w:rFonts w:ascii="Times New Roman" w:hAnsi="Times New Roman"/>
        </w:rPr>
        <w:t>Email: azmi.hassan@unikl.edu.my</w:t>
      </w:r>
    </w:p>
    <w:p w14:paraId="218BB0BD" w14:textId="77777777" w:rsidR="00C6451F" w:rsidRPr="00C6451F" w:rsidRDefault="00C6451F" w:rsidP="00C6451F">
      <w:pPr>
        <w:pStyle w:val="Institute"/>
        <w:rPr>
          <w:rStyle w:val="Monospaced"/>
          <w:rFonts w:ascii="Times New Roman" w:hAnsi="Times New Roman"/>
        </w:rPr>
      </w:pPr>
    </w:p>
    <w:p w14:paraId="07080919" w14:textId="77777777" w:rsidR="00C6451F" w:rsidRPr="00C6451F" w:rsidRDefault="00C6451F" w:rsidP="00C6451F">
      <w:pPr>
        <w:pStyle w:val="Institute"/>
        <w:rPr>
          <w:rStyle w:val="Monospaced"/>
          <w:rFonts w:ascii="Times New Roman" w:hAnsi="Times New Roman"/>
        </w:rPr>
      </w:pPr>
      <w:proofErr w:type="spellStart"/>
      <w:r w:rsidRPr="00C6451F">
        <w:rPr>
          <w:rStyle w:val="Monospaced"/>
          <w:rFonts w:ascii="Times New Roman" w:hAnsi="Times New Roman"/>
        </w:rPr>
        <w:t>Iwan</w:t>
      </w:r>
      <w:proofErr w:type="spellEnd"/>
      <w:r w:rsidRPr="00C6451F">
        <w:rPr>
          <w:rStyle w:val="Monospaced"/>
          <w:rFonts w:ascii="Times New Roman" w:hAnsi="Times New Roman"/>
        </w:rPr>
        <w:t xml:space="preserve"> Susanto</w:t>
      </w:r>
    </w:p>
    <w:p w14:paraId="5A51ADAA" w14:textId="77777777" w:rsidR="00C6451F" w:rsidRPr="00C6451F" w:rsidRDefault="00C6451F" w:rsidP="00C6451F">
      <w:pPr>
        <w:pStyle w:val="Institute"/>
        <w:rPr>
          <w:rStyle w:val="Monospaced"/>
          <w:rFonts w:ascii="Times New Roman" w:hAnsi="Times New Roman"/>
        </w:rPr>
      </w:pPr>
      <w:r w:rsidRPr="00C6451F">
        <w:rPr>
          <w:rStyle w:val="Monospaced"/>
          <w:rFonts w:ascii="Times New Roman" w:hAnsi="Times New Roman"/>
        </w:rPr>
        <w:t>Email: iwan.susanto@s.unikl.edu.my</w:t>
      </w:r>
    </w:p>
    <w:p w14:paraId="0A804BB2" w14:textId="77777777" w:rsidR="00C6451F" w:rsidRPr="00C6451F" w:rsidRDefault="00C6451F" w:rsidP="00C6451F">
      <w:pPr>
        <w:pStyle w:val="Institute"/>
        <w:rPr>
          <w:rStyle w:val="Monospaced"/>
          <w:rFonts w:ascii="Times New Roman" w:hAnsi="Times New Roman"/>
        </w:rPr>
      </w:pPr>
    </w:p>
    <w:p w14:paraId="76E4A595" w14:textId="77777777" w:rsidR="00C6451F" w:rsidRPr="00C6451F" w:rsidRDefault="00C6451F" w:rsidP="00C6451F">
      <w:pPr>
        <w:pStyle w:val="Institute"/>
        <w:rPr>
          <w:rStyle w:val="Monospaced"/>
          <w:rFonts w:ascii="Times New Roman" w:hAnsi="Times New Roman"/>
        </w:rPr>
      </w:pPr>
      <w:r w:rsidRPr="00C6451F">
        <w:rPr>
          <w:rStyle w:val="Monospaced"/>
          <w:rFonts w:ascii="Times New Roman" w:hAnsi="Times New Roman"/>
        </w:rPr>
        <w:t xml:space="preserve">Surya </w:t>
      </w:r>
      <w:proofErr w:type="spellStart"/>
      <w:r w:rsidRPr="00C6451F">
        <w:rPr>
          <w:rStyle w:val="Monospaced"/>
          <w:rFonts w:ascii="Times New Roman" w:hAnsi="Times New Roman"/>
        </w:rPr>
        <w:t>Atmadyaya</w:t>
      </w:r>
      <w:proofErr w:type="spellEnd"/>
    </w:p>
    <w:p w14:paraId="118877D1" w14:textId="3CB12EA1" w:rsidR="00C6451F" w:rsidRDefault="00C6451F" w:rsidP="00C6451F">
      <w:pPr>
        <w:pStyle w:val="Institute"/>
        <w:rPr>
          <w:rStyle w:val="Monospaced"/>
          <w:rFonts w:ascii="Times New Roman" w:hAnsi="Times New Roman"/>
        </w:rPr>
      </w:pPr>
      <w:r w:rsidRPr="00C6451F">
        <w:rPr>
          <w:rStyle w:val="Monospaced"/>
          <w:rFonts w:ascii="Times New Roman" w:hAnsi="Times New Roman"/>
        </w:rPr>
        <w:t>Email: atmadyaya.surya@s.unikl.edu.my</w:t>
      </w:r>
    </w:p>
    <w:p w14:paraId="611AE976" w14:textId="17C1AF22" w:rsidR="00C6451F" w:rsidRDefault="00C6451F" w:rsidP="000552D4">
      <w:pPr>
        <w:pStyle w:val="Institute"/>
        <w:rPr>
          <w:rStyle w:val="Monospaced"/>
          <w:rFonts w:ascii="Times New Roman" w:hAnsi="Times New Roman"/>
        </w:rPr>
      </w:pPr>
    </w:p>
    <w:p w14:paraId="7C6864AB" w14:textId="6849258E" w:rsidR="00C6451F" w:rsidRDefault="00C6451F" w:rsidP="000552D4">
      <w:pPr>
        <w:pStyle w:val="Institute"/>
        <w:rPr>
          <w:rStyle w:val="Monospaced"/>
          <w:rFonts w:ascii="Times New Roman" w:hAnsi="Times New Roman"/>
        </w:rPr>
      </w:pPr>
    </w:p>
    <w:p w14:paraId="2BD771AF" w14:textId="77777777" w:rsidR="00C6451F" w:rsidRPr="000552D4" w:rsidRDefault="00C6451F" w:rsidP="00C6451F">
      <w:pPr>
        <w:pStyle w:val="Institute"/>
        <w:ind w:firstLine="0"/>
        <w:rPr>
          <w:rStyle w:val="Monospaced"/>
          <w:rFonts w:ascii="Times New Roman" w:hAnsi="Times New Roman"/>
        </w:rPr>
      </w:pPr>
    </w:p>
    <w:p w14:paraId="7AC46CD3" w14:textId="77777777" w:rsidR="000552D4" w:rsidRDefault="000552D4" w:rsidP="000552D4">
      <w:pPr>
        <w:pStyle w:val="Abstract"/>
      </w:pPr>
      <w:bookmarkStart w:id="0" w:name="_Toc463255118"/>
    </w:p>
    <w:p w14:paraId="4C67F0D2" w14:textId="7E6299D1" w:rsidR="009F3849" w:rsidRDefault="00527955" w:rsidP="009F3849">
      <w:pPr>
        <w:pStyle w:val="Abstract"/>
      </w:pPr>
      <w:r w:rsidRPr="000552D4">
        <w:rPr>
          <w:b/>
        </w:rPr>
        <w:t>Abstract</w:t>
      </w:r>
      <w:bookmarkEnd w:id="0"/>
      <w:r w:rsidR="000552D4" w:rsidRPr="000552D4">
        <w:rPr>
          <w:b/>
        </w:rPr>
        <w:t>.</w:t>
      </w:r>
      <w:r w:rsidR="000552D4">
        <w:rPr>
          <w:b/>
        </w:rPr>
        <w:t xml:space="preserve"> </w:t>
      </w:r>
      <w:r w:rsidR="00EB300C">
        <w:t xml:space="preserve">The open cut mining methodology in the coal industry is involving many of fleet equipment, where one of them which play an essential role is hauling truck. </w:t>
      </w:r>
      <w:r w:rsidR="00EB300C" w:rsidRPr="004B01A1">
        <w:t xml:space="preserve">This paper presents the </w:t>
      </w:r>
      <w:r w:rsidR="00EB300C">
        <w:t>experiment results</w:t>
      </w:r>
      <w:r w:rsidR="00EB300C" w:rsidRPr="004B01A1">
        <w:t xml:space="preserve"> to identify the </w:t>
      </w:r>
      <w:r w:rsidR="00EB300C">
        <w:t xml:space="preserve">effect of different preheating temperatures </w:t>
      </w:r>
      <w:r w:rsidR="009F3849">
        <w:t>by using flux core arc welding (</w:t>
      </w:r>
      <w:proofErr w:type="gramStart"/>
      <w:r w:rsidR="009F3849">
        <w:t xml:space="preserve">FCAW  </w:t>
      </w:r>
      <w:r w:rsidR="00EB300C">
        <w:t>on</w:t>
      </w:r>
      <w:proofErr w:type="gramEnd"/>
      <w:r w:rsidR="00EB300C">
        <w:t xml:space="preserve"> frame material of 100 tons of truck working at a coal mining operation.</w:t>
      </w:r>
      <w:r w:rsidR="00EB300C" w:rsidRPr="00EB300C">
        <w:t xml:space="preserve"> </w:t>
      </w:r>
      <w:r w:rsidR="009F3849" w:rsidRPr="009F3849">
        <w:t>The approach methodology used to experiment was to apply three different preheating temperature of welding process on a crack occurred on the truck frame. Without preheating was used as first option, 90oC of preheating was used as second option and 120oC as the third approach. They were applied to 12 materials which had common failures on frame structure then monitored</w:t>
      </w:r>
      <w:r w:rsidR="009F3849">
        <w:t>’</w:t>
      </w:r>
      <w:r w:rsidR="001D3969">
        <w:fldChar w:fldCharType="begin"/>
      </w:r>
      <w:r w:rsidR="001D3969">
        <w:instrText xml:space="preserve"> ADDIN EN.CITE &lt;EndNote&gt;&lt;Cite&gt;&lt;Author&gt;Rodrigues&lt;/Author&gt;&lt;Year&gt;2019&lt;/Year&gt;&lt;RecNum&gt;45&lt;/RecNum&gt;&lt;DisplayText&gt;[1]&lt;/DisplayText&gt;&lt;record&gt;&lt;rec-number&gt;45&lt;/rec-number&gt;&lt;foreign-keys&gt;&lt;key app="EN" db-id="tde0s0fzmfpap0etapvxtd56xwadw29pdx2r" timestamp="1606732447"&gt;45&lt;/key&gt;&lt;key app="ENWeb" db-id=""&gt;0&lt;/key&gt;&lt;/foreign-keys&gt;&lt;ref-type name="Journal Article"&gt;17&lt;/ref-type&gt;&lt;contributors&gt;&lt;authors&gt;&lt;author&gt;Rodrigues, Lino A. S.&lt;/author&gt;&lt;author&gt;Loayza L, Cristhian R.&lt;/author&gt;&lt;author&gt;Borges, Diego J. A.&lt;/author&gt;&lt;author&gt;Baia, Paola E. C.&lt;/author&gt;&lt;author&gt;Freitas, Elaine N.&lt;/author&gt;&lt;author&gt;Braga, Eduardo M.&lt;/author&gt;&lt;/authors&gt;&lt;/contributors&gt;&lt;titles&gt;&lt;title&gt;Welding procedures influence analysis on the residual stress distribution and distortion of stiffened panels welded via robotized FCAW&lt;/title&gt;&lt;secondary-title&gt;Thin-Walled Structures&lt;/secondary-title&gt;&lt;/titles&gt;&lt;periodical&gt;&lt;full-title&gt;Thin-Walled Structures&lt;/full-title&gt;&lt;/periodical&gt;&lt;pages&gt;175-183&lt;/pages&gt;&lt;volume&gt;141&lt;/volume&gt;&lt;dates&gt;&lt;year&gt;2019&lt;/year&gt;&lt;/dates&gt;&lt;isbn&gt;02638231&lt;/isbn&gt;&lt;urls&gt;&lt;/urls&gt;&lt;electronic-resource-num&gt;10.1016/j.tws.2019.03.055&lt;/electronic-resource-num&gt;&lt;/record&gt;&lt;/Cite&gt;&lt;/EndNote&gt;</w:instrText>
      </w:r>
      <w:r w:rsidR="001D3969">
        <w:fldChar w:fldCharType="separate"/>
      </w:r>
      <w:r w:rsidR="001D3969">
        <w:rPr>
          <w:noProof/>
        </w:rPr>
        <w:t>[1]</w:t>
      </w:r>
      <w:r w:rsidR="001D3969">
        <w:fldChar w:fldCharType="end"/>
      </w:r>
    </w:p>
    <w:p w14:paraId="43347CDA" w14:textId="2FC391F3" w:rsidR="009F3849" w:rsidRDefault="009F3849" w:rsidP="009F3849">
      <w:pPr>
        <w:pStyle w:val="Abstract"/>
      </w:pPr>
      <w:r w:rsidRPr="009F3849">
        <w:t xml:space="preserve">There are several industry attractive aspects of flux cored arc welding (FCAW) process that need further investigation. </w:t>
      </w:r>
      <w:r w:rsidR="00234ACD" w:rsidRPr="00234ACD">
        <w:t xml:space="preserve">This paper presents an effect FCAW technique to repair 100T Mining truck, in process repair frame. FCAW is a welding process that uses a heat source that comes from electrical energy that is converted into a heat source in an electric arc. Author illustrates </w:t>
      </w:r>
      <w:r w:rsidR="00234ACD" w:rsidRPr="00234ACD">
        <w:lastRenderedPageBreak/>
        <w:t>this method using FMEA for simulated temperature effect time improvement successfully.</w:t>
      </w:r>
      <w:r w:rsidR="00234ACD">
        <w:t xml:space="preserve"> </w:t>
      </w:r>
      <w:r w:rsidRPr="009F3849">
        <w:t>Also, the welding parameters that can provide better microstructure, mechanical properties and minimum residual stresses in thick walled weldments need to be established to validate the application of FCAW process. This paper investigates two different welding sequences and studies their effects on the microstructure, the hardness and the size of the heat-affected zones (HAZs). The results show that there were no significant differences in the microstructure, hardness and the size of HAZ between the two proposed sequences. However, significant improvement in the microstructure and a reduction in the hardness and the size of HAZ were achieved after depositing the second welding bead irrespective of the depositing sequence.</w:t>
      </w:r>
    </w:p>
    <w:p w14:paraId="15D4999C" w14:textId="4903DAAC" w:rsidR="000552D4" w:rsidRDefault="000552D4" w:rsidP="009F3849">
      <w:pPr>
        <w:pStyle w:val="Abstract"/>
        <w:ind w:left="0"/>
      </w:pPr>
    </w:p>
    <w:p w14:paraId="4B807C80" w14:textId="3AA50113" w:rsidR="00EB300C" w:rsidRDefault="00EB300C" w:rsidP="00EB300C">
      <w:pPr>
        <w:pStyle w:val="Abstract"/>
      </w:pPr>
      <w:r w:rsidRPr="009F3849">
        <w:rPr>
          <w:b/>
          <w:bCs/>
        </w:rPr>
        <w:t>Keywords</w:t>
      </w:r>
      <w:r w:rsidR="009F3849" w:rsidRPr="009F3849">
        <w:rPr>
          <w:b/>
          <w:bCs/>
        </w:rPr>
        <w:t xml:space="preserve"> </w:t>
      </w:r>
      <w:r w:rsidR="009F3849">
        <w:t xml:space="preserve">- </w:t>
      </w:r>
      <w:r>
        <w:t xml:space="preserve">Welding, </w:t>
      </w:r>
      <w:r w:rsidR="009F3849">
        <w:t>FCAW</w:t>
      </w:r>
      <w:r>
        <w:t xml:space="preserve">, </w:t>
      </w:r>
      <w:r w:rsidR="009F3849">
        <w:t>C</w:t>
      </w:r>
      <w:r>
        <w:t>rack</w:t>
      </w:r>
      <w:r w:rsidR="009F3849">
        <w:t>, P</w:t>
      </w:r>
      <w:r>
        <w:t xml:space="preserve">reheating, </w:t>
      </w:r>
      <w:r w:rsidR="00234ACD">
        <w:t>C</w:t>
      </w:r>
      <w:r>
        <w:t>oal</w:t>
      </w:r>
      <w:r w:rsidR="009F3849">
        <w:t xml:space="preserve">, </w:t>
      </w:r>
      <w:proofErr w:type="gramStart"/>
      <w:r w:rsidR="00234ACD">
        <w:t>M</w:t>
      </w:r>
      <w:r>
        <w:t>ining,.</w:t>
      </w:r>
      <w:proofErr w:type="gramEnd"/>
    </w:p>
    <w:p w14:paraId="54D6D3CA" w14:textId="77777777" w:rsidR="00EB300C" w:rsidRDefault="00EB300C" w:rsidP="00EB300C">
      <w:pPr>
        <w:pStyle w:val="Abstract"/>
        <w:ind w:left="0"/>
      </w:pPr>
    </w:p>
    <w:p w14:paraId="4F4D5210" w14:textId="69CB7794" w:rsidR="00527955" w:rsidRDefault="00527955" w:rsidP="00744C02">
      <w:pPr>
        <w:pStyle w:val="Section"/>
        <w:rPr>
          <w:sz w:val="20"/>
          <w:szCs w:val="20"/>
        </w:rPr>
      </w:pPr>
      <w:bookmarkStart w:id="1" w:name="_Toc463255119"/>
      <w:r w:rsidRPr="00331244">
        <w:rPr>
          <w:sz w:val="20"/>
          <w:szCs w:val="20"/>
        </w:rPr>
        <w:t>Introduction</w:t>
      </w:r>
      <w:bookmarkEnd w:id="1"/>
    </w:p>
    <w:p w14:paraId="3DB75377" w14:textId="77777777" w:rsidR="00F0243F" w:rsidRPr="00F0243F" w:rsidRDefault="00F0243F" w:rsidP="00F0243F"/>
    <w:p w14:paraId="2C3B1D62" w14:textId="62262B97" w:rsidR="00CF5895" w:rsidRPr="00331244" w:rsidRDefault="00707587" w:rsidP="00007377">
      <w:pPr>
        <w:rPr>
          <w:sz w:val="20"/>
          <w:szCs w:val="20"/>
        </w:rPr>
      </w:pPr>
      <w:r w:rsidRPr="00331244">
        <w:rPr>
          <w:sz w:val="20"/>
          <w:szCs w:val="20"/>
        </w:rPr>
        <w:t>The majority of truck and shovel operations in the Indonesia coal industry, use Caterpillar</w:t>
      </w:r>
      <w:r w:rsidR="00234ACD">
        <w:rPr>
          <w:sz w:val="20"/>
          <w:szCs w:val="20"/>
        </w:rPr>
        <w:t xml:space="preserve"> </w:t>
      </w:r>
      <w:r w:rsidRPr="00331244">
        <w:rPr>
          <w:sz w:val="20"/>
          <w:szCs w:val="20"/>
        </w:rPr>
        <w:t>777D trucks. These trucks are at various stages of their service life and many of them have experienced fatigue cracking at several locations after a relatively short duration of time in service (in some instances as low as 20,000 h</w:t>
      </w:r>
      <w:r w:rsidR="007D0926">
        <w:rPr>
          <w:sz w:val="20"/>
          <w:szCs w:val="20"/>
        </w:rPr>
        <w:t>ou</w:t>
      </w:r>
      <w:r w:rsidRPr="00331244">
        <w:rPr>
          <w:sz w:val="20"/>
          <w:szCs w:val="20"/>
        </w:rPr>
        <w:t xml:space="preserve">rs). </w:t>
      </w:r>
      <w:r w:rsidR="00925EFB" w:rsidRPr="00331244">
        <w:rPr>
          <w:sz w:val="20"/>
          <w:szCs w:val="20"/>
        </w:rPr>
        <w:t>The life of a truck is generally limited by the life of its chassis; hence a key aspect in planning repairs or replacement of a truck is the prediction of the remaining service life of the truck’s chassis and body. At the same time, it is necessary to develop a comprehensive risk management strategy for operating the trucks safely until replacement.</w:t>
      </w:r>
      <w:r w:rsidR="00007377" w:rsidRPr="00331244">
        <w:rPr>
          <w:sz w:val="20"/>
          <w:szCs w:val="20"/>
        </w:rPr>
        <w:t xml:space="preserve"> </w:t>
      </w:r>
      <w:r w:rsidRPr="00331244">
        <w:rPr>
          <w:sz w:val="20"/>
          <w:szCs w:val="20"/>
        </w:rPr>
        <w:t xml:space="preserve">Fatigue cracks of truck chassis and bodies have been observed at various stages of their service life. </w:t>
      </w:r>
      <w:r w:rsidR="00007377" w:rsidRPr="00331244">
        <w:rPr>
          <w:sz w:val="20"/>
          <w:szCs w:val="20"/>
        </w:rPr>
        <w:fldChar w:fldCharType="begin"/>
      </w:r>
      <w:r w:rsidR="001D3969">
        <w:rPr>
          <w:sz w:val="20"/>
          <w:szCs w:val="20"/>
        </w:rPr>
        <w:instrText xml:space="preserve"> ADDIN EN.CITE &lt;EndNote&gt;&lt;Cite&gt;&lt;Author&gt;Gerard Chitty&lt;/Author&gt;&lt;Year&gt;2006&lt;/Year&gt;&lt;RecNum&gt;33&lt;/RecNum&gt;&lt;DisplayText&gt;[2]&lt;/DisplayText&gt;&lt;record&gt;&lt;rec-number&gt;33&lt;/rec-number&gt;&lt;foreign-keys&gt;&lt;key app="EN" db-id="tde0s0fzmfpap0etapvxtd56xwadw29pdx2r" timestamp="1606646562"&gt;33&lt;/key&gt;&lt;key app="ENWeb" db-id=""&gt;0&lt;/key&gt;&lt;/foreign-keys&gt;&lt;ref-type name="Journal Article"&gt;17&lt;/ref-type&gt;&lt;contributors&gt;&lt;authors&gt;&lt;author&gt;Gerard Chitty, Priyath Amaratunga, Alan Hon, Brian Kerezsi, Daya Dayawansa, Hui Jiao,&lt;/author&gt;&lt;author&gt;Henry Bartosiewicz, Osvaldo Cortes and Tom Rucinski&lt;/author&gt;&lt;/authors&gt;&lt;/contributors&gt;&lt;titles&gt;&lt;title&gt;Optimisation of Structural Performance of Trucks&lt;/title&gt;&lt;/titles&gt;&lt;dates&gt;&lt;year&gt;2006&lt;/year&gt;&lt;/dates&gt;&lt;urls&gt;&lt;/urls&gt;&lt;/record&gt;&lt;/Cite&gt;&lt;/EndNote&gt;</w:instrText>
      </w:r>
      <w:r w:rsidR="00007377" w:rsidRPr="00331244">
        <w:rPr>
          <w:sz w:val="20"/>
          <w:szCs w:val="20"/>
        </w:rPr>
        <w:fldChar w:fldCharType="separate"/>
      </w:r>
      <w:r w:rsidR="001D3969">
        <w:rPr>
          <w:noProof/>
          <w:sz w:val="20"/>
          <w:szCs w:val="20"/>
        </w:rPr>
        <w:t>[2]</w:t>
      </w:r>
      <w:r w:rsidR="00007377" w:rsidRPr="00331244">
        <w:rPr>
          <w:sz w:val="20"/>
          <w:szCs w:val="20"/>
        </w:rPr>
        <w:fldChar w:fldCharType="end"/>
      </w:r>
    </w:p>
    <w:p w14:paraId="71F124B4" w14:textId="4B19FC36" w:rsidR="00925EFB" w:rsidRPr="00331244" w:rsidRDefault="00925EFB" w:rsidP="00AE1235">
      <w:pPr>
        <w:rPr>
          <w:sz w:val="20"/>
          <w:szCs w:val="20"/>
        </w:rPr>
      </w:pPr>
    </w:p>
    <w:p w14:paraId="7C8CD05D" w14:textId="4AEF7332" w:rsidR="00707587" w:rsidRPr="00331244" w:rsidRDefault="00707587" w:rsidP="00707587">
      <w:pPr>
        <w:rPr>
          <w:sz w:val="20"/>
          <w:szCs w:val="20"/>
        </w:rPr>
      </w:pPr>
      <w:r w:rsidRPr="00331244">
        <w:rPr>
          <w:sz w:val="20"/>
          <w:szCs w:val="20"/>
        </w:rPr>
        <w:t>The OEMs have indicated that most of the cracking is due to severe operational conditions specifically the condition of the haul roads. However, the design loading conditions or the design criteria for these trucks are not available from the OEM. Also, there is no standard</w:t>
      </w:r>
      <w:r w:rsidR="00506515" w:rsidRPr="00331244">
        <w:rPr>
          <w:sz w:val="20"/>
          <w:szCs w:val="20"/>
        </w:rPr>
        <w:t xml:space="preserve"> </w:t>
      </w:r>
      <w:r w:rsidRPr="00331244">
        <w:rPr>
          <w:sz w:val="20"/>
          <w:szCs w:val="20"/>
        </w:rPr>
        <w:t>for design of these large mining trucks currently available in the public domain. Previous</w:t>
      </w:r>
      <w:r w:rsidR="00506515" w:rsidRPr="00331244">
        <w:rPr>
          <w:sz w:val="20"/>
          <w:szCs w:val="20"/>
        </w:rPr>
        <w:t xml:space="preserve"> </w:t>
      </w:r>
      <w:r w:rsidRPr="00331244">
        <w:rPr>
          <w:sz w:val="20"/>
          <w:szCs w:val="20"/>
        </w:rPr>
        <w:t>studies have indicated that the haul road conditions</w:t>
      </w:r>
      <w:r w:rsidR="00506515" w:rsidRPr="00331244">
        <w:rPr>
          <w:sz w:val="20"/>
          <w:szCs w:val="20"/>
        </w:rPr>
        <w:t xml:space="preserve"> </w:t>
      </w:r>
      <w:r w:rsidRPr="00331244">
        <w:rPr>
          <w:sz w:val="20"/>
          <w:szCs w:val="20"/>
        </w:rPr>
        <w:t>can have a significant effect on the</w:t>
      </w:r>
      <w:r w:rsidR="00506515" w:rsidRPr="00331244">
        <w:rPr>
          <w:sz w:val="20"/>
          <w:szCs w:val="20"/>
        </w:rPr>
        <w:t xml:space="preserve"> </w:t>
      </w:r>
      <w:r w:rsidRPr="00331244">
        <w:rPr>
          <w:sz w:val="20"/>
          <w:szCs w:val="20"/>
        </w:rPr>
        <w:t>fatigue life of some components, especially areas/components of the chassis and body.</w:t>
      </w:r>
      <w:r w:rsidR="00941EDF" w:rsidRPr="00331244">
        <w:rPr>
          <w:sz w:val="20"/>
          <w:szCs w:val="20"/>
        </w:rPr>
        <w:fldChar w:fldCharType="begin"/>
      </w:r>
      <w:r w:rsidR="001D3969">
        <w:rPr>
          <w:sz w:val="20"/>
          <w:szCs w:val="20"/>
        </w:rPr>
        <w:instrText xml:space="preserve"> ADDIN EN.CITE &lt;EndNote&gt;&lt;Cite&gt;&lt;Author&gt;Gerard Chitty&lt;/Author&gt;&lt;Year&gt;2006&lt;/Year&gt;&lt;RecNum&gt;26&lt;/RecNum&gt;&lt;DisplayText&gt;[3]&lt;/DisplayText&gt;&lt;record&gt;&lt;rec-number&gt;26&lt;/rec-number&gt;&lt;foreign-keys&gt;&lt;key app="EN" db-id="tde0s0fzmfpap0etapvxtd56xwadw29pdx2r" timestamp="1606555474"&gt;26&lt;/key&gt;&lt;key app="ENWeb" db-id=""&gt;0&lt;/key&gt;&lt;/foreign-keys&gt;&lt;ref-type name="Report"&gt;27&lt;/ref-type&gt;&lt;contributors&gt;&lt;authors&gt;&lt;author&gt;Gerard Chitty,Priyath Amaratunga,Alan Hon, Brian Kerezsi,Daya Dayawansa, Hui Jiao,Henry Bartosiewicz,Osvaldo Cortes and Tom Rucinski&lt;/author&gt;&lt;/authors&gt;&lt;/contributors&gt;&lt;titles&gt;&lt;title&gt;Optimisation of Structural&amp;#xD;Performance of Trucks&lt;/title&gt;&lt;/titles&gt;&lt;dates&gt;&lt;year&gt;2006&lt;/year&gt;&lt;/dates&gt;&lt;urls&gt;&lt;/urls&gt;&lt;/record&gt;&lt;/Cite&gt;&lt;/EndNote&gt;</w:instrText>
      </w:r>
      <w:r w:rsidR="00941EDF" w:rsidRPr="00331244">
        <w:rPr>
          <w:sz w:val="20"/>
          <w:szCs w:val="20"/>
        </w:rPr>
        <w:fldChar w:fldCharType="separate"/>
      </w:r>
      <w:r w:rsidR="001D3969">
        <w:rPr>
          <w:noProof/>
          <w:sz w:val="20"/>
          <w:szCs w:val="20"/>
        </w:rPr>
        <w:t>[3]</w:t>
      </w:r>
      <w:r w:rsidR="00941EDF" w:rsidRPr="00331244">
        <w:rPr>
          <w:sz w:val="20"/>
          <w:szCs w:val="20"/>
        </w:rPr>
        <w:fldChar w:fldCharType="end"/>
      </w:r>
      <w:r w:rsidR="0054650D" w:rsidRPr="00331244">
        <w:rPr>
          <w:sz w:val="20"/>
          <w:szCs w:val="20"/>
        </w:rPr>
        <w:t xml:space="preserve"> </w:t>
      </w:r>
      <w:r w:rsidRPr="00331244">
        <w:rPr>
          <w:sz w:val="20"/>
          <w:szCs w:val="20"/>
        </w:rPr>
        <w:t>During the initial stages of the study, the industry monitors decided that the study should</w:t>
      </w:r>
      <w:r w:rsidR="009D3D6E" w:rsidRPr="00331244">
        <w:rPr>
          <w:sz w:val="20"/>
          <w:szCs w:val="20"/>
        </w:rPr>
        <w:t xml:space="preserve"> </w:t>
      </w:r>
      <w:r w:rsidRPr="00331244">
        <w:rPr>
          <w:sz w:val="20"/>
          <w:szCs w:val="20"/>
        </w:rPr>
        <w:t>be conducted</w:t>
      </w:r>
      <w:r w:rsidR="009D3D6E" w:rsidRPr="00331244">
        <w:rPr>
          <w:sz w:val="20"/>
          <w:szCs w:val="20"/>
        </w:rPr>
        <w:t xml:space="preserve"> </w:t>
      </w:r>
      <w:r w:rsidRPr="00331244">
        <w:rPr>
          <w:sz w:val="20"/>
          <w:szCs w:val="20"/>
        </w:rPr>
        <w:t>on the CAT 777D truck which is the most common truck in the mining fleet.</w:t>
      </w:r>
      <w:r w:rsidR="009D3D6E" w:rsidRPr="00331244">
        <w:rPr>
          <w:sz w:val="20"/>
          <w:szCs w:val="20"/>
        </w:rPr>
        <w:t xml:space="preserve"> </w:t>
      </w:r>
      <w:r w:rsidRPr="00331244">
        <w:rPr>
          <w:sz w:val="20"/>
          <w:szCs w:val="20"/>
        </w:rPr>
        <w:t xml:space="preserve">The </w:t>
      </w:r>
      <w:proofErr w:type="spellStart"/>
      <w:r w:rsidRPr="00331244">
        <w:rPr>
          <w:sz w:val="20"/>
          <w:szCs w:val="20"/>
        </w:rPr>
        <w:t>Kideco</w:t>
      </w:r>
      <w:proofErr w:type="spellEnd"/>
      <w:r w:rsidRPr="00331244">
        <w:rPr>
          <w:sz w:val="20"/>
          <w:szCs w:val="20"/>
        </w:rPr>
        <w:t xml:space="preserve"> mine site was nominated where testing was to be conducted.</w:t>
      </w:r>
      <w:r w:rsidR="009D3D6E" w:rsidRPr="00331244">
        <w:rPr>
          <w:sz w:val="20"/>
          <w:szCs w:val="20"/>
        </w:rPr>
        <w:t xml:space="preserve"> </w:t>
      </w:r>
      <w:r w:rsidRPr="00331244">
        <w:rPr>
          <w:sz w:val="20"/>
          <w:szCs w:val="20"/>
        </w:rPr>
        <w:t>This project involved the detailed study of the Caterpillar 777D chassis under normal mine</w:t>
      </w:r>
      <w:r w:rsidR="009D3D6E" w:rsidRPr="00331244">
        <w:rPr>
          <w:sz w:val="20"/>
          <w:szCs w:val="20"/>
        </w:rPr>
        <w:t xml:space="preserve"> </w:t>
      </w:r>
      <w:r w:rsidRPr="00331244">
        <w:rPr>
          <w:sz w:val="20"/>
          <w:szCs w:val="20"/>
        </w:rPr>
        <w:t>operations.</w:t>
      </w:r>
    </w:p>
    <w:p w14:paraId="71138CFE" w14:textId="1614D6D3" w:rsidR="00506515" w:rsidRPr="00331244" w:rsidRDefault="00506515" w:rsidP="00707587">
      <w:pPr>
        <w:rPr>
          <w:sz w:val="20"/>
          <w:szCs w:val="20"/>
        </w:rPr>
      </w:pPr>
    </w:p>
    <w:p w14:paraId="586C49E6" w14:textId="12E991E9" w:rsidR="0054650D" w:rsidRDefault="0054650D" w:rsidP="0054650D">
      <w:pPr>
        <w:rPr>
          <w:sz w:val="20"/>
          <w:szCs w:val="20"/>
        </w:rPr>
      </w:pPr>
      <w:r w:rsidRPr="00331244">
        <w:rPr>
          <w:sz w:val="20"/>
          <w:szCs w:val="20"/>
        </w:rPr>
        <w:t>In a welding world, Flux-Cored Arc Welding (FCAW) process commonly used in different industries to join the metals and alloys. It has a few numbers of benefits such as high deposition rates, more tolerant of rust and mill scale than GMAW, simpler and more adaptable than SAW, less operator skill required than GMAW, high productivity than SMAW and goo surface appearance</w:t>
      </w:r>
      <w:r w:rsidRPr="00331244">
        <w:rPr>
          <w:sz w:val="20"/>
          <w:szCs w:val="20"/>
        </w:rPr>
        <w:fldChar w:fldCharType="begin"/>
      </w:r>
      <w:r w:rsidR="001D3969">
        <w:rPr>
          <w:sz w:val="20"/>
          <w:szCs w:val="20"/>
        </w:rPr>
        <w:instrText xml:space="preserve"> ADDIN EN.CITE &lt;EndNote&gt;&lt;Cite&gt;&lt;Author&gt;Mohamat&lt;/Author&gt;&lt;Year&gt;2012&lt;/Year&gt;&lt;RecNum&gt;44&lt;/RecNum&gt;&lt;DisplayText&gt;[4]&lt;/DisplayText&gt;&lt;record&gt;&lt;rec-number&gt;44&lt;/rec-number&gt;&lt;foreign-keys&gt;&lt;key app="EN" db-id="tde0s0fzmfpap0etapvxtd56xwadw29pdx2r" timestamp="1606646594"&gt;44&lt;/key&gt;&lt;key app="ENWeb" db-id=""&gt;0&lt;/key&gt;&lt;/foreign-keys&gt;&lt;ref-type name="Journal Article"&gt;17&lt;/ref-type&gt;&lt;contributors&gt;&lt;authors&gt;&lt;author&gt;Mohamat, Syarul Asraf&lt;/author&gt;&lt;author&gt;Ibrahim, Izatul Aini&lt;/author&gt;&lt;author&gt;Amir, Amalina&lt;/author&gt;&lt;author&gt;Ghalib, Abdul&lt;/author&gt;&lt;/authors&gt;&lt;/contributors&gt;&lt;titles&gt;&lt;title&gt;The Effect of Flux Core Arc Welding (FCAW) Processes On Different Parameters&lt;/title&gt;&lt;secondary-title&gt;Procedia Engineering&lt;/secondary-title&gt;&lt;/titles&gt;&lt;periodical&gt;&lt;full-title&gt;Procedia Engineering&lt;/full-title&gt;&lt;/periodical&gt;&lt;pages&gt;1497-1501&lt;/pages&gt;&lt;volume&gt;41&lt;/volume&gt;&lt;dates&gt;&lt;year&gt;2012&lt;/year&gt;&lt;/dates&gt;&lt;isbn&gt;18777058&lt;/isbn&gt;&lt;urls&gt;&lt;/urls&gt;&lt;electronic-resource-num&gt;10.1016/j.proeng.2012.07.341&lt;/electronic-resource-num&gt;&lt;/record&gt;&lt;/Cite&gt;&lt;/EndNote&gt;</w:instrText>
      </w:r>
      <w:r w:rsidRPr="00331244">
        <w:rPr>
          <w:sz w:val="20"/>
          <w:szCs w:val="20"/>
        </w:rPr>
        <w:fldChar w:fldCharType="separate"/>
      </w:r>
      <w:r w:rsidR="001D3969">
        <w:rPr>
          <w:noProof/>
          <w:sz w:val="20"/>
          <w:szCs w:val="20"/>
        </w:rPr>
        <w:t>[4]</w:t>
      </w:r>
      <w:r w:rsidRPr="00331244">
        <w:rPr>
          <w:sz w:val="20"/>
          <w:szCs w:val="20"/>
        </w:rPr>
        <w:fldChar w:fldCharType="end"/>
      </w:r>
    </w:p>
    <w:p w14:paraId="3B0DFA9E" w14:textId="77777777" w:rsidR="00940DC6" w:rsidRPr="00331244" w:rsidRDefault="00940DC6" w:rsidP="0054650D">
      <w:pPr>
        <w:rPr>
          <w:sz w:val="20"/>
          <w:szCs w:val="20"/>
        </w:rPr>
      </w:pPr>
    </w:p>
    <w:p w14:paraId="57BAB23A" w14:textId="62B6166F" w:rsidR="00376E52" w:rsidRPr="00331244" w:rsidRDefault="00506515" w:rsidP="0054650D">
      <w:pPr>
        <w:rPr>
          <w:sz w:val="20"/>
          <w:szCs w:val="20"/>
        </w:rPr>
      </w:pPr>
      <w:r w:rsidRPr="00331244">
        <w:rPr>
          <w:sz w:val="20"/>
          <w:szCs w:val="20"/>
        </w:rPr>
        <w:t xml:space="preserve">The investigation focused on the </w:t>
      </w:r>
      <w:r w:rsidR="00376E52" w:rsidRPr="00331244">
        <w:rPr>
          <w:sz w:val="20"/>
          <w:szCs w:val="20"/>
        </w:rPr>
        <w:t>Welding process</w:t>
      </w:r>
      <w:r w:rsidR="00FC7243" w:rsidRPr="00331244">
        <w:rPr>
          <w:sz w:val="20"/>
          <w:szCs w:val="20"/>
        </w:rPr>
        <w:t xml:space="preserve">. </w:t>
      </w:r>
      <w:r w:rsidR="00376E52" w:rsidRPr="00331244">
        <w:rPr>
          <w:sz w:val="20"/>
          <w:szCs w:val="20"/>
        </w:rPr>
        <w:t>In welding, there are several types of heat treatment before or</w:t>
      </w:r>
      <w:r w:rsidR="00FC7243" w:rsidRPr="00331244">
        <w:rPr>
          <w:sz w:val="20"/>
          <w:szCs w:val="20"/>
        </w:rPr>
        <w:t xml:space="preserve"> </w:t>
      </w:r>
      <w:r w:rsidR="00376E52" w:rsidRPr="00331244">
        <w:rPr>
          <w:sz w:val="20"/>
          <w:szCs w:val="20"/>
        </w:rPr>
        <w:t>after the material is welded. Materials, especially carbon steel, will experience structural changes and</w:t>
      </w:r>
      <w:r w:rsidR="00FC7243" w:rsidRPr="00331244">
        <w:rPr>
          <w:sz w:val="20"/>
          <w:szCs w:val="20"/>
        </w:rPr>
        <w:t xml:space="preserve"> </w:t>
      </w:r>
      <w:r w:rsidR="00376E52" w:rsidRPr="00331244">
        <w:rPr>
          <w:sz w:val="20"/>
          <w:szCs w:val="20"/>
        </w:rPr>
        <w:t>grain due to the effect of the cooling speed. The heat treatment in question is</w:t>
      </w:r>
      <w:r w:rsidR="00FC7243" w:rsidRPr="00331244">
        <w:rPr>
          <w:sz w:val="20"/>
          <w:szCs w:val="20"/>
        </w:rPr>
        <w:t xml:space="preserve"> </w:t>
      </w:r>
      <w:r w:rsidR="00376E52" w:rsidRPr="00331244">
        <w:rPr>
          <w:sz w:val="20"/>
          <w:szCs w:val="20"/>
        </w:rPr>
        <w:t>preheat and</w:t>
      </w:r>
      <w:r w:rsidR="00FC7243" w:rsidRPr="00331244">
        <w:rPr>
          <w:sz w:val="20"/>
          <w:szCs w:val="20"/>
        </w:rPr>
        <w:t xml:space="preserve"> </w:t>
      </w:r>
      <w:r w:rsidR="00376E52" w:rsidRPr="00331244">
        <w:rPr>
          <w:sz w:val="20"/>
          <w:szCs w:val="20"/>
        </w:rPr>
        <w:t>PWHT (Post Welt Heat Treatment). preheat is part of the heat process</w:t>
      </w:r>
      <w:r w:rsidR="00FC7243" w:rsidRPr="00331244">
        <w:rPr>
          <w:sz w:val="20"/>
          <w:szCs w:val="20"/>
        </w:rPr>
        <w:t xml:space="preserve"> </w:t>
      </w:r>
      <w:r w:rsidR="00376E52" w:rsidRPr="00331244">
        <w:rPr>
          <w:sz w:val="20"/>
          <w:szCs w:val="20"/>
        </w:rPr>
        <w:t>treatment before welding which aims to reduce</w:t>
      </w:r>
      <w:r w:rsidR="00FC7243" w:rsidRPr="00331244">
        <w:rPr>
          <w:sz w:val="20"/>
          <w:szCs w:val="20"/>
        </w:rPr>
        <w:t xml:space="preserve"> </w:t>
      </w:r>
      <w:r w:rsidR="00376E52" w:rsidRPr="00331244">
        <w:rPr>
          <w:sz w:val="20"/>
          <w:szCs w:val="20"/>
        </w:rPr>
        <w:t>humidity from the welding area and to decrease the temperature gradient thus</w:t>
      </w:r>
      <w:r w:rsidR="00FC7243" w:rsidRPr="00331244">
        <w:rPr>
          <w:sz w:val="20"/>
          <w:szCs w:val="20"/>
        </w:rPr>
        <w:t xml:space="preserve"> </w:t>
      </w:r>
      <w:r w:rsidR="00376E52" w:rsidRPr="00331244">
        <w:rPr>
          <w:sz w:val="20"/>
          <w:szCs w:val="20"/>
        </w:rPr>
        <w:t xml:space="preserve">minimize problems such as distortion and excess residual stress. </w:t>
      </w:r>
      <w:r w:rsidR="00376E52" w:rsidRPr="00331244">
        <w:rPr>
          <w:sz w:val="20"/>
          <w:szCs w:val="20"/>
        </w:rPr>
        <w:fldChar w:fldCharType="begin"/>
      </w:r>
      <w:r w:rsidR="001D3969">
        <w:rPr>
          <w:sz w:val="20"/>
          <w:szCs w:val="20"/>
        </w:rPr>
        <w:instrText xml:space="preserve"> ADDIN EN.CITE &lt;EndNote&gt;&lt;Cite&gt;&lt;Author&gt;Hadi&lt;/Author&gt;&lt;Year&gt;2015&lt;/Year&gt;&lt;RecNum&gt;1&lt;/RecNum&gt;&lt;DisplayText&gt;[5]&lt;/DisplayText&gt;&lt;record&gt;&lt;rec-number&gt;1&lt;/rec-number&gt;&lt;foreign-keys&gt;&lt;key app="EN" db-id="tde0s0fzmfpap0etapvxtd56xwadw29pdx2r" timestamp="1606551948"&gt;1&lt;/key&gt;&lt;key app="ENWeb" db-id=""&gt;0&lt;/key&gt;&lt;/foreign-keys&gt;&lt;ref-type name="Journal Article"&gt;17&lt;/ref-type&gt;&lt;contributors&gt;&lt;authors&gt;&lt;author&gt;Windu Baskoro Hadi&lt;/author&gt;&lt;/authors&gt;&lt;/contributors&gt;&lt;titles&gt;&lt;title&gt;Analisis Pengaruh Variasi Suhu Preheat&lt;/title&gt;&lt;/titles&gt;&lt;dates&gt;&lt;year&gt;2015&lt;/year&gt;&lt;/dates&gt;&lt;urls&gt;&lt;/urls&gt;&lt;/record&gt;&lt;/Cite&gt;&lt;/EndNote&gt;</w:instrText>
      </w:r>
      <w:r w:rsidR="00376E52" w:rsidRPr="00331244">
        <w:rPr>
          <w:sz w:val="20"/>
          <w:szCs w:val="20"/>
        </w:rPr>
        <w:fldChar w:fldCharType="separate"/>
      </w:r>
      <w:r w:rsidR="001D3969">
        <w:rPr>
          <w:noProof/>
          <w:sz w:val="20"/>
          <w:szCs w:val="20"/>
        </w:rPr>
        <w:t>[5]</w:t>
      </w:r>
      <w:r w:rsidR="00376E52" w:rsidRPr="00331244">
        <w:rPr>
          <w:sz w:val="20"/>
          <w:szCs w:val="20"/>
        </w:rPr>
        <w:fldChar w:fldCharType="end"/>
      </w:r>
    </w:p>
    <w:p w14:paraId="2733BF72" w14:textId="0744412C" w:rsidR="0054650D" w:rsidRPr="00331244" w:rsidRDefault="0054650D" w:rsidP="00376E52">
      <w:pPr>
        <w:rPr>
          <w:sz w:val="20"/>
          <w:szCs w:val="20"/>
        </w:rPr>
      </w:pPr>
    </w:p>
    <w:p w14:paraId="4EE1621D" w14:textId="21C17ADC" w:rsidR="00506515" w:rsidRPr="00331244" w:rsidRDefault="00506515" w:rsidP="00506515">
      <w:pPr>
        <w:rPr>
          <w:sz w:val="20"/>
          <w:szCs w:val="20"/>
        </w:rPr>
      </w:pPr>
      <w:r w:rsidRPr="00331244">
        <w:rPr>
          <w:sz w:val="20"/>
          <w:szCs w:val="20"/>
        </w:rPr>
        <w:t>The investigation consists of:</w:t>
      </w:r>
    </w:p>
    <w:p w14:paraId="16930917" w14:textId="77777777" w:rsidR="00506515" w:rsidRPr="00331244" w:rsidRDefault="00506515" w:rsidP="00506515">
      <w:pPr>
        <w:rPr>
          <w:sz w:val="20"/>
          <w:szCs w:val="20"/>
        </w:rPr>
      </w:pPr>
    </w:p>
    <w:p w14:paraId="71AE7E2E" w14:textId="6DA30346" w:rsidR="00506515" w:rsidRPr="00331244" w:rsidRDefault="00506515" w:rsidP="00506515">
      <w:pPr>
        <w:rPr>
          <w:sz w:val="20"/>
          <w:szCs w:val="20"/>
        </w:rPr>
      </w:pPr>
      <w:r w:rsidRPr="00331244">
        <w:rPr>
          <w:sz w:val="20"/>
          <w:szCs w:val="20"/>
        </w:rPr>
        <w:t xml:space="preserve">• Detailed review of previous failure history on the CAT 777D chassis in </w:t>
      </w:r>
      <w:proofErr w:type="spellStart"/>
      <w:r w:rsidRPr="00331244">
        <w:rPr>
          <w:sz w:val="20"/>
          <w:szCs w:val="20"/>
        </w:rPr>
        <w:t>Kideco</w:t>
      </w:r>
      <w:proofErr w:type="spellEnd"/>
      <w:r w:rsidRPr="00331244">
        <w:rPr>
          <w:sz w:val="20"/>
          <w:szCs w:val="20"/>
        </w:rPr>
        <w:t xml:space="preserve"> Jaya Agung Mine.</w:t>
      </w:r>
    </w:p>
    <w:p w14:paraId="4E2BA0B9" w14:textId="77777777" w:rsidR="00506515" w:rsidRPr="00331244" w:rsidRDefault="00506515" w:rsidP="00506515">
      <w:pPr>
        <w:rPr>
          <w:sz w:val="20"/>
          <w:szCs w:val="20"/>
        </w:rPr>
      </w:pPr>
      <w:r w:rsidRPr="00331244">
        <w:rPr>
          <w:sz w:val="20"/>
          <w:szCs w:val="20"/>
        </w:rPr>
        <w:t>• Extensive measuring and testing program.</w:t>
      </w:r>
    </w:p>
    <w:p w14:paraId="01BAA2C7" w14:textId="77777777" w:rsidR="0054650D" w:rsidRPr="00331244" w:rsidRDefault="0054650D" w:rsidP="00506515">
      <w:pPr>
        <w:rPr>
          <w:sz w:val="20"/>
          <w:szCs w:val="20"/>
        </w:rPr>
      </w:pPr>
    </w:p>
    <w:p w14:paraId="4063D5C5" w14:textId="23105D4C" w:rsidR="00941EDF" w:rsidRDefault="00506515" w:rsidP="00506515">
      <w:pPr>
        <w:rPr>
          <w:sz w:val="20"/>
          <w:szCs w:val="20"/>
        </w:rPr>
      </w:pPr>
      <w:r w:rsidRPr="00331244">
        <w:rPr>
          <w:sz w:val="20"/>
          <w:szCs w:val="20"/>
        </w:rPr>
        <w:t xml:space="preserve">The results used to identify the best preheat temperature are related to the distortions that occur during a given heat exposure variation that affects </w:t>
      </w:r>
      <w:proofErr w:type="gramStart"/>
      <w:r w:rsidRPr="00331244">
        <w:rPr>
          <w:sz w:val="20"/>
          <w:szCs w:val="20"/>
        </w:rPr>
        <w:t>life  chassis</w:t>
      </w:r>
      <w:proofErr w:type="gramEnd"/>
      <w:r w:rsidRPr="00331244">
        <w:rPr>
          <w:sz w:val="20"/>
          <w:szCs w:val="20"/>
        </w:rPr>
        <w:t>.</w:t>
      </w:r>
    </w:p>
    <w:p w14:paraId="45D7F4B1" w14:textId="08D2FA1A" w:rsidR="006A68C3" w:rsidRDefault="006A68C3" w:rsidP="00506515">
      <w:pPr>
        <w:rPr>
          <w:sz w:val="20"/>
          <w:szCs w:val="20"/>
        </w:rPr>
      </w:pPr>
    </w:p>
    <w:p w14:paraId="3D521CAA" w14:textId="77777777" w:rsidR="006A68C3" w:rsidRPr="00331244" w:rsidRDefault="006A68C3" w:rsidP="00506515">
      <w:pPr>
        <w:rPr>
          <w:sz w:val="20"/>
          <w:szCs w:val="20"/>
        </w:rPr>
      </w:pPr>
    </w:p>
    <w:p w14:paraId="229A41A9" w14:textId="2ED470EA" w:rsidR="00670F38" w:rsidRPr="00331244" w:rsidRDefault="00670F38" w:rsidP="00670F38">
      <w:pPr>
        <w:pStyle w:val="Section"/>
        <w:rPr>
          <w:rFonts w:cs="Times New Roman"/>
          <w:sz w:val="20"/>
          <w:szCs w:val="20"/>
        </w:rPr>
      </w:pPr>
      <w:r w:rsidRPr="00331244">
        <w:rPr>
          <w:rFonts w:cs="Times New Roman"/>
          <w:sz w:val="20"/>
          <w:szCs w:val="20"/>
        </w:rPr>
        <w:t>Methodologies</w:t>
      </w:r>
    </w:p>
    <w:p w14:paraId="12D5B4CF" w14:textId="77777777" w:rsidR="00670F38" w:rsidRPr="00331244" w:rsidRDefault="00670F38" w:rsidP="00670F38">
      <w:pPr>
        <w:rPr>
          <w:rFonts w:cs="Times New Roman"/>
          <w:sz w:val="20"/>
          <w:szCs w:val="20"/>
        </w:rPr>
      </w:pPr>
    </w:p>
    <w:p w14:paraId="634BF834" w14:textId="77777777" w:rsidR="006A68C3" w:rsidRPr="006A68C3" w:rsidRDefault="006A68C3" w:rsidP="00234ACD">
      <w:pPr>
        <w:rPr>
          <w:rFonts w:cs="Times New Roman"/>
          <w:sz w:val="20"/>
          <w:szCs w:val="20"/>
        </w:rPr>
      </w:pPr>
      <w:r w:rsidRPr="006A68C3">
        <w:rPr>
          <w:rFonts w:cs="Times New Roman"/>
          <w:sz w:val="20"/>
          <w:szCs w:val="20"/>
        </w:rPr>
        <w:t>Methodologies on the research will be described as follow:</w:t>
      </w:r>
    </w:p>
    <w:p w14:paraId="17B5587C" w14:textId="77777777" w:rsidR="006A68C3" w:rsidRDefault="006A68C3" w:rsidP="00234ACD">
      <w:pPr>
        <w:rPr>
          <w:rFonts w:cs="Times New Roman"/>
          <w:i/>
          <w:iCs/>
          <w:sz w:val="20"/>
          <w:szCs w:val="20"/>
        </w:rPr>
      </w:pPr>
    </w:p>
    <w:p w14:paraId="753B605F" w14:textId="747DC32C" w:rsidR="00234ACD" w:rsidRPr="00234ACD" w:rsidRDefault="00234ACD" w:rsidP="00234ACD">
      <w:pPr>
        <w:rPr>
          <w:rFonts w:cs="Times New Roman"/>
          <w:i/>
          <w:iCs/>
          <w:sz w:val="20"/>
          <w:szCs w:val="20"/>
        </w:rPr>
      </w:pPr>
      <w:r w:rsidRPr="00234ACD">
        <w:rPr>
          <w:rFonts w:cs="Times New Roman"/>
          <w:i/>
          <w:iCs/>
          <w:sz w:val="20"/>
          <w:szCs w:val="20"/>
        </w:rPr>
        <w:t>2</w:t>
      </w:r>
      <w:r w:rsidRPr="00234ACD">
        <w:rPr>
          <w:rFonts w:cs="Times New Roman"/>
          <w:i/>
          <w:iCs/>
          <w:sz w:val="20"/>
          <w:szCs w:val="20"/>
        </w:rPr>
        <w:t xml:space="preserve">.1 Data Collection Method </w:t>
      </w:r>
    </w:p>
    <w:p w14:paraId="01ED0797" w14:textId="77777777" w:rsidR="00234ACD" w:rsidRPr="00234ACD" w:rsidRDefault="00234ACD" w:rsidP="00234ACD">
      <w:pPr>
        <w:rPr>
          <w:rFonts w:cs="Times New Roman"/>
          <w:sz w:val="20"/>
          <w:szCs w:val="20"/>
        </w:rPr>
      </w:pPr>
      <w:r w:rsidRPr="00234ACD">
        <w:rPr>
          <w:rFonts w:cs="Times New Roman"/>
          <w:sz w:val="20"/>
          <w:szCs w:val="20"/>
        </w:rPr>
        <w:t>The data required as input data for calculation is a record of overall maintenance activities which must include official maintenance categories of SAP used by the company. This data will be used to compare the conditions before and after the implementation of the Maintenance management improvement program.</w:t>
      </w:r>
    </w:p>
    <w:p w14:paraId="7D48CEB2" w14:textId="77777777" w:rsidR="00234ACD" w:rsidRPr="00234ACD" w:rsidRDefault="00234ACD" w:rsidP="00234ACD">
      <w:pPr>
        <w:rPr>
          <w:rFonts w:cs="Times New Roman"/>
          <w:sz w:val="20"/>
          <w:szCs w:val="20"/>
        </w:rPr>
      </w:pPr>
    </w:p>
    <w:p w14:paraId="6D2E6E43" w14:textId="14841811" w:rsidR="00234ACD" w:rsidRPr="006A68C3" w:rsidRDefault="00234ACD" w:rsidP="00234ACD">
      <w:pPr>
        <w:rPr>
          <w:rFonts w:cs="Times New Roman"/>
          <w:i/>
          <w:iCs/>
          <w:sz w:val="20"/>
          <w:szCs w:val="20"/>
        </w:rPr>
      </w:pPr>
      <w:r w:rsidRPr="006A68C3">
        <w:rPr>
          <w:rFonts w:cs="Times New Roman"/>
          <w:i/>
          <w:iCs/>
          <w:sz w:val="20"/>
          <w:szCs w:val="20"/>
        </w:rPr>
        <w:t>2</w:t>
      </w:r>
      <w:r w:rsidRPr="006A68C3">
        <w:rPr>
          <w:rFonts w:cs="Times New Roman"/>
          <w:i/>
          <w:iCs/>
          <w:sz w:val="20"/>
          <w:szCs w:val="20"/>
        </w:rPr>
        <w:t>.2 Validation and Verification</w:t>
      </w:r>
    </w:p>
    <w:p w14:paraId="2948EAF7" w14:textId="77777777" w:rsidR="00234ACD" w:rsidRPr="00234ACD" w:rsidRDefault="00234ACD" w:rsidP="00234ACD">
      <w:pPr>
        <w:rPr>
          <w:rFonts w:cs="Times New Roman"/>
          <w:sz w:val="20"/>
          <w:szCs w:val="20"/>
        </w:rPr>
      </w:pPr>
      <w:r w:rsidRPr="00234ACD">
        <w:rPr>
          <w:rFonts w:cs="Times New Roman"/>
          <w:sz w:val="20"/>
          <w:szCs w:val="20"/>
        </w:rPr>
        <w:t>The aim is to create a model that represents conditions close to the characteristics of the actual system as a substitute for the actual system for the purpose of system testing, system behavior analysis, and system performance prediction.</w:t>
      </w:r>
    </w:p>
    <w:p w14:paraId="6D6ACB7C" w14:textId="77777777" w:rsidR="00234ACD" w:rsidRPr="00234ACD" w:rsidRDefault="00234ACD" w:rsidP="00234ACD">
      <w:pPr>
        <w:rPr>
          <w:rFonts w:cs="Times New Roman"/>
          <w:sz w:val="20"/>
          <w:szCs w:val="20"/>
        </w:rPr>
      </w:pPr>
    </w:p>
    <w:p w14:paraId="350D585F" w14:textId="77777777" w:rsidR="00234ACD" w:rsidRPr="00234ACD" w:rsidRDefault="00234ACD" w:rsidP="00234ACD">
      <w:pPr>
        <w:rPr>
          <w:rFonts w:cs="Times New Roman"/>
          <w:sz w:val="20"/>
          <w:szCs w:val="20"/>
        </w:rPr>
      </w:pPr>
    </w:p>
    <w:p w14:paraId="5C0405F5" w14:textId="3ED4382F" w:rsidR="00234ACD" w:rsidRPr="006A68C3" w:rsidRDefault="00234ACD" w:rsidP="00234ACD">
      <w:pPr>
        <w:rPr>
          <w:rFonts w:cs="Times New Roman"/>
          <w:i/>
          <w:iCs/>
          <w:sz w:val="20"/>
          <w:szCs w:val="20"/>
        </w:rPr>
      </w:pPr>
      <w:r w:rsidRPr="006A68C3">
        <w:rPr>
          <w:rFonts w:cs="Times New Roman"/>
          <w:i/>
          <w:iCs/>
          <w:sz w:val="20"/>
          <w:szCs w:val="20"/>
        </w:rPr>
        <w:t>2</w:t>
      </w:r>
      <w:r w:rsidRPr="006A68C3">
        <w:rPr>
          <w:rFonts w:cs="Times New Roman"/>
          <w:i/>
          <w:iCs/>
          <w:sz w:val="20"/>
          <w:szCs w:val="20"/>
        </w:rPr>
        <w:t>.3 Implementation &amp; Post Implementation Analysis</w:t>
      </w:r>
    </w:p>
    <w:p w14:paraId="5E866020" w14:textId="77777777" w:rsidR="006A68C3" w:rsidRDefault="00234ACD" w:rsidP="00234ACD">
      <w:pPr>
        <w:rPr>
          <w:rFonts w:cs="Times New Roman"/>
          <w:sz w:val="20"/>
          <w:szCs w:val="20"/>
        </w:rPr>
      </w:pPr>
      <w:r w:rsidRPr="00234ACD">
        <w:rPr>
          <w:rFonts w:cs="Times New Roman"/>
          <w:sz w:val="20"/>
          <w:szCs w:val="20"/>
        </w:rPr>
        <w:t xml:space="preserve">Implementation and post implementation of FMEA analysis is designed to: </w:t>
      </w:r>
    </w:p>
    <w:p w14:paraId="216572DB" w14:textId="77B10E81" w:rsidR="00234ACD" w:rsidRPr="00234ACD" w:rsidRDefault="00234ACD" w:rsidP="00234ACD">
      <w:pPr>
        <w:rPr>
          <w:rFonts w:cs="Times New Roman"/>
          <w:sz w:val="20"/>
          <w:szCs w:val="20"/>
        </w:rPr>
      </w:pPr>
      <w:r w:rsidRPr="00234ACD">
        <w:rPr>
          <w:rFonts w:cs="Times New Roman"/>
          <w:sz w:val="20"/>
          <w:szCs w:val="20"/>
        </w:rPr>
        <w:t>a. Identify and fully understand potential failure modes and their causes, and the effects of failure on the system or end users, for a given product or process.</w:t>
      </w:r>
    </w:p>
    <w:p w14:paraId="4BF3EFC9" w14:textId="77777777" w:rsidR="00234ACD" w:rsidRPr="00234ACD" w:rsidRDefault="00234ACD" w:rsidP="00234ACD">
      <w:pPr>
        <w:rPr>
          <w:rFonts w:cs="Times New Roman"/>
          <w:sz w:val="20"/>
          <w:szCs w:val="20"/>
        </w:rPr>
      </w:pPr>
      <w:r w:rsidRPr="00234ACD">
        <w:rPr>
          <w:rFonts w:cs="Times New Roman"/>
          <w:sz w:val="20"/>
          <w:szCs w:val="20"/>
        </w:rPr>
        <w:t>b. Assess the risk associated with the identified failure modes, effects, and causes, and prioritize issues for corrective action.</w:t>
      </w:r>
    </w:p>
    <w:p w14:paraId="6842BCA5" w14:textId="77777777" w:rsidR="00234ACD" w:rsidRPr="00234ACD" w:rsidRDefault="00234ACD" w:rsidP="00234ACD">
      <w:pPr>
        <w:rPr>
          <w:rFonts w:cs="Times New Roman"/>
          <w:sz w:val="20"/>
          <w:szCs w:val="20"/>
        </w:rPr>
      </w:pPr>
      <w:r w:rsidRPr="00234ACD">
        <w:rPr>
          <w:rFonts w:cs="Times New Roman"/>
          <w:sz w:val="20"/>
          <w:szCs w:val="20"/>
        </w:rPr>
        <w:t>c. Identify and carry out corrective actions to address the most serious concerns. FMEA can be viewed as a proactive procedure for evaluating a process by identifying where and how it might fail and assessing the relative impact of different failures.</w:t>
      </w:r>
    </w:p>
    <w:p w14:paraId="634C02D8" w14:textId="77777777" w:rsidR="00234ACD" w:rsidRPr="00234ACD" w:rsidRDefault="00234ACD" w:rsidP="00234ACD">
      <w:pPr>
        <w:rPr>
          <w:rFonts w:cs="Times New Roman"/>
          <w:sz w:val="20"/>
          <w:szCs w:val="20"/>
        </w:rPr>
      </w:pPr>
      <w:r w:rsidRPr="00234ACD">
        <w:rPr>
          <w:rFonts w:cs="Times New Roman"/>
          <w:sz w:val="20"/>
          <w:szCs w:val="20"/>
        </w:rPr>
        <w:t>Despite FMEA’s primary objective is improving the system design, it can be applied in any stage of a project to mitigate potential future risks produced by failure modes. FMEA is conducted by a cross-functional team of subject matter experts that analyzes the system to identify weaknesses and propose correcting actions that prevent a negative impact on the system’s performance. At this point, it is important to note that FMEA’s objective is not to predict failures. Its aim is to identify existing and potential failures through a subjective and systematic assessment to classify those failures according to a risk measure.</w:t>
      </w:r>
    </w:p>
    <w:p w14:paraId="761610CD" w14:textId="77777777" w:rsidR="00234ACD" w:rsidRPr="00234ACD" w:rsidRDefault="00234ACD" w:rsidP="00234ACD">
      <w:pPr>
        <w:rPr>
          <w:rFonts w:cs="Times New Roman"/>
          <w:sz w:val="20"/>
          <w:szCs w:val="20"/>
        </w:rPr>
      </w:pPr>
      <w:r w:rsidRPr="00234ACD">
        <w:rPr>
          <w:rFonts w:cs="Times New Roman"/>
          <w:sz w:val="20"/>
          <w:szCs w:val="20"/>
        </w:rPr>
        <w:t xml:space="preserve">• Frequency of </w:t>
      </w:r>
      <w:proofErr w:type="gramStart"/>
      <w:r w:rsidRPr="00234ACD">
        <w:rPr>
          <w:rFonts w:cs="Times New Roman"/>
          <w:sz w:val="20"/>
          <w:szCs w:val="20"/>
        </w:rPr>
        <w:t>Occurrence :</w:t>
      </w:r>
      <w:proofErr w:type="gramEnd"/>
      <w:r w:rsidRPr="00234ACD">
        <w:rPr>
          <w:rFonts w:cs="Times New Roman"/>
          <w:sz w:val="20"/>
          <w:szCs w:val="20"/>
        </w:rPr>
        <w:t xml:space="preserve"> that represents the number of times the failure mode occurs.</w:t>
      </w:r>
    </w:p>
    <w:p w14:paraId="478F7DBC" w14:textId="77777777" w:rsidR="00234ACD" w:rsidRPr="00234ACD" w:rsidRDefault="00234ACD" w:rsidP="00234ACD">
      <w:pPr>
        <w:rPr>
          <w:rFonts w:cs="Times New Roman"/>
          <w:sz w:val="20"/>
          <w:szCs w:val="20"/>
        </w:rPr>
      </w:pPr>
    </w:p>
    <w:p w14:paraId="3D9AA02E" w14:textId="15D492DE" w:rsidR="00670F38" w:rsidRDefault="00234ACD" w:rsidP="00670F38">
      <w:pPr>
        <w:rPr>
          <w:rFonts w:cs="Times New Roman"/>
          <w:sz w:val="20"/>
          <w:szCs w:val="20"/>
        </w:rPr>
      </w:pPr>
      <w:r w:rsidRPr="00234ACD">
        <w:rPr>
          <w:rFonts w:cs="Times New Roman"/>
          <w:sz w:val="20"/>
          <w:szCs w:val="20"/>
        </w:rPr>
        <w:t>• Detectability Assign an Occurrence Assign a Detectability Assign a Severity Reevaluate the RPN number after the actions are completed.</w:t>
      </w:r>
    </w:p>
    <w:p w14:paraId="171312B0" w14:textId="51C09AB7" w:rsidR="00181E52" w:rsidRDefault="00181E52" w:rsidP="00670F38">
      <w:pPr>
        <w:rPr>
          <w:rFonts w:cs="Times New Roman"/>
          <w:sz w:val="20"/>
          <w:szCs w:val="20"/>
        </w:rPr>
      </w:pPr>
    </w:p>
    <w:p w14:paraId="291D6C09" w14:textId="34FDDA24" w:rsidR="00181E52" w:rsidRDefault="00181E52" w:rsidP="00181E52">
      <w:pPr>
        <w:jc w:val="center"/>
      </w:pPr>
      <w:r w:rsidRPr="006D01C6">
        <w:rPr>
          <w:b/>
          <w:bCs/>
        </w:rPr>
        <w:t xml:space="preserve">Table </w:t>
      </w:r>
      <w:r>
        <w:rPr>
          <w:b/>
          <w:bCs/>
        </w:rPr>
        <w:t>1</w:t>
      </w:r>
      <w:r w:rsidRPr="006D01C6">
        <w:rPr>
          <w:b/>
          <w:bCs/>
        </w:rPr>
        <w:t>.</w:t>
      </w:r>
      <w:r>
        <w:t xml:space="preserve"> </w:t>
      </w:r>
      <w:r w:rsidRPr="006D01C6">
        <w:rPr>
          <w:sz w:val="20"/>
          <w:szCs w:val="20"/>
        </w:rPr>
        <w:t>Baseline Truck Maintenance Intervals</w:t>
      </w:r>
    </w:p>
    <w:p w14:paraId="68C65BC7" w14:textId="77777777" w:rsidR="00181E52" w:rsidRDefault="00181E52" w:rsidP="00181E52"/>
    <w:tbl>
      <w:tblPr>
        <w:tblStyle w:val="TableGrid"/>
        <w:tblW w:w="0" w:type="auto"/>
        <w:tblLook w:val="04A0" w:firstRow="1" w:lastRow="0" w:firstColumn="1" w:lastColumn="0" w:noHBand="0" w:noVBand="1"/>
      </w:tblPr>
      <w:tblGrid>
        <w:gridCol w:w="2405"/>
        <w:gridCol w:w="1985"/>
        <w:gridCol w:w="2126"/>
        <w:gridCol w:w="1417"/>
      </w:tblGrid>
      <w:tr w:rsidR="00181E52" w14:paraId="786CEF1A" w14:textId="77777777" w:rsidTr="0079602A">
        <w:trPr>
          <w:trHeight w:val="618"/>
        </w:trPr>
        <w:tc>
          <w:tcPr>
            <w:tcW w:w="2405" w:type="dxa"/>
            <w:tcBorders>
              <w:left w:val="single" w:sz="4" w:space="0" w:color="FFFFFF" w:themeColor="background1"/>
              <w:right w:val="single" w:sz="4" w:space="0" w:color="FFFFFF" w:themeColor="background1"/>
            </w:tcBorders>
          </w:tcPr>
          <w:p w14:paraId="1CBBC3B7" w14:textId="77777777" w:rsidR="00181E52" w:rsidRPr="00181E52" w:rsidRDefault="00181E52" w:rsidP="0079602A">
            <w:pPr>
              <w:spacing w:before="120" w:after="120"/>
              <w:jc w:val="center"/>
              <w:rPr>
                <w:b/>
                <w:bCs/>
              </w:rPr>
            </w:pPr>
            <w:r w:rsidRPr="00181E52">
              <w:rPr>
                <w:b/>
                <w:bCs/>
              </w:rPr>
              <w:t>Inspection and Maintenance</w:t>
            </w:r>
          </w:p>
        </w:tc>
        <w:tc>
          <w:tcPr>
            <w:tcW w:w="1985" w:type="dxa"/>
            <w:tcBorders>
              <w:left w:val="single" w:sz="4" w:space="0" w:color="FFFFFF" w:themeColor="background1"/>
              <w:right w:val="single" w:sz="4" w:space="0" w:color="FFFFFF" w:themeColor="background1"/>
            </w:tcBorders>
          </w:tcPr>
          <w:p w14:paraId="6A4FFA2D" w14:textId="77777777" w:rsidR="00181E52" w:rsidRPr="00181E52" w:rsidRDefault="00181E52" w:rsidP="0079602A">
            <w:pPr>
              <w:spacing w:before="120" w:after="120"/>
              <w:jc w:val="center"/>
              <w:rPr>
                <w:b/>
                <w:bCs/>
              </w:rPr>
            </w:pPr>
            <w:r w:rsidRPr="00181E52">
              <w:rPr>
                <w:b/>
                <w:bCs/>
              </w:rPr>
              <w:t>Miles</w:t>
            </w:r>
          </w:p>
        </w:tc>
        <w:tc>
          <w:tcPr>
            <w:tcW w:w="2126" w:type="dxa"/>
            <w:tcBorders>
              <w:left w:val="single" w:sz="4" w:space="0" w:color="FFFFFF" w:themeColor="background1"/>
              <w:right w:val="single" w:sz="4" w:space="0" w:color="FFFFFF" w:themeColor="background1"/>
            </w:tcBorders>
          </w:tcPr>
          <w:p w14:paraId="193D811E" w14:textId="77777777" w:rsidR="00181E52" w:rsidRPr="00181E52" w:rsidRDefault="00181E52" w:rsidP="0079602A">
            <w:pPr>
              <w:spacing w:before="120" w:after="120"/>
              <w:jc w:val="center"/>
              <w:rPr>
                <w:b/>
                <w:bCs/>
              </w:rPr>
            </w:pPr>
            <w:r w:rsidRPr="00181E52">
              <w:rPr>
                <w:b/>
                <w:bCs/>
              </w:rPr>
              <w:t>Time</w:t>
            </w:r>
          </w:p>
        </w:tc>
        <w:tc>
          <w:tcPr>
            <w:tcW w:w="1417" w:type="dxa"/>
            <w:tcBorders>
              <w:left w:val="single" w:sz="4" w:space="0" w:color="FFFFFF" w:themeColor="background1"/>
              <w:right w:val="single" w:sz="4" w:space="0" w:color="FFFFFF" w:themeColor="background1"/>
            </w:tcBorders>
          </w:tcPr>
          <w:p w14:paraId="678F1D89" w14:textId="77777777" w:rsidR="00181E52" w:rsidRPr="00181E52" w:rsidRDefault="00181E52" w:rsidP="0079602A">
            <w:pPr>
              <w:spacing w:before="120" w:after="120"/>
              <w:jc w:val="center"/>
              <w:rPr>
                <w:b/>
                <w:bCs/>
              </w:rPr>
            </w:pPr>
            <w:r w:rsidRPr="00181E52">
              <w:rPr>
                <w:b/>
                <w:bCs/>
              </w:rPr>
              <w:t>Intervals</w:t>
            </w:r>
          </w:p>
        </w:tc>
      </w:tr>
      <w:tr w:rsidR="00181E52" w14:paraId="67140637" w14:textId="77777777" w:rsidTr="0079602A">
        <w:trPr>
          <w:trHeight w:val="570"/>
        </w:trPr>
        <w:tc>
          <w:tcPr>
            <w:tcW w:w="2405" w:type="dxa"/>
            <w:tcBorders>
              <w:left w:val="single" w:sz="4" w:space="0" w:color="FFFFFF" w:themeColor="background1"/>
              <w:bottom w:val="single" w:sz="4" w:space="0" w:color="FFFFFF" w:themeColor="background1"/>
              <w:right w:val="single" w:sz="4" w:space="0" w:color="FFFFFF" w:themeColor="background1"/>
            </w:tcBorders>
          </w:tcPr>
          <w:p w14:paraId="061DAC97" w14:textId="77777777" w:rsidR="00181E52" w:rsidRPr="00181E52" w:rsidRDefault="00181E52" w:rsidP="0079602A">
            <w:pPr>
              <w:spacing w:before="120" w:after="120"/>
              <w:jc w:val="center"/>
              <w:rPr>
                <w:sz w:val="20"/>
                <w:szCs w:val="20"/>
              </w:rPr>
            </w:pPr>
            <w:r w:rsidRPr="00181E52">
              <w:rPr>
                <w:sz w:val="20"/>
                <w:szCs w:val="20"/>
              </w:rPr>
              <w:t>Visual Inspection</w:t>
            </w:r>
          </w:p>
        </w:tc>
        <w:tc>
          <w:tcPr>
            <w:tcW w:w="1985" w:type="dxa"/>
            <w:tcBorders>
              <w:left w:val="single" w:sz="4" w:space="0" w:color="FFFFFF" w:themeColor="background1"/>
              <w:bottom w:val="single" w:sz="4" w:space="0" w:color="FFFFFF" w:themeColor="background1"/>
              <w:right w:val="single" w:sz="4" w:space="0" w:color="FFFFFF" w:themeColor="background1"/>
            </w:tcBorders>
          </w:tcPr>
          <w:p w14:paraId="3B72BEF3" w14:textId="77777777" w:rsidR="00181E52" w:rsidRPr="00181E52" w:rsidRDefault="00181E52" w:rsidP="0079602A">
            <w:pPr>
              <w:spacing w:before="120" w:after="120"/>
              <w:jc w:val="center"/>
              <w:rPr>
                <w:sz w:val="20"/>
                <w:szCs w:val="20"/>
              </w:rPr>
            </w:pPr>
            <w:r w:rsidRPr="00181E52">
              <w:rPr>
                <w:sz w:val="20"/>
                <w:szCs w:val="20"/>
              </w:rPr>
              <w:t>3,000 to 5,000</w:t>
            </w:r>
          </w:p>
        </w:tc>
        <w:tc>
          <w:tcPr>
            <w:tcW w:w="2126" w:type="dxa"/>
            <w:tcBorders>
              <w:left w:val="single" w:sz="4" w:space="0" w:color="FFFFFF" w:themeColor="background1"/>
              <w:bottom w:val="single" w:sz="4" w:space="0" w:color="FFFFFF" w:themeColor="background1"/>
              <w:right w:val="single" w:sz="4" w:space="0" w:color="FFFFFF" w:themeColor="background1"/>
            </w:tcBorders>
          </w:tcPr>
          <w:p w14:paraId="3C143C8E" w14:textId="77777777" w:rsidR="00181E52" w:rsidRPr="00181E52" w:rsidRDefault="00181E52" w:rsidP="0079602A">
            <w:pPr>
              <w:spacing w:before="120" w:after="120"/>
              <w:jc w:val="center"/>
              <w:rPr>
                <w:sz w:val="20"/>
                <w:szCs w:val="20"/>
              </w:rPr>
            </w:pPr>
            <w:r w:rsidRPr="00181E52">
              <w:rPr>
                <w:sz w:val="20"/>
                <w:szCs w:val="20"/>
              </w:rPr>
              <w:t>Monthly</w:t>
            </w:r>
          </w:p>
        </w:tc>
        <w:tc>
          <w:tcPr>
            <w:tcW w:w="1417" w:type="dxa"/>
            <w:tcBorders>
              <w:left w:val="single" w:sz="4" w:space="0" w:color="FFFFFF" w:themeColor="background1"/>
              <w:bottom w:val="single" w:sz="4" w:space="0" w:color="FFFFFF" w:themeColor="background1"/>
              <w:right w:val="single" w:sz="4" w:space="0" w:color="FFFFFF" w:themeColor="background1"/>
            </w:tcBorders>
          </w:tcPr>
          <w:p w14:paraId="6F63E9FA" w14:textId="77777777" w:rsidR="00181E52" w:rsidRPr="00181E52" w:rsidRDefault="00181E52" w:rsidP="0079602A">
            <w:pPr>
              <w:spacing w:before="120" w:after="120"/>
              <w:jc w:val="center"/>
              <w:rPr>
                <w:sz w:val="20"/>
                <w:szCs w:val="20"/>
              </w:rPr>
            </w:pPr>
            <w:r w:rsidRPr="00181E52">
              <w:rPr>
                <w:sz w:val="20"/>
                <w:szCs w:val="20"/>
              </w:rPr>
              <w:t>NA</w:t>
            </w:r>
          </w:p>
        </w:tc>
      </w:tr>
      <w:tr w:rsidR="00181E52" w14:paraId="556440C9" w14:textId="77777777" w:rsidTr="0079602A">
        <w:trPr>
          <w:trHeight w:val="1079"/>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3F697D" w14:textId="77777777" w:rsidR="00181E52" w:rsidRPr="00181E52" w:rsidRDefault="00181E52" w:rsidP="0079602A">
            <w:pPr>
              <w:spacing w:before="120" w:after="120"/>
              <w:jc w:val="center"/>
              <w:rPr>
                <w:sz w:val="20"/>
                <w:szCs w:val="20"/>
              </w:rPr>
            </w:pPr>
            <w:r w:rsidRPr="00181E52">
              <w:rPr>
                <w:sz w:val="20"/>
                <w:szCs w:val="20"/>
              </w:rPr>
              <w:t>Wheel gauging, adjusting, checking and replenishing lubricants</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BE9D67" w14:textId="77777777" w:rsidR="00181E52" w:rsidRPr="00181E52" w:rsidRDefault="00181E52" w:rsidP="0079602A">
            <w:pPr>
              <w:spacing w:before="120" w:after="120"/>
              <w:jc w:val="center"/>
              <w:rPr>
                <w:sz w:val="20"/>
                <w:szCs w:val="20"/>
              </w:rPr>
            </w:pPr>
            <w:r w:rsidRPr="00181E52">
              <w:rPr>
                <w:sz w:val="20"/>
                <w:szCs w:val="20"/>
              </w:rPr>
              <w:t>12,000 to 15,000</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A94CB7" w14:textId="77777777" w:rsidR="00181E52" w:rsidRPr="00181E52" w:rsidRDefault="00181E52" w:rsidP="0079602A">
            <w:pPr>
              <w:spacing w:before="120" w:after="120"/>
              <w:jc w:val="center"/>
              <w:rPr>
                <w:sz w:val="20"/>
                <w:szCs w:val="20"/>
              </w:rPr>
            </w:pPr>
            <w:r w:rsidRPr="00181E52">
              <w:rPr>
                <w:sz w:val="20"/>
                <w:szCs w:val="20"/>
              </w:rPr>
              <w:t>Three to four months</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F0C937" w14:textId="77777777" w:rsidR="00181E52" w:rsidRPr="00181E52" w:rsidRDefault="00181E52" w:rsidP="0079602A">
            <w:pPr>
              <w:spacing w:before="120" w:after="120"/>
              <w:jc w:val="center"/>
              <w:rPr>
                <w:sz w:val="20"/>
                <w:szCs w:val="20"/>
              </w:rPr>
            </w:pPr>
            <w:r w:rsidRPr="00181E52">
              <w:rPr>
                <w:sz w:val="20"/>
                <w:szCs w:val="20"/>
              </w:rPr>
              <w:t>NA</w:t>
            </w:r>
          </w:p>
        </w:tc>
      </w:tr>
      <w:tr w:rsidR="00181E52" w14:paraId="1C20C6F6" w14:textId="77777777" w:rsidTr="0079602A">
        <w:trPr>
          <w:trHeight w:val="556"/>
        </w:trPr>
        <w:tc>
          <w:tcPr>
            <w:tcW w:w="2405" w:type="dxa"/>
            <w:tcBorders>
              <w:top w:val="single" w:sz="4" w:space="0" w:color="FFFFFF" w:themeColor="background1"/>
              <w:left w:val="single" w:sz="4" w:space="0" w:color="FFFFFF" w:themeColor="background1"/>
              <w:right w:val="single" w:sz="4" w:space="0" w:color="FFFFFF" w:themeColor="background1"/>
            </w:tcBorders>
          </w:tcPr>
          <w:p w14:paraId="021637E3" w14:textId="77777777" w:rsidR="00181E52" w:rsidRPr="00181E52" w:rsidRDefault="00181E52" w:rsidP="0079602A">
            <w:pPr>
              <w:spacing w:before="120" w:after="120"/>
              <w:jc w:val="center"/>
              <w:rPr>
                <w:sz w:val="20"/>
                <w:szCs w:val="20"/>
              </w:rPr>
            </w:pPr>
            <w:r w:rsidRPr="00181E52">
              <w:rPr>
                <w:sz w:val="20"/>
                <w:szCs w:val="20"/>
              </w:rPr>
              <w:t>Predictive testing</w:t>
            </w:r>
          </w:p>
        </w:tc>
        <w:tc>
          <w:tcPr>
            <w:tcW w:w="1985" w:type="dxa"/>
            <w:tcBorders>
              <w:top w:val="single" w:sz="4" w:space="0" w:color="FFFFFF" w:themeColor="background1"/>
              <w:left w:val="single" w:sz="4" w:space="0" w:color="FFFFFF" w:themeColor="background1"/>
              <w:right w:val="single" w:sz="4" w:space="0" w:color="FFFFFF" w:themeColor="background1"/>
            </w:tcBorders>
          </w:tcPr>
          <w:p w14:paraId="296AC347" w14:textId="77777777" w:rsidR="00181E52" w:rsidRPr="00181E52" w:rsidRDefault="00181E52" w:rsidP="0079602A">
            <w:pPr>
              <w:spacing w:before="120" w:after="120"/>
              <w:jc w:val="center"/>
              <w:rPr>
                <w:sz w:val="20"/>
                <w:szCs w:val="20"/>
              </w:rPr>
            </w:pPr>
            <w:r w:rsidRPr="00181E52">
              <w:rPr>
                <w:sz w:val="20"/>
                <w:szCs w:val="20"/>
              </w:rPr>
              <w:t>NA</w:t>
            </w:r>
          </w:p>
        </w:tc>
        <w:tc>
          <w:tcPr>
            <w:tcW w:w="2126" w:type="dxa"/>
            <w:tcBorders>
              <w:top w:val="single" w:sz="4" w:space="0" w:color="FFFFFF" w:themeColor="background1"/>
              <w:left w:val="single" w:sz="4" w:space="0" w:color="FFFFFF" w:themeColor="background1"/>
              <w:right w:val="single" w:sz="4" w:space="0" w:color="FFFFFF" w:themeColor="background1"/>
            </w:tcBorders>
          </w:tcPr>
          <w:p w14:paraId="7FD23D07" w14:textId="77777777" w:rsidR="00181E52" w:rsidRPr="00181E52" w:rsidRDefault="00181E52" w:rsidP="0079602A">
            <w:pPr>
              <w:spacing w:before="120" w:after="120"/>
              <w:jc w:val="center"/>
              <w:rPr>
                <w:sz w:val="20"/>
                <w:szCs w:val="20"/>
              </w:rPr>
            </w:pPr>
            <w:r w:rsidRPr="00181E52">
              <w:rPr>
                <w:sz w:val="20"/>
                <w:szCs w:val="20"/>
              </w:rPr>
              <w:t>As determined by RTS</w:t>
            </w:r>
          </w:p>
        </w:tc>
        <w:tc>
          <w:tcPr>
            <w:tcW w:w="1417" w:type="dxa"/>
            <w:tcBorders>
              <w:top w:val="single" w:sz="4" w:space="0" w:color="FFFFFF" w:themeColor="background1"/>
              <w:left w:val="single" w:sz="4" w:space="0" w:color="FFFFFF" w:themeColor="background1"/>
              <w:right w:val="single" w:sz="4" w:space="0" w:color="FFFFFF" w:themeColor="background1"/>
            </w:tcBorders>
          </w:tcPr>
          <w:p w14:paraId="3F7C3C44" w14:textId="77777777" w:rsidR="00181E52" w:rsidRPr="00181E52" w:rsidRDefault="00181E52" w:rsidP="0079602A">
            <w:pPr>
              <w:spacing w:before="120" w:after="120"/>
              <w:jc w:val="center"/>
              <w:rPr>
                <w:sz w:val="20"/>
                <w:szCs w:val="20"/>
              </w:rPr>
            </w:pPr>
          </w:p>
        </w:tc>
      </w:tr>
    </w:tbl>
    <w:p w14:paraId="307D7F12" w14:textId="77777777" w:rsidR="00181E52" w:rsidRDefault="00181E52" w:rsidP="00181E52"/>
    <w:p w14:paraId="64FC41D5" w14:textId="2938B927" w:rsidR="00181E52" w:rsidRDefault="00181E52" w:rsidP="00670F38">
      <w:pPr>
        <w:rPr>
          <w:rFonts w:cs="Times New Roman"/>
          <w:sz w:val="20"/>
          <w:szCs w:val="20"/>
        </w:rPr>
      </w:pPr>
    </w:p>
    <w:p w14:paraId="0023E4EA" w14:textId="7C118D04" w:rsidR="00A2441B" w:rsidRDefault="00A2441B" w:rsidP="00670F38">
      <w:pPr>
        <w:rPr>
          <w:rFonts w:cs="Times New Roman"/>
          <w:sz w:val="20"/>
          <w:szCs w:val="20"/>
        </w:rPr>
      </w:pPr>
    </w:p>
    <w:p w14:paraId="485BD282" w14:textId="05A7976D" w:rsidR="00A2441B" w:rsidRDefault="00A2441B" w:rsidP="00670F38">
      <w:pPr>
        <w:rPr>
          <w:rFonts w:cs="Times New Roman"/>
          <w:sz w:val="20"/>
          <w:szCs w:val="20"/>
        </w:rPr>
      </w:pPr>
    </w:p>
    <w:p w14:paraId="0968EE0B" w14:textId="1980CD60" w:rsidR="00A2441B" w:rsidRDefault="00A2441B" w:rsidP="00670F38">
      <w:pPr>
        <w:rPr>
          <w:rFonts w:cs="Times New Roman"/>
          <w:sz w:val="20"/>
          <w:szCs w:val="20"/>
        </w:rPr>
      </w:pPr>
    </w:p>
    <w:p w14:paraId="7D53AA3F" w14:textId="0DB732F1" w:rsidR="00A2441B" w:rsidRDefault="00A2441B" w:rsidP="00670F38">
      <w:pPr>
        <w:rPr>
          <w:rFonts w:cs="Times New Roman"/>
          <w:sz w:val="20"/>
          <w:szCs w:val="20"/>
        </w:rPr>
      </w:pPr>
    </w:p>
    <w:p w14:paraId="482A0B5C" w14:textId="1002B106" w:rsidR="00A2441B" w:rsidRDefault="00A2441B" w:rsidP="00670F38">
      <w:pPr>
        <w:rPr>
          <w:rFonts w:cs="Times New Roman"/>
          <w:sz w:val="20"/>
          <w:szCs w:val="20"/>
        </w:rPr>
      </w:pPr>
    </w:p>
    <w:p w14:paraId="524DFC89" w14:textId="77777777" w:rsidR="00A2441B" w:rsidRPr="00331244" w:rsidRDefault="00A2441B" w:rsidP="00670F38">
      <w:pPr>
        <w:rPr>
          <w:rFonts w:cs="Times New Roman"/>
          <w:sz w:val="20"/>
          <w:szCs w:val="20"/>
        </w:rPr>
      </w:pPr>
    </w:p>
    <w:p w14:paraId="17BEDFD5" w14:textId="14DDE6F1" w:rsidR="001D3969" w:rsidRDefault="001D3969" w:rsidP="001D3969">
      <w:pPr>
        <w:pStyle w:val="Section"/>
      </w:pPr>
      <w:r w:rsidRPr="001D3969">
        <w:lastRenderedPageBreak/>
        <w:t>Discussion</w:t>
      </w:r>
    </w:p>
    <w:p w14:paraId="1FF176DB" w14:textId="77777777" w:rsidR="00A2441B" w:rsidRPr="00A2441B" w:rsidRDefault="00A2441B" w:rsidP="00A2441B"/>
    <w:p w14:paraId="781FFC2D" w14:textId="77777777" w:rsidR="001D3969" w:rsidRPr="001D3969" w:rsidRDefault="001D3969" w:rsidP="001D3969"/>
    <w:p w14:paraId="4A42BDDF" w14:textId="109DADC5" w:rsidR="00F46B03" w:rsidRDefault="001D3969" w:rsidP="001D3969">
      <w:pPr>
        <w:rPr>
          <w:rFonts w:cs="Times New Roman"/>
          <w:sz w:val="20"/>
          <w:szCs w:val="20"/>
        </w:rPr>
      </w:pPr>
      <w:r w:rsidRPr="001D3969">
        <w:rPr>
          <w:rFonts w:cs="Times New Roman"/>
          <w:sz w:val="20"/>
          <w:szCs w:val="20"/>
        </w:rPr>
        <w:t>Results of the experimental on analyzing Pre-weld heating on the crack frame failure are as follow:</w:t>
      </w:r>
    </w:p>
    <w:p w14:paraId="290B4893" w14:textId="30EBFFCD" w:rsidR="001D3969" w:rsidRDefault="001D3969" w:rsidP="00670F38">
      <w:pPr>
        <w:rPr>
          <w:rFonts w:cs="Times New Roman"/>
          <w:sz w:val="20"/>
          <w:szCs w:val="20"/>
        </w:rPr>
      </w:pPr>
    </w:p>
    <w:p w14:paraId="68C1317D" w14:textId="56947654" w:rsidR="001D3969" w:rsidRDefault="001D3969" w:rsidP="00670F38">
      <w:pPr>
        <w:rPr>
          <w:rFonts w:cs="Times New Roman"/>
          <w:sz w:val="20"/>
          <w:szCs w:val="20"/>
        </w:rPr>
      </w:pPr>
    </w:p>
    <w:p w14:paraId="188C6044" w14:textId="77777777" w:rsidR="001D3969" w:rsidRPr="00331244" w:rsidRDefault="001D3969" w:rsidP="00670F38">
      <w:pPr>
        <w:rPr>
          <w:rFonts w:cs="Times New Roman"/>
          <w:sz w:val="20"/>
          <w:szCs w:val="20"/>
        </w:rPr>
      </w:pPr>
    </w:p>
    <w:p w14:paraId="456E5FE1" w14:textId="3403ADD3" w:rsidR="00670F38" w:rsidRDefault="00670F38" w:rsidP="00932742">
      <w:pPr>
        <w:jc w:val="center"/>
        <w:rPr>
          <w:rFonts w:cs="Times New Roman"/>
          <w:sz w:val="20"/>
          <w:szCs w:val="20"/>
        </w:rPr>
      </w:pPr>
      <w:r w:rsidRPr="007D0926">
        <w:rPr>
          <w:rFonts w:cs="Times New Roman"/>
          <w:b/>
          <w:bCs/>
          <w:sz w:val="20"/>
          <w:szCs w:val="20"/>
        </w:rPr>
        <w:t xml:space="preserve">Table </w:t>
      </w:r>
      <w:r w:rsidR="006D01C6">
        <w:rPr>
          <w:rFonts w:cs="Times New Roman"/>
          <w:b/>
          <w:bCs/>
          <w:sz w:val="20"/>
          <w:szCs w:val="20"/>
        </w:rPr>
        <w:t>1</w:t>
      </w:r>
      <w:r w:rsidRPr="00331244">
        <w:rPr>
          <w:rFonts w:cs="Times New Roman"/>
          <w:sz w:val="20"/>
          <w:szCs w:val="20"/>
        </w:rPr>
        <w:t xml:space="preserve">. Pre-Weld Heating </w:t>
      </w:r>
      <w:r w:rsidR="007D0926">
        <w:rPr>
          <w:rFonts w:cs="Times New Roman"/>
          <w:sz w:val="20"/>
          <w:szCs w:val="20"/>
        </w:rPr>
        <w:t xml:space="preserve">Sample </w:t>
      </w:r>
    </w:p>
    <w:p w14:paraId="16B28DD2" w14:textId="77777777" w:rsidR="00932742" w:rsidRPr="00331244" w:rsidRDefault="00932742" w:rsidP="00932742">
      <w:pPr>
        <w:jc w:val="center"/>
        <w:rPr>
          <w:rFonts w:cs="Times New Roman"/>
          <w:sz w:val="20"/>
          <w:szCs w:val="20"/>
        </w:rPr>
      </w:pPr>
    </w:p>
    <w:tbl>
      <w:tblPr>
        <w:tblStyle w:val="TableGrid"/>
        <w:tblW w:w="0" w:type="auto"/>
        <w:jc w:val="center"/>
        <w:tblLook w:val="04A0" w:firstRow="1" w:lastRow="0" w:firstColumn="1" w:lastColumn="0" w:noHBand="0" w:noVBand="1"/>
      </w:tblPr>
      <w:tblGrid>
        <w:gridCol w:w="1696"/>
        <w:gridCol w:w="2127"/>
        <w:gridCol w:w="1842"/>
        <w:gridCol w:w="2977"/>
      </w:tblGrid>
      <w:tr w:rsidR="00AE6EAB" w14:paraId="4B21454B" w14:textId="77777777" w:rsidTr="000933FC">
        <w:trPr>
          <w:trHeight w:val="490"/>
          <w:jc w:val="center"/>
        </w:trPr>
        <w:tc>
          <w:tcPr>
            <w:tcW w:w="1696" w:type="dxa"/>
            <w:tcBorders>
              <w:left w:val="single" w:sz="4" w:space="0" w:color="FFFFFF" w:themeColor="background1"/>
              <w:right w:val="single" w:sz="4" w:space="0" w:color="FFFFFF" w:themeColor="background1"/>
            </w:tcBorders>
          </w:tcPr>
          <w:p w14:paraId="2DD4C239" w14:textId="7F956EF9" w:rsidR="00AE6EAB" w:rsidRPr="00134B03" w:rsidRDefault="00AE6EAB" w:rsidP="007D0926">
            <w:pPr>
              <w:spacing w:before="120" w:after="120"/>
              <w:jc w:val="center"/>
              <w:rPr>
                <w:rFonts w:cs="Times New Roman"/>
                <w:b/>
                <w:bCs/>
                <w:sz w:val="20"/>
                <w:szCs w:val="20"/>
              </w:rPr>
            </w:pPr>
            <w:r w:rsidRPr="00134B03">
              <w:rPr>
                <w:rFonts w:cs="Times New Roman"/>
                <w:b/>
                <w:bCs/>
                <w:sz w:val="20"/>
                <w:szCs w:val="20"/>
              </w:rPr>
              <w:t>Sample</w:t>
            </w:r>
          </w:p>
        </w:tc>
        <w:tc>
          <w:tcPr>
            <w:tcW w:w="2127" w:type="dxa"/>
            <w:tcBorders>
              <w:left w:val="single" w:sz="4" w:space="0" w:color="FFFFFF" w:themeColor="background1"/>
              <w:right w:val="single" w:sz="4" w:space="0" w:color="FFFFFF" w:themeColor="background1"/>
            </w:tcBorders>
          </w:tcPr>
          <w:p w14:paraId="562BCD29" w14:textId="0AB6AB5A" w:rsidR="00AE6EAB" w:rsidRPr="00134B03" w:rsidRDefault="00AE6EAB" w:rsidP="007D0926">
            <w:pPr>
              <w:spacing w:before="120" w:after="120"/>
              <w:jc w:val="center"/>
              <w:rPr>
                <w:rFonts w:cs="Times New Roman"/>
                <w:b/>
                <w:bCs/>
                <w:sz w:val="20"/>
                <w:szCs w:val="20"/>
              </w:rPr>
            </w:pPr>
            <w:r w:rsidRPr="00134B03">
              <w:rPr>
                <w:rFonts w:cs="Times New Roman"/>
                <w:b/>
                <w:bCs/>
                <w:sz w:val="20"/>
                <w:szCs w:val="20"/>
              </w:rPr>
              <w:t xml:space="preserve">Temperature </w:t>
            </w:r>
            <w:proofErr w:type="gramStart"/>
            <w:r w:rsidRPr="00134B03">
              <w:rPr>
                <w:rFonts w:cs="Times New Roman"/>
                <w:b/>
                <w:bCs/>
                <w:sz w:val="20"/>
                <w:szCs w:val="20"/>
              </w:rPr>
              <w:t>( °</w:t>
            </w:r>
            <w:proofErr w:type="gramEnd"/>
            <w:r w:rsidRPr="00134B03">
              <w:rPr>
                <w:rFonts w:cs="Times New Roman"/>
                <w:b/>
                <w:bCs/>
                <w:sz w:val="20"/>
                <w:szCs w:val="20"/>
              </w:rPr>
              <w:t>C )</w:t>
            </w:r>
          </w:p>
        </w:tc>
        <w:tc>
          <w:tcPr>
            <w:tcW w:w="1842" w:type="dxa"/>
            <w:tcBorders>
              <w:left w:val="single" w:sz="4" w:space="0" w:color="FFFFFF" w:themeColor="background1"/>
              <w:right w:val="single" w:sz="4" w:space="0" w:color="FFFFFF" w:themeColor="background1"/>
            </w:tcBorders>
          </w:tcPr>
          <w:p w14:paraId="696A9088" w14:textId="28609F9F" w:rsidR="00AE6EAB" w:rsidRPr="00134B03" w:rsidRDefault="00AE6EAB" w:rsidP="007D0926">
            <w:pPr>
              <w:spacing w:before="120" w:after="120"/>
              <w:jc w:val="center"/>
              <w:rPr>
                <w:rFonts w:cs="Times New Roman"/>
                <w:b/>
                <w:bCs/>
                <w:sz w:val="20"/>
                <w:szCs w:val="20"/>
              </w:rPr>
            </w:pPr>
            <w:r w:rsidRPr="00134B03">
              <w:rPr>
                <w:rFonts w:cs="Times New Roman"/>
                <w:b/>
                <w:bCs/>
                <w:sz w:val="20"/>
                <w:szCs w:val="20"/>
              </w:rPr>
              <w:t xml:space="preserve">Time </w:t>
            </w:r>
            <w:proofErr w:type="gramStart"/>
            <w:r w:rsidRPr="00134B03">
              <w:rPr>
                <w:rFonts w:cs="Times New Roman"/>
                <w:b/>
                <w:bCs/>
                <w:sz w:val="20"/>
                <w:szCs w:val="20"/>
              </w:rPr>
              <w:t>( minute</w:t>
            </w:r>
            <w:proofErr w:type="gramEnd"/>
            <w:r w:rsidR="00134B03" w:rsidRPr="00134B03">
              <w:rPr>
                <w:rFonts w:cs="Times New Roman"/>
                <w:b/>
                <w:bCs/>
                <w:sz w:val="20"/>
                <w:szCs w:val="20"/>
              </w:rPr>
              <w:t xml:space="preserve"> )</w:t>
            </w:r>
          </w:p>
        </w:tc>
        <w:tc>
          <w:tcPr>
            <w:tcW w:w="2977" w:type="dxa"/>
            <w:tcBorders>
              <w:left w:val="single" w:sz="4" w:space="0" w:color="FFFFFF" w:themeColor="background1"/>
              <w:right w:val="single" w:sz="4" w:space="0" w:color="FFFFFF" w:themeColor="background1"/>
            </w:tcBorders>
          </w:tcPr>
          <w:p w14:paraId="3837AE2A" w14:textId="17797E3E" w:rsidR="00AE6EAB" w:rsidRPr="00134B03" w:rsidRDefault="00AE6EAB" w:rsidP="007D0926">
            <w:pPr>
              <w:spacing w:before="120" w:after="120"/>
              <w:jc w:val="center"/>
              <w:rPr>
                <w:rFonts w:cs="Times New Roman"/>
                <w:b/>
                <w:bCs/>
                <w:sz w:val="20"/>
                <w:szCs w:val="20"/>
              </w:rPr>
            </w:pPr>
            <w:r w:rsidRPr="00134B03">
              <w:rPr>
                <w:rFonts w:cs="Times New Roman"/>
                <w:b/>
                <w:bCs/>
                <w:sz w:val="20"/>
                <w:szCs w:val="20"/>
              </w:rPr>
              <w:t>Distor</w:t>
            </w:r>
            <w:r w:rsidR="000933FC">
              <w:rPr>
                <w:rFonts w:cs="Times New Roman"/>
                <w:b/>
                <w:bCs/>
                <w:sz w:val="20"/>
                <w:szCs w:val="20"/>
              </w:rPr>
              <w:t>t</w:t>
            </w:r>
            <w:r w:rsidRPr="00134B03">
              <w:rPr>
                <w:rFonts w:cs="Times New Roman"/>
                <w:b/>
                <w:bCs/>
                <w:sz w:val="20"/>
                <w:szCs w:val="20"/>
              </w:rPr>
              <w:t>ion</w:t>
            </w:r>
            <w:r w:rsidR="00134B03">
              <w:rPr>
                <w:rFonts w:cs="Times New Roman"/>
                <w:b/>
                <w:bCs/>
                <w:sz w:val="20"/>
                <w:szCs w:val="20"/>
              </w:rPr>
              <w:t xml:space="preserve"> (</w:t>
            </w:r>
            <w:proofErr w:type="gramStart"/>
            <w:r w:rsidR="00134B03">
              <w:rPr>
                <w:rFonts w:cs="Times New Roman"/>
                <w:b/>
                <w:bCs/>
                <w:sz w:val="20"/>
                <w:szCs w:val="20"/>
              </w:rPr>
              <w:t>mm )</w:t>
            </w:r>
            <w:proofErr w:type="gramEnd"/>
          </w:p>
        </w:tc>
      </w:tr>
      <w:tr w:rsidR="00AE6EAB" w14:paraId="61E39960" w14:textId="77777777" w:rsidTr="000933FC">
        <w:trPr>
          <w:jc w:val="center"/>
        </w:trPr>
        <w:tc>
          <w:tcPr>
            <w:tcW w:w="1696" w:type="dxa"/>
            <w:tcBorders>
              <w:left w:val="single" w:sz="4" w:space="0" w:color="FFFFFF" w:themeColor="background1"/>
              <w:bottom w:val="single" w:sz="4" w:space="0" w:color="FFFFFF" w:themeColor="background1"/>
              <w:right w:val="single" w:sz="4" w:space="0" w:color="FFFFFF" w:themeColor="background1"/>
            </w:tcBorders>
          </w:tcPr>
          <w:p w14:paraId="566C2563" w14:textId="15B56FC0" w:rsidR="00AE6EAB" w:rsidRDefault="00AE6EAB" w:rsidP="000933FC">
            <w:pPr>
              <w:jc w:val="center"/>
              <w:rPr>
                <w:rFonts w:cs="Times New Roman"/>
                <w:sz w:val="20"/>
                <w:szCs w:val="20"/>
              </w:rPr>
            </w:pPr>
            <w:bookmarkStart w:id="2" w:name="_Hlk57576858"/>
            <w:r>
              <w:rPr>
                <w:rFonts w:cs="Times New Roman"/>
                <w:sz w:val="20"/>
                <w:szCs w:val="20"/>
              </w:rPr>
              <w:t>1</w:t>
            </w:r>
          </w:p>
        </w:tc>
        <w:tc>
          <w:tcPr>
            <w:tcW w:w="2127" w:type="dxa"/>
            <w:tcBorders>
              <w:left w:val="single" w:sz="4" w:space="0" w:color="FFFFFF" w:themeColor="background1"/>
              <w:bottom w:val="single" w:sz="4" w:space="0" w:color="FFFFFF" w:themeColor="background1"/>
              <w:right w:val="single" w:sz="4" w:space="0" w:color="FFFFFF" w:themeColor="background1"/>
            </w:tcBorders>
          </w:tcPr>
          <w:p w14:paraId="0DE32A53" w14:textId="7F653867" w:rsidR="00AE6EAB" w:rsidRDefault="00AE6EAB" w:rsidP="000933FC">
            <w:pPr>
              <w:jc w:val="center"/>
              <w:rPr>
                <w:rFonts w:cs="Times New Roman"/>
                <w:sz w:val="20"/>
                <w:szCs w:val="20"/>
              </w:rPr>
            </w:pPr>
            <w:r>
              <w:rPr>
                <w:rFonts w:cs="Times New Roman"/>
                <w:sz w:val="20"/>
                <w:szCs w:val="20"/>
              </w:rPr>
              <w:t>Without Preheat</w:t>
            </w:r>
          </w:p>
        </w:tc>
        <w:tc>
          <w:tcPr>
            <w:tcW w:w="1842" w:type="dxa"/>
            <w:tcBorders>
              <w:left w:val="single" w:sz="4" w:space="0" w:color="FFFFFF" w:themeColor="background1"/>
              <w:bottom w:val="single" w:sz="4" w:space="0" w:color="FFFFFF" w:themeColor="background1"/>
              <w:right w:val="single" w:sz="4" w:space="0" w:color="FFFFFF" w:themeColor="background1"/>
            </w:tcBorders>
          </w:tcPr>
          <w:p w14:paraId="5EDB6015" w14:textId="562F4F9B" w:rsidR="00AE6EAB" w:rsidRDefault="00AE6EAB" w:rsidP="000933FC">
            <w:pPr>
              <w:jc w:val="center"/>
              <w:rPr>
                <w:rFonts w:cs="Times New Roman"/>
                <w:sz w:val="20"/>
                <w:szCs w:val="20"/>
              </w:rPr>
            </w:pPr>
            <w:r>
              <w:rPr>
                <w:rFonts w:cs="Times New Roman"/>
                <w:sz w:val="20"/>
                <w:szCs w:val="20"/>
              </w:rPr>
              <w:t>30</w:t>
            </w:r>
          </w:p>
        </w:tc>
        <w:tc>
          <w:tcPr>
            <w:tcW w:w="2977" w:type="dxa"/>
            <w:tcBorders>
              <w:left w:val="single" w:sz="4" w:space="0" w:color="FFFFFF" w:themeColor="background1"/>
              <w:bottom w:val="single" w:sz="4" w:space="0" w:color="FFFFFF" w:themeColor="background1"/>
              <w:right w:val="single" w:sz="4" w:space="0" w:color="FFFFFF" w:themeColor="background1"/>
            </w:tcBorders>
          </w:tcPr>
          <w:p w14:paraId="2101ECBC" w14:textId="668AC3D7" w:rsidR="00AE6EAB" w:rsidRDefault="00134B03" w:rsidP="000933FC">
            <w:pPr>
              <w:jc w:val="center"/>
              <w:rPr>
                <w:rFonts w:cs="Times New Roman"/>
                <w:sz w:val="20"/>
                <w:szCs w:val="20"/>
              </w:rPr>
            </w:pPr>
            <w:r>
              <w:rPr>
                <w:rFonts w:cs="Times New Roman"/>
                <w:sz w:val="20"/>
                <w:szCs w:val="20"/>
              </w:rPr>
              <w:t>1.32</w:t>
            </w:r>
          </w:p>
        </w:tc>
      </w:tr>
      <w:tr w:rsidR="00AE6EAB" w14:paraId="7E3794F1" w14:textId="77777777" w:rsidTr="000933FC">
        <w:trPr>
          <w:jc w:val="center"/>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3069D9" w14:textId="71CE2FDE" w:rsidR="00AE6EAB" w:rsidRDefault="00AE6EAB" w:rsidP="000933FC">
            <w:pPr>
              <w:jc w:val="center"/>
              <w:rPr>
                <w:rFonts w:cs="Times New Roman"/>
                <w:sz w:val="20"/>
                <w:szCs w:val="20"/>
              </w:rPr>
            </w:pPr>
            <w:r>
              <w:rPr>
                <w:rFonts w:cs="Times New Roman"/>
                <w:sz w:val="20"/>
                <w:szCs w:val="20"/>
              </w:rPr>
              <w:t>1</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59487A" w14:textId="7DD3F903" w:rsidR="00AE6EAB" w:rsidRDefault="00AE6EAB" w:rsidP="000933FC">
            <w:pPr>
              <w:jc w:val="center"/>
              <w:rPr>
                <w:rFonts w:cs="Times New Roman"/>
                <w:sz w:val="20"/>
                <w:szCs w:val="20"/>
              </w:rPr>
            </w:pPr>
            <w:r>
              <w:rPr>
                <w:rFonts w:cs="Times New Roman"/>
                <w:sz w:val="20"/>
                <w:szCs w:val="20"/>
              </w:rPr>
              <w:t>90</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3E5553" w14:textId="2F23D6E7" w:rsidR="00AE6EAB" w:rsidRDefault="00AE6EAB" w:rsidP="000933FC">
            <w:pPr>
              <w:jc w:val="center"/>
              <w:rPr>
                <w:rFonts w:cs="Times New Roman"/>
                <w:sz w:val="20"/>
                <w:szCs w:val="20"/>
              </w:rPr>
            </w:pPr>
            <w:r>
              <w:rPr>
                <w:rFonts w:cs="Times New Roman"/>
                <w:sz w:val="20"/>
                <w:szCs w:val="20"/>
              </w:rPr>
              <w:t>30</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5C33AF" w14:textId="01273D62" w:rsidR="00AE6EAB" w:rsidRDefault="00134B03" w:rsidP="000933FC">
            <w:pPr>
              <w:jc w:val="center"/>
              <w:rPr>
                <w:rFonts w:cs="Times New Roman"/>
                <w:sz w:val="20"/>
                <w:szCs w:val="20"/>
              </w:rPr>
            </w:pPr>
            <w:r>
              <w:rPr>
                <w:rFonts w:cs="Times New Roman"/>
                <w:sz w:val="20"/>
                <w:szCs w:val="20"/>
              </w:rPr>
              <w:t>1.83</w:t>
            </w:r>
          </w:p>
        </w:tc>
      </w:tr>
      <w:tr w:rsidR="00AE6EAB" w14:paraId="486AFD2B" w14:textId="77777777" w:rsidTr="000933FC">
        <w:trPr>
          <w:jc w:val="center"/>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59CF9F" w14:textId="0E0F49EB" w:rsidR="00AE6EAB" w:rsidRDefault="00AE6EAB" w:rsidP="000933FC">
            <w:pPr>
              <w:jc w:val="center"/>
              <w:rPr>
                <w:rFonts w:cs="Times New Roman"/>
                <w:sz w:val="20"/>
                <w:szCs w:val="20"/>
              </w:rPr>
            </w:pPr>
            <w:r>
              <w:rPr>
                <w:rFonts w:cs="Times New Roman"/>
                <w:sz w:val="20"/>
                <w:szCs w:val="20"/>
              </w:rPr>
              <w:t>1</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17EDA28" w14:textId="138802F3" w:rsidR="00AE6EAB" w:rsidRDefault="00AE6EAB" w:rsidP="000933FC">
            <w:pPr>
              <w:jc w:val="center"/>
              <w:rPr>
                <w:rFonts w:cs="Times New Roman"/>
                <w:sz w:val="20"/>
                <w:szCs w:val="20"/>
              </w:rPr>
            </w:pPr>
            <w:r>
              <w:rPr>
                <w:rFonts w:cs="Times New Roman"/>
                <w:sz w:val="20"/>
                <w:szCs w:val="20"/>
              </w:rPr>
              <w:t>120</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8410BE" w14:textId="251CD43A" w:rsidR="00AE6EAB" w:rsidRDefault="00AE6EAB" w:rsidP="000933FC">
            <w:pPr>
              <w:jc w:val="center"/>
              <w:rPr>
                <w:rFonts w:cs="Times New Roman"/>
                <w:sz w:val="20"/>
                <w:szCs w:val="20"/>
              </w:rPr>
            </w:pPr>
            <w:r>
              <w:rPr>
                <w:rFonts w:cs="Times New Roman"/>
                <w:sz w:val="20"/>
                <w:szCs w:val="20"/>
              </w:rPr>
              <w:t>30</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830532" w14:textId="545BD6EC" w:rsidR="00AE6EAB" w:rsidRDefault="00134B03" w:rsidP="000933FC">
            <w:pPr>
              <w:jc w:val="center"/>
              <w:rPr>
                <w:rFonts w:cs="Times New Roman"/>
                <w:sz w:val="20"/>
                <w:szCs w:val="20"/>
              </w:rPr>
            </w:pPr>
            <w:r>
              <w:rPr>
                <w:rFonts w:cs="Times New Roman"/>
                <w:sz w:val="20"/>
                <w:szCs w:val="20"/>
              </w:rPr>
              <w:t>1.4</w:t>
            </w:r>
            <w:r w:rsidR="000933FC">
              <w:rPr>
                <w:rFonts w:cs="Times New Roman"/>
                <w:sz w:val="20"/>
                <w:szCs w:val="20"/>
              </w:rPr>
              <w:t>0</w:t>
            </w:r>
          </w:p>
        </w:tc>
      </w:tr>
      <w:bookmarkEnd w:id="2"/>
      <w:tr w:rsidR="00AE6EAB" w14:paraId="48AFA288" w14:textId="77777777" w:rsidTr="000933FC">
        <w:trPr>
          <w:jc w:val="center"/>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7F48B1" w14:textId="7E618282" w:rsidR="00AE6EAB" w:rsidRDefault="00AE6EAB" w:rsidP="000933FC">
            <w:pPr>
              <w:jc w:val="center"/>
              <w:rPr>
                <w:rFonts w:cs="Times New Roman"/>
                <w:sz w:val="20"/>
                <w:szCs w:val="20"/>
              </w:rPr>
            </w:pPr>
            <w:r>
              <w:rPr>
                <w:rFonts w:cs="Times New Roman"/>
                <w:sz w:val="20"/>
                <w:szCs w:val="20"/>
              </w:rPr>
              <w:t>2</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14819E" w14:textId="3D155C4E" w:rsidR="00AE6EAB" w:rsidRDefault="00AE6EAB" w:rsidP="000933FC">
            <w:pPr>
              <w:jc w:val="center"/>
              <w:rPr>
                <w:rFonts w:cs="Times New Roman"/>
                <w:sz w:val="20"/>
                <w:szCs w:val="20"/>
              </w:rPr>
            </w:pPr>
            <w:r>
              <w:rPr>
                <w:rFonts w:cs="Times New Roman"/>
                <w:sz w:val="20"/>
                <w:szCs w:val="20"/>
              </w:rPr>
              <w:t>Without Preheat</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BD8A00" w14:textId="21F3F79B" w:rsidR="00AE6EAB" w:rsidRDefault="00F46B03" w:rsidP="000933FC">
            <w:pPr>
              <w:jc w:val="center"/>
              <w:rPr>
                <w:rFonts w:cs="Times New Roman"/>
                <w:sz w:val="20"/>
                <w:szCs w:val="20"/>
              </w:rPr>
            </w:pPr>
            <w:r>
              <w:rPr>
                <w:rFonts w:cs="Times New Roman"/>
                <w:sz w:val="20"/>
                <w:szCs w:val="20"/>
              </w:rPr>
              <w:t>6</w:t>
            </w:r>
            <w:r w:rsidR="00AE6EAB">
              <w:rPr>
                <w:rFonts w:cs="Times New Roman"/>
                <w:sz w:val="20"/>
                <w:szCs w:val="20"/>
              </w:rPr>
              <w:t>0</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6408B9" w14:textId="421B8896" w:rsidR="00AE6EAB" w:rsidRDefault="00134B03" w:rsidP="000933FC">
            <w:pPr>
              <w:jc w:val="center"/>
              <w:rPr>
                <w:rFonts w:cs="Times New Roman"/>
                <w:sz w:val="20"/>
                <w:szCs w:val="20"/>
              </w:rPr>
            </w:pPr>
            <w:r>
              <w:rPr>
                <w:rFonts w:cs="Times New Roman"/>
                <w:sz w:val="20"/>
                <w:szCs w:val="20"/>
              </w:rPr>
              <w:t>1.45</w:t>
            </w:r>
          </w:p>
        </w:tc>
      </w:tr>
      <w:tr w:rsidR="00AE6EAB" w14:paraId="4C1B30A0" w14:textId="77777777" w:rsidTr="000933FC">
        <w:trPr>
          <w:jc w:val="center"/>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FB2907" w14:textId="7B5F299B" w:rsidR="00AE6EAB" w:rsidRDefault="00AE6EAB" w:rsidP="000933FC">
            <w:pPr>
              <w:jc w:val="center"/>
              <w:rPr>
                <w:rFonts w:cs="Times New Roman"/>
                <w:sz w:val="20"/>
                <w:szCs w:val="20"/>
              </w:rPr>
            </w:pPr>
            <w:r>
              <w:rPr>
                <w:rFonts w:cs="Times New Roman"/>
                <w:sz w:val="20"/>
                <w:szCs w:val="20"/>
              </w:rPr>
              <w:t>2</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61C16C" w14:textId="387AD5B0" w:rsidR="00AE6EAB" w:rsidRDefault="00AE6EAB" w:rsidP="000933FC">
            <w:pPr>
              <w:jc w:val="center"/>
              <w:rPr>
                <w:rFonts w:cs="Times New Roman"/>
                <w:sz w:val="20"/>
                <w:szCs w:val="20"/>
              </w:rPr>
            </w:pPr>
            <w:r>
              <w:rPr>
                <w:rFonts w:cs="Times New Roman"/>
                <w:sz w:val="20"/>
                <w:szCs w:val="20"/>
              </w:rPr>
              <w:t>90</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45F178" w14:textId="1C2EF569" w:rsidR="00AE6EAB" w:rsidRDefault="00F46B03" w:rsidP="000933FC">
            <w:pPr>
              <w:jc w:val="center"/>
              <w:rPr>
                <w:rFonts w:cs="Times New Roman"/>
                <w:sz w:val="20"/>
                <w:szCs w:val="20"/>
              </w:rPr>
            </w:pPr>
            <w:r>
              <w:rPr>
                <w:rFonts w:cs="Times New Roman"/>
                <w:sz w:val="20"/>
                <w:szCs w:val="20"/>
              </w:rPr>
              <w:t>6</w:t>
            </w:r>
            <w:r w:rsidR="00AE6EAB">
              <w:rPr>
                <w:rFonts w:cs="Times New Roman"/>
                <w:sz w:val="20"/>
                <w:szCs w:val="20"/>
              </w:rPr>
              <w:t>0</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4D935D" w14:textId="738FA0A1" w:rsidR="00AE6EAB" w:rsidRDefault="00134B03" w:rsidP="000933FC">
            <w:pPr>
              <w:jc w:val="center"/>
              <w:rPr>
                <w:rFonts w:cs="Times New Roman"/>
                <w:sz w:val="20"/>
                <w:szCs w:val="20"/>
              </w:rPr>
            </w:pPr>
            <w:r>
              <w:rPr>
                <w:rFonts w:cs="Times New Roman"/>
                <w:sz w:val="20"/>
                <w:szCs w:val="20"/>
              </w:rPr>
              <w:t>2.06</w:t>
            </w:r>
          </w:p>
        </w:tc>
      </w:tr>
      <w:tr w:rsidR="00AE6EAB" w14:paraId="76FD7920" w14:textId="77777777" w:rsidTr="000933FC">
        <w:trPr>
          <w:jc w:val="center"/>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253BCC" w14:textId="0B18D66A" w:rsidR="00AE6EAB" w:rsidRDefault="00AE6EAB" w:rsidP="000933FC">
            <w:pPr>
              <w:jc w:val="center"/>
              <w:rPr>
                <w:rFonts w:cs="Times New Roman"/>
                <w:sz w:val="20"/>
                <w:szCs w:val="20"/>
              </w:rPr>
            </w:pPr>
            <w:r>
              <w:rPr>
                <w:rFonts w:cs="Times New Roman"/>
                <w:sz w:val="20"/>
                <w:szCs w:val="20"/>
              </w:rPr>
              <w:t>2</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73DA81" w14:textId="06FE8812" w:rsidR="00AE6EAB" w:rsidRDefault="00AE6EAB" w:rsidP="000933FC">
            <w:pPr>
              <w:jc w:val="center"/>
              <w:rPr>
                <w:rFonts w:cs="Times New Roman"/>
                <w:sz w:val="20"/>
                <w:szCs w:val="20"/>
              </w:rPr>
            </w:pPr>
            <w:r>
              <w:rPr>
                <w:rFonts w:cs="Times New Roman"/>
                <w:sz w:val="20"/>
                <w:szCs w:val="20"/>
              </w:rPr>
              <w:t>120</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922EBA" w14:textId="5AD9450E" w:rsidR="00AE6EAB" w:rsidRDefault="00F46B03" w:rsidP="000933FC">
            <w:pPr>
              <w:jc w:val="center"/>
              <w:rPr>
                <w:rFonts w:cs="Times New Roman"/>
                <w:sz w:val="20"/>
                <w:szCs w:val="20"/>
              </w:rPr>
            </w:pPr>
            <w:r>
              <w:rPr>
                <w:rFonts w:cs="Times New Roman"/>
                <w:sz w:val="20"/>
                <w:szCs w:val="20"/>
              </w:rPr>
              <w:t>6</w:t>
            </w:r>
            <w:r w:rsidR="00AE6EAB">
              <w:rPr>
                <w:rFonts w:cs="Times New Roman"/>
                <w:sz w:val="20"/>
                <w:szCs w:val="20"/>
              </w:rPr>
              <w:t>0</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176153" w14:textId="3E741A91" w:rsidR="00AE6EAB" w:rsidRDefault="00134B03" w:rsidP="000933FC">
            <w:pPr>
              <w:jc w:val="center"/>
              <w:rPr>
                <w:rFonts w:cs="Times New Roman"/>
                <w:sz w:val="20"/>
                <w:szCs w:val="20"/>
              </w:rPr>
            </w:pPr>
            <w:r>
              <w:rPr>
                <w:rFonts w:cs="Times New Roman"/>
                <w:sz w:val="20"/>
                <w:szCs w:val="20"/>
              </w:rPr>
              <w:t>1.51</w:t>
            </w:r>
          </w:p>
        </w:tc>
      </w:tr>
      <w:tr w:rsidR="00AE6EAB" w14:paraId="49811C15" w14:textId="77777777" w:rsidTr="000933FC">
        <w:trPr>
          <w:jc w:val="center"/>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15571F" w14:textId="7AA2CEC5" w:rsidR="00AE6EAB" w:rsidRDefault="000933FC" w:rsidP="000933FC">
            <w:pPr>
              <w:jc w:val="center"/>
              <w:rPr>
                <w:rFonts w:cs="Times New Roman"/>
                <w:sz w:val="20"/>
                <w:szCs w:val="20"/>
              </w:rPr>
            </w:pPr>
            <w:r>
              <w:rPr>
                <w:rFonts w:cs="Times New Roman"/>
                <w:sz w:val="20"/>
                <w:szCs w:val="20"/>
              </w:rPr>
              <w:t>3</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BC4496" w14:textId="05A096BF" w:rsidR="00AE6EAB" w:rsidRDefault="00AE6EAB" w:rsidP="000933FC">
            <w:pPr>
              <w:jc w:val="center"/>
              <w:rPr>
                <w:rFonts w:cs="Times New Roman"/>
                <w:sz w:val="20"/>
                <w:szCs w:val="20"/>
              </w:rPr>
            </w:pPr>
            <w:r>
              <w:rPr>
                <w:rFonts w:cs="Times New Roman"/>
                <w:sz w:val="20"/>
                <w:szCs w:val="20"/>
              </w:rPr>
              <w:t>Without Preheat</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A00E2D" w14:textId="5F336BD0" w:rsidR="00AE6EAB" w:rsidRDefault="00F46B03" w:rsidP="000933FC">
            <w:pPr>
              <w:jc w:val="center"/>
              <w:rPr>
                <w:rFonts w:cs="Times New Roman"/>
                <w:sz w:val="20"/>
                <w:szCs w:val="20"/>
              </w:rPr>
            </w:pPr>
            <w:r>
              <w:rPr>
                <w:rFonts w:cs="Times New Roman"/>
                <w:sz w:val="20"/>
                <w:szCs w:val="20"/>
              </w:rPr>
              <w:t>9</w:t>
            </w:r>
            <w:r w:rsidR="00AE6EAB">
              <w:rPr>
                <w:rFonts w:cs="Times New Roman"/>
                <w:sz w:val="20"/>
                <w:szCs w:val="20"/>
              </w:rPr>
              <w:t>0</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4CAC76" w14:textId="1F9067E3" w:rsidR="00AE6EAB" w:rsidRDefault="00134B03" w:rsidP="000933FC">
            <w:pPr>
              <w:jc w:val="center"/>
              <w:rPr>
                <w:rFonts w:cs="Times New Roman"/>
                <w:sz w:val="20"/>
                <w:szCs w:val="20"/>
              </w:rPr>
            </w:pPr>
            <w:r>
              <w:rPr>
                <w:rFonts w:cs="Times New Roman"/>
                <w:sz w:val="20"/>
                <w:szCs w:val="20"/>
              </w:rPr>
              <w:t>1.49</w:t>
            </w:r>
          </w:p>
        </w:tc>
      </w:tr>
      <w:tr w:rsidR="00AE6EAB" w14:paraId="7C303145" w14:textId="77777777" w:rsidTr="000933FC">
        <w:trPr>
          <w:jc w:val="center"/>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1F3D13" w14:textId="74814620" w:rsidR="00AE6EAB" w:rsidRDefault="000933FC" w:rsidP="000933FC">
            <w:pPr>
              <w:jc w:val="center"/>
              <w:rPr>
                <w:rFonts w:cs="Times New Roman"/>
                <w:sz w:val="20"/>
                <w:szCs w:val="20"/>
              </w:rPr>
            </w:pPr>
            <w:r>
              <w:rPr>
                <w:rFonts w:cs="Times New Roman"/>
                <w:sz w:val="20"/>
                <w:szCs w:val="20"/>
              </w:rPr>
              <w:t>3</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76EDE0" w14:textId="0AA82C62" w:rsidR="00AE6EAB" w:rsidRDefault="00AE6EAB" w:rsidP="000933FC">
            <w:pPr>
              <w:jc w:val="center"/>
              <w:rPr>
                <w:rFonts w:cs="Times New Roman"/>
                <w:sz w:val="20"/>
                <w:szCs w:val="20"/>
              </w:rPr>
            </w:pPr>
            <w:r>
              <w:rPr>
                <w:rFonts w:cs="Times New Roman"/>
                <w:sz w:val="20"/>
                <w:szCs w:val="20"/>
              </w:rPr>
              <w:t>90</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907A78" w14:textId="4582713B" w:rsidR="00AE6EAB" w:rsidRDefault="00F46B03" w:rsidP="000933FC">
            <w:pPr>
              <w:jc w:val="center"/>
              <w:rPr>
                <w:rFonts w:cs="Times New Roman"/>
                <w:sz w:val="20"/>
                <w:szCs w:val="20"/>
              </w:rPr>
            </w:pPr>
            <w:r>
              <w:rPr>
                <w:rFonts w:cs="Times New Roman"/>
                <w:sz w:val="20"/>
                <w:szCs w:val="20"/>
              </w:rPr>
              <w:t>12</w:t>
            </w:r>
            <w:r w:rsidR="00AE6EAB">
              <w:rPr>
                <w:rFonts w:cs="Times New Roman"/>
                <w:sz w:val="20"/>
                <w:szCs w:val="20"/>
              </w:rPr>
              <w:t>0</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B75478" w14:textId="6250F0DA" w:rsidR="00AE6EAB" w:rsidRDefault="00134B03" w:rsidP="000933FC">
            <w:pPr>
              <w:jc w:val="center"/>
              <w:rPr>
                <w:rFonts w:cs="Times New Roman"/>
                <w:sz w:val="20"/>
                <w:szCs w:val="20"/>
              </w:rPr>
            </w:pPr>
            <w:r>
              <w:rPr>
                <w:rFonts w:cs="Times New Roman"/>
                <w:sz w:val="20"/>
                <w:szCs w:val="20"/>
              </w:rPr>
              <w:t>2.1</w:t>
            </w:r>
            <w:r w:rsidR="000933FC">
              <w:rPr>
                <w:rFonts w:cs="Times New Roman"/>
                <w:sz w:val="20"/>
                <w:szCs w:val="20"/>
              </w:rPr>
              <w:t>0</w:t>
            </w:r>
          </w:p>
        </w:tc>
      </w:tr>
      <w:tr w:rsidR="00AE6EAB" w14:paraId="40BACF52" w14:textId="77777777" w:rsidTr="000933FC">
        <w:trPr>
          <w:jc w:val="center"/>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DF0E50" w14:textId="36A04675" w:rsidR="00AE6EAB" w:rsidRDefault="000933FC" w:rsidP="000933FC">
            <w:pPr>
              <w:jc w:val="center"/>
              <w:rPr>
                <w:rFonts w:cs="Times New Roman"/>
                <w:sz w:val="20"/>
                <w:szCs w:val="20"/>
              </w:rPr>
            </w:pPr>
            <w:r>
              <w:rPr>
                <w:rFonts w:cs="Times New Roman"/>
                <w:sz w:val="20"/>
                <w:szCs w:val="20"/>
              </w:rPr>
              <w:t>3</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3502C9" w14:textId="02F6EBE6" w:rsidR="00AE6EAB" w:rsidRDefault="00AE6EAB" w:rsidP="000933FC">
            <w:pPr>
              <w:jc w:val="center"/>
              <w:rPr>
                <w:rFonts w:cs="Times New Roman"/>
                <w:sz w:val="20"/>
                <w:szCs w:val="20"/>
              </w:rPr>
            </w:pPr>
            <w:r>
              <w:rPr>
                <w:rFonts w:cs="Times New Roman"/>
                <w:sz w:val="20"/>
                <w:szCs w:val="20"/>
              </w:rPr>
              <w:t>120</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B885D5" w14:textId="2585B803" w:rsidR="00AE6EAB" w:rsidRDefault="00F46B03" w:rsidP="000933FC">
            <w:pPr>
              <w:jc w:val="center"/>
              <w:rPr>
                <w:rFonts w:cs="Times New Roman"/>
                <w:sz w:val="20"/>
                <w:szCs w:val="20"/>
              </w:rPr>
            </w:pPr>
            <w:r>
              <w:rPr>
                <w:rFonts w:cs="Times New Roman"/>
                <w:sz w:val="20"/>
                <w:szCs w:val="20"/>
              </w:rPr>
              <w:t>12</w:t>
            </w:r>
            <w:r w:rsidR="00AE6EAB">
              <w:rPr>
                <w:rFonts w:cs="Times New Roman"/>
                <w:sz w:val="20"/>
                <w:szCs w:val="20"/>
              </w:rPr>
              <w:t>0</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F2E152" w14:textId="5DE114FF" w:rsidR="00AE6EAB" w:rsidRDefault="00134B03" w:rsidP="000933FC">
            <w:pPr>
              <w:jc w:val="center"/>
              <w:rPr>
                <w:rFonts w:cs="Times New Roman"/>
                <w:sz w:val="20"/>
                <w:szCs w:val="20"/>
              </w:rPr>
            </w:pPr>
            <w:r>
              <w:rPr>
                <w:rFonts w:cs="Times New Roman"/>
                <w:sz w:val="20"/>
                <w:szCs w:val="20"/>
              </w:rPr>
              <w:t>1.65</w:t>
            </w:r>
          </w:p>
        </w:tc>
      </w:tr>
      <w:tr w:rsidR="00AE6EAB" w14:paraId="417BC6AB" w14:textId="77777777" w:rsidTr="000933FC">
        <w:trPr>
          <w:jc w:val="center"/>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B05008" w14:textId="6A7F22C4" w:rsidR="00AE6EAB" w:rsidRDefault="000933FC" w:rsidP="000933FC">
            <w:pPr>
              <w:jc w:val="center"/>
              <w:rPr>
                <w:rFonts w:cs="Times New Roman"/>
                <w:sz w:val="20"/>
                <w:szCs w:val="20"/>
              </w:rPr>
            </w:pPr>
            <w:r>
              <w:rPr>
                <w:rFonts w:cs="Times New Roman"/>
                <w:sz w:val="20"/>
                <w:szCs w:val="20"/>
              </w:rPr>
              <w:t>4</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FB3B8A" w14:textId="0EECB016" w:rsidR="00AE6EAB" w:rsidRDefault="00AE6EAB" w:rsidP="000933FC">
            <w:pPr>
              <w:jc w:val="center"/>
              <w:rPr>
                <w:rFonts w:cs="Times New Roman"/>
                <w:sz w:val="20"/>
                <w:szCs w:val="20"/>
              </w:rPr>
            </w:pPr>
            <w:r>
              <w:rPr>
                <w:rFonts w:cs="Times New Roman"/>
                <w:sz w:val="20"/>
                <w:szCs w:val="20"/>
              </w:rPr>
              <w:t>Without Preheat</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2807E8" w14:textId="23D8FEAF" w:rsidR="00AE6EAB" w:rsidRDefault="00F46B03" w:rsidP="000933FC">
            <w:pPr>
              <w:jc w:val="center"/>
              <w:rPr>
                <w:rFonts w:cs="Times New Roman"/>
                <w:sz w:val="20"/>
                <w:szCs w:val="20"/>
              </w:rPr>
            </w:pPr>
            <w:r>
              <w:rPr>
                <w:rFonts w:cs="Times New Roman"/>
                <w:sz w:val="20"/>
                <w:szCs w:val="20"/>
              </w:rPr>
              <w:t>30</w:t>
            </w:r>
            <w:r w:rsidR="00AE6EAB">
              <w:rPr>
                <w:rFonts w:cs="Times New Roman"/>
                <w:sz w:val="20"/>
                <w:szCs w:val="20"/>
              </w:rPr>
              <w:t>0</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C422E7" w14:textId="5634C238" w:rsidR="00AE6EAB" w:rsidRDefault="00134B03" w:rsidP="000933FC">
            <w:pPr>
              <w:jc w:val="center"/>
              <w:rPr>
                <w:rFonts w:cs="Times New Roman"/>
                <w:sz w:val="20"/>
                <w:szCs w:val="20"/>
              </w:rPr>
            </w:pPr>
            <w:r>
              <w:rPr>
                <w:rFonts w:cs="Times New Roman"/>
                <w:sz w:val="20"/>
                <w:szCs w:val="20"/>
              </w:rPr>
              <w:t>1.6</w:t>
            </w:r>
            <w:r w:rsidR="000933FC">
              <w:rPr>
                <w:rFonts w:cs="Times New Roman"/>
                <w:sz w:val="20"/>
                <w:szCs w:val="20"/>
              </w:rPr>
              <w:t>0</w:t>
            </w:r>
          </w:p>
        </w:tc>
      </w:tr>
      <w:tr w:rsidR="00AE6EAB" w14:paraId="63C4EF87" w14:textId="77777777" w:rsidTr="000933FC">
        <w:trPr>
          <w:jc w:val="center"/>
        </w:trPr>
        <w:tc>
          <w:tcPr>
            <w:tcW w:w="16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81644A" w14:textId="196D14A4" w:rsidR="00AE6EAB" w:rsidRDefault="000933FC" w:rsidP="000933FC">
            <w:pPr>
              <w:jc w:val="center"/>
              <w:rPr>
                <w:rFonts w:cs="Times New Roman"/>
                <w:sz w:val="20"/>
                <w:szCs w:val="20"/>
              </w:rPr>
            </w:pPr>
            <w:r>
              <w:rPr>
                <w:rFonts w:cs="Times New Roman"/>
                <w:sz w:val="20"/>
                <w:szCs w:val="20"/>
              </w:rPr>
              <w:t>4</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F14061" w14:textId="58314276" w:rsidR="00AE6EAB" w:rsidRDefault="00AE6EAB" w:rsidP="000933FC">
            <w:pPr>
              <w:jc w:val="center"/>
              <w:rPr>
                <w:rFonts w:cs="Times New Roman"/>
                <w:sz w:val="20"/>
                <w:szCs w:val="20"/>
              </w:rPr>
            </w:pPr>
            <w:r>
              <w:rPr>
                <w:rFonts w:cs="Times New Roman"/>
                <w:sz w:val="20"/>
                <w:szCs w:val="20"/>
              </w:rPr>
              <w:t>90</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3F8661" w14:textId="383EC2EB" w:rsidR="00AE6EAB" w:rsidRDefault="00AE6EAB" w:rsidP="000933FC">
            <w:pPr>
              <w:jc w:val="center"/>
              <w:rPr>
                <w:rFonts w:cs="Times New Roman"/>
                <w:sz w:val="20"/>
                <w:szCs w:val="20"/>
              </w:rPr>
            </w:pPr>
            <w:r>
              <w:rPr>
                <w:rFonts w:cs="Times New Roman"/>
                <w:sz w:val="20"/>
                <w:szCs w:val="20"/>
              </w:rPr>
              <w:t>3</w:t>
            </w:r>
            <w:r w:rsidR="00F46B03">
              <w:rPr>
                <w:rFonts w:cs="Times New Roman"/>
                <w:sz w:val="20"/>
                <w:szCs w:val="20"/>
              </w:rPr>
              <w:t>0</w:t>
            </w:r>
            <w:r>
              <w:rPr>
                <w:rFonts w:cs="Times New Roman"/>
                <w:sz w:val="20"/>
                <w:szCs w:val="20"/>
              </w:rPr>
              <w:t>0</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31978" w14:textId="410BD52E" w:rsidR="00AE6EAB" w:rsidRDefault="00134B03" w:rsidP="000933FC">
            <w:pPr>
              <w:jc w:val="center"/>
              <w:rPr>
                <w:rFonts w:cs="Times New Roman"/>
                <w:sz w:val="20"/>
                <w:szCs w:val="20"/>
              </w:rPr>
            </w:pPr>
            <w:r>
              <w:rPr>
                <w:rFonts w:cs="Times New Roman"/>
                <w:sz w:val="20"/>
                <w:szCs w:val="20"/>
              </w:rPr>
              <w:t>2.3</w:t>
            </w:r>
            <w:r w:rsidR="000933FC">
              <w:rPr>
                <w:rFonts w:cs="Times New Roman"/>
                <w:sz w:val="20"/>
                <w:szCs w:val="20"/>
              </w:rPr>
              <w:t>0</w:t>
            </w:r>
          </w:p>
        </w:tc>
      </w:tr>
      <w:tr w:rsidR="00AE6EAB" w14:paraId="7DCB2CC5" w14:textId="77777777" w:rsidTr="000933FC">
        <w:trPr>
          <w:jc w:val="center"/>
        </w:trPr>
        <w:tc>
          <w:tcPr>
            <w:tcW w:w="1696" w:type="dxa"/>
            <w:tcBorders>
              <w:top w:val="single" w:sz="4" w:space="0" w:color="FFFFFF" w:themeColor="background1"/>
              <w:left w:val="single" w:sz="4" w:space="0" w:color="FFFFFF" w:themeColor="background1"/>
              <w:right w:val="single" w:sz="4" w:space="0" w:color="FFFFFF" w:themeColor="background1"/>
            </w:tcBorders>
          </w:tcPr>
          <w:p w14:paraId="186E477B" w14:textId="6AFC84B6" w:rsidR="00AE6EAB" w:rsidRDefault="000933FC" w:rsidP="000933FC">
            <w:pPr>
              <w:jc w:val="center"/>
              <w:rPr>
                <w:rFonts w:cs="Times New Roman"/>
                <w:sz w:val="20"/>
                <w:szCs w:val="20"/>
              </w:rPr>
            </w:pPr>
            <w:r>
              <w:rPr>
                <w:rFonts w:cs="Times New Roman"/>
                <w:sz w:val="20"/>
                <w:szCs w:val="20"/>
              </w:rPr>
              <w:t>4</w:t>
            </w:r>
          </w:p>
        </w:tc>
        <w:tc>
          <w:tcPr>
            <w:tcW w:w="2127" w:type="dxa"/>
            <w:tcBorders>
              <w:top w:val="single" w:sz="4" w:space="0" w:color="FFFFFF" w:themeColor="background1"/>
              <w:left w:val="single" w:sz="4" w:space="0" w:color="FFFFFF" w:themeColor="background1"/>
              <w:right w:val="single" w:sz="4" w:space="0" w:color="FFFFFF" w:themeColor="background1"/>
            </w:tcBorders>
          </w:tcPr>
          <w:p w14:paraId="59B90788" w14:textId="1EB59AE5" w:rsidR="00AE6EAB" w:rsidRDefault="00AE6EAB" w:rsidP="000933FC">
            <w:pPr>
              <w:jc w:val="center"/>
              <w:rPr>
                <w:rFonts w:cs="Times New Roman"/>
                <w:sz w:val="20"/>
                <w:szCs w:val="20"/>
              </w:rPr>
            </w:pPr>
            <w:r>
              <w:rPr>
                <w:rFonts w:cs="Times New Roman"/>
                <w:sz w:val="20"/>
                <w:szCs w:val="20"/>
              </w:rPr>
              <w:t>120</w:t>
            </w:r>
          </w:p>
        </w:tc>
        <w:tc>
          <w:tcPr>
            <w:tcW w:w="1842" w:type="dxa"/>
            <w:tcBorders>
              <w:top w:val="single" w:sz="4" w:space="0" w:color="FFFFFF" w:themeColor="background1"/>
              <w:left w:val="single" w:sz="4" w:space="0" w:color="FFFFFF" w:themeColor="background1"/>
              <w:right w:val="single" w:sz="4" w:space="0" w:color="FFFFFF" w:themeColor="background1"/>
            </w:tcBorders>
          </w:tcPr>
          <w:p w14:paraId="2A62E20C" w14:textId="15F106A9" w:rsidR="00AE6EAB" w:rsidRDefault="00AE6EAB" w:rsidP="000933FC">
            <w:pPr>
              <w:jc w:val="center"/>
              <w:rPr>
                <w:rFonts w:cs="Times New Roman"/>
                <w:sz w:val="20"/>
                <w:szCs w:val="20"/>
              </w:rPr>
            </w:pPr>
            <w:r>
              <w:rPr>
                <w:rFonts w:cs="Times New Roman"/>
                <w:sz w:val="20"/>
                <w:szCs w:val="20"/>
              </w:rPr>
              <w:t>3</w:t>
            </w:r>
            <w:r w:rsidR="00F46B03">
              <w:rPr>
                <w:rFonts w:cs="Times New Roman"/>
                <w:sz w:val="20"/>
                <w:szCs w:val="20"/>
              </w:rPr>
              <w:t>0</w:t>
            </w:r>
            <w:r>
              <w:rPr>
                <w:rFonts w:cs="Times New Roman"/>
                <w:sz w:val="20"/>
                <w:szCs w:val="20"/>
              </w:rPr>
              <w:t>0</w:t>
            </w:r>
          </w:p>
        </w:tc>
        <w:tc>
          <w:tcPr>
            <w:tcW w:w="2977" w:type="dxa"/>
            <w:tcBorders>
              <w:top w:val="single" w:sz="4" w:space="0" w:color="FFFFFF" w:themeColor="background1"/>
              <w:left w:val="single" w:sz="4" w:space="0" w:color="FFFFFF" w:themeColor="background1"/>
              <w:right w:val="single" w:sz="4" w:space="0" w:color="FFFFFF" w:themeColor="background1"/>
            </w:tcBorders>
          </w:tcPr>
          <w:p w14:paraId="2E86A094" w14:textId="130D23F7" w:rsidR="00AE6EAB" w:rsidRDefault="00134B03" w:rsidP="000933FC">
            <w:pPr>
              <w:jc w:val="center"/>
              <w:rPr>
                <w:rFonts w:cs="Times New Roman"/>
                <w:sz w:val="20"/>
                <w:szCs w:val="20"/>
              </w:rPr>
            </w:pPr>
            <w:r>
              <w:rPr>
                <w:rFonts w:cs="Times New Roman"/>
                <w:sz w:val="20"/>
                <w:szCs w:val="20"/>
              </w:rPr>
              <w:t>1.85</w:t>
            </w:r>
          </w:p>
        </w:tc>
      </w:tr>
      <w:tr w:rsidR="00AE6EAB" w14:paraId="3F023624" w14:textId="77777777" w:rsidTr="000933FC">
        <w:trPr>
          <w:jc w:val="center"/>
        </w:trPr>
        <w:tc>
          <w:tcPr>
            <w:tcW w:w="1696" w:type="dxa"/>
            <w:tcBorders>
              <w:left w:val="single" w:sz="4" w:space="0" w:color="FFFFFF" w:themeColor="background1"/>
              <w:bottom w:val="single" w:sz="4" w:space="0" w:color="FFFFFF" w:themeColor="background1"/>
              <w:right w:val="single" w:sz="4" w:space="0" w:color="FFFFFF" w:themeColor="background1"/>
            </w:tcBorders>
          </w:tcPr>
          <w:p w14:paraId="76818E0E" w14:textId="683E828F" w:rsidR="00AE6EAB" w:rsidRDefault="00AE6EAB" w:rsidP="000933FC">
            <w:pPr>
              <w:jc w:val="center"/>
              <w:rPr>
                <w:rFonts w:cs="Times New Roman"/>
                <w:sz w:val="20"/>
                <w:szCs w:val="20"/>
              </w:rPr>
            </w:pPr>
          </w:p>
        </w:tc>
        <w:tc>
          <w:tcPr>
            <w:tcW w:w="2127" w:type="dxa"/>
            <w:tcBorders>
              <w:left w:val="single" w:sz="4" w:space="0" w:color="FFFFFF" w:themeColor="background1"/>
              <w:bottom w:val="single" w:sz="4" w:space="0" w:color="FFFFFF" w:themeColor="background1"/>
              <w:right w:val="single" w:sz="4" w:space="0" w:color="FFFFFF" w:themeColor="background1"/>
            </w:tcBorders>
          </w:tcPr>
          <w:p w14:paraId="63339F1A" w14:textId="77777777" w:rsidR="00AE6EAB" w:rsidRDefault="00AE6EAB" w:rsidP="000933FC">
            <w:pPr>
              <w:jc w:val="center"/>
              <w:rPr>
                <w:rFonts w:cs="Times New Roman"/>
                <w:sz w:val="20"/>
                <w:szCs w:val="20"/>
              </w:rPr>
            </w:pPr>
          </w:p>
        </w:tc>
        <w:tc>
          <w:tcPr>
            <w:tcW w:w="1842" w:type="dxa"/>
            <w:tcBorders>
              <w:left w:val="single" w:sz="4" w:space="0" w:color="FFFFFF" w:themeColor="background1"/>
              <w:bottom w:val="single" w:sz="4" w:space="0" w:color="FFFFFF" w:themeColor="background1"/>
              <w:right w:val="single" w:sz="4" w:space="0" w:color="FFFFFF" w:themeColor="background1"/>
            </w:tcBorders>
          </w:tcPr>
          <w:p w14:paraId="4E6B9790" w14:textId="77777777" w:rsidR="00AE6EAB" w:rsidRDefault="00AE6EAB" w:rsidP="000933FC">
            <w:pPr>
              <w:jc w:val="center"/>
              <w:rPr>
                <w:rFonts w:cs="Times New Roman"/>
                <w:sz w:val="20"/>
                <w:szCs w:val="20"/>
              </w:rPr>
            </w:pPr>
          </w:p>
        </w:tc>
        <w:tc>
          <w:tcPr>
            <w:tcW w:w="2977" w:type="dxa"/>
            <w:tcBorders>
              <w:left w:val="single" w:sz="4" w:space="0" w:color="FFFFFF" w:themeColor="background1"/>
              <w:bottom w:val="single" w:sz="4" w:space="0" w:color="FFFFFF" w:themeColor="background1"/>
              <w:right w:val="single" w:sz="4" w:space="0" w:color="FFFFFF" w:themeColor="background1"/>
            </w:tcBorders>
          </w:tcPr>
          <w:p w14:paraId="10A25777" w14:textId="77777777" w:rsidR="00AE6EAB" w:rsidRDefault="00AE6EAB" w:rsidP="000933FC">
            <w:pPr>
              <w:jc w:val="center"/>
              <w:rPr>
                <w:rFonts w:cs="Times New Roman"/>
                <w:sz w:val="20"/>
                <w:szCs w:val="20"/>
              </w:rPr>
            </w:pPr>
          </w:p>
        </w:tc>
      </w:tr>
    </w:tbl>
    <w:p w14:paraId="393A00AC" w14:textId="0D697818" w:rsidR="00007377" w:rsidRDefault="00007377" w:rsidP="00941EDF">
      <w:pPr>
        <w:rPr>
          <w:rFonts w:cs="Times New Roman"/>
          <w:sz w:val="20"/>
          <w:szCs w:val="20"/>
        </w:rPr>
      </w:pPr>
    </w:p>
    <w:p w14:paraId="2230DD9A" w14:textId="47B22F37" w:rsidR="00A2441B" w:rsidRDefault="00A2441B" w:rsidP="00941EDF">
      <w:pPr>
        <w:rPr>
          <w:rFonts w:cs="Times New Roman"/>
          <w:sz w:val="20"/>
          <w:szCs w:val="20"/>
        </w:rPr>
      </w:pPr>
    </w:p>
    <w:p w14:paraId="19CA3BC2" w14:textId="77777777" w:rsidR="00A2441B" w:rsidRDefault="00A2441B" w:rsidP="00941EDF">
      <w:pPr>
        <w:rPr>
          <w:rFonts w:cs="Times New Roman"/>
          <w:sz w:val="20"/>
          <w:szCs w:val="20"/>
        </w:rPr>
      </w:pPr>
    </w:p>
    <w:p w14:paraId="70063CD5" w14:textId="6F3EE3FC" w:rsidR="00A2441B" w:rsidRDefault="00A2441B" w:rsidP="00941EDF">
      <w:pPr>
        <w:rPr>
          <w:rFonts w:cs="Times New Roman"/>
          <w:sz w:val="20"/>
          <w:szCs w:val="20"/>
        </w:rPr>
      </w:pPr>
    </w:p>
    <w:p w14:paraId="5ABD3F3E" w14:textId="293021BD" w:rsidR="00A2441B" w:rsidRDefault="00A2441B" w:rsidP="00941EDF">
      <w:pPr>
        <w:rPr>
          <w:rFonts w:cs="Times New Roman"/>
          <w:sz w:val="20"/>
          <w:szCs w:val="20"/>
        </w:rPr>
      </w:pPr>
    </w:p>
    <w:p w14:paraId="368B1EEF" w14:textId="64338E71" w:rsidR="00A2441B" w:rsidRDefault="00A2441B" w:rsidP="00A2441B">
      <w:pPr>
        <w:jc w:val="center"/>
        <w:rPr>
          <w:rFonts w:cs="Times New Roman"/>
          <w:sz w:val="20"/>
          <w:szCs w:val="20"/>
        </w:rPr>
      </w:pPr>
      <w:r w:rsidRPr="00A2441B">
        <w:rPr>
          <w:rFonts w:cs="Times New Roman"/>
          <w:b/>
          <w:bCs/>
          <w:sz w:val="20"/>
          <w:szCs w:val="20"/>
        </w:rPr>
        <w:t>Table 2</w:t>
      </w:r>
      <w:r>
        <w:rPr>
          <w:rFonts w:cs="Times New Roman"/>
          <w:sz w:val="20"/>
          <w:szCs w:val="20"/>
        </w:rPr>
        <w:t>. Preheat for various metals</w:t>
      </w:r>
    </w:p>
    <w:p w14:paraId="28EC6436" w14:textId="77777777" w:rsidR="00A2441B" w:rsidRDefault="00A2441B" w:rsidP="00A2441B">
      <w:pPr>
        <w:jc w:val="center"/>
        <w:rPr>
          <w:rFonts w:cs="Times New Roman"/>
          <w:sz w:val="20"/>
          <w:szCs w:val="20"/>
        </w:rPr>
      </w:pPr>
    </w:p>
    <w:tbl>
      <w:tblPr>
        <w:tblStyle w:val="TableGrid"/>
        <w:tblW w:w="0" w:type="auto"/>
        <w:tblLook w:val="04A0" w:firstRow="1" w:lastRow="0" w:firstColumn="1" w:lastColumn="0" w:noHBand="0" w:noVBand="1"/>
      </w:tblPr>
      <w:tblGrid>
        <w:gridCol w:w="4530"/>
        <w:gridCol w:w="4531"/>
      </w:tblGrid>
      <w:tr w:rsidR="007F41A3" w14:paraId="1D42D28E" w14:textId="77777777" w:rsidTr="00A2441B">
        <w:trPr>
          <w:trHeight w:val="557"/>
        </w:trPr>
        <w:tc>
          <w:tcPr>
            <w:tcW w:w="4530" w:type="dxa"/>
            <w:tcBorders>
              <w:left w:val="single" w:sz="4" w:space="0" w:color="FFFFFF" w:themeColor="background1"/>
              <w:right w:val="single" w:sz="4" w:space="0" w:color="FFFFFF" w:themeColor="background1"/>
            </w:tcBorders>
          </w:tcPr>
          <w:p w14:paraId="6B42E602" w14:textId="44BEEE4F" w:rsidR="007F41A3" w:rsidRPr="00A2441B" w:rsidRDefault="007F41A3" w:rsidP="00A2441B">
            <w:pPr>
              <w:spacing w:before="120" w:after="120"/>
              <w:jc w:val="center"/>
              <w:rPr>
                <w:rFonts w:cs="Times New Roman"/>
                <w:b/>
                <w:bCs/>
                <w:sz w:val="20"/>
                <w:szCs w:val="20"/>
              </w:rPr>
            </w:pPr>
            <w:r w:rsidRPr="00A2441B">
              <w:rPr>
                <w:rFonts w:cs="Times New Roman"/>
                <w:b/>
                <w:bCs/>
                <w:sz w:val="20"/>
                <w:szCs w:val="20"/>
              </w:rPr>
              <w:t>Types of Steel</w:t>
            </w:r>
          </w:p>
        </w:tc>
        <w:tc>
          <w:tcPr>
            <w:tcW w:w="4531" w:type="dxa"/>
            <w:tcBorders>
              <w:left w:val="single" w:sz="4" w:space="0" w:color="FFFFFF" w:themeColor="background1"/>
              <w:right w:val="single" w:sz="4" w:space="0" w:color="FFFFFF" w:themeColor="background1"/>
            </w:tcBorders>
          </w:tcPr>
          <w:p w14:paraId="007ED876" w14:textId="5F1D8E99" w:rsidR="007F41A3" w:rsidRPr="00A2441B" w:rsidRDefault="007F41A3" w:rsidP="00A2441B">
            <w:pPr>
              <w:spacing w:before="120" w:after="120"/>
              <w:jc w:val="center"/>
              <w:rPr>
                <w:rFonts w:cs="Times New Roman"/>
                <w:b/>
                <w:bCs/>
                <w:sz w:val="20"/>
                <w:szCs w:val="20"/>
              </w:rPr>
            </w:pPr>
            <w:r w:rsidRPr="00A2441B">
              <w:rPr>
                <w:rFonts w:cs="Times New Roman"/>
                <w:b/>
                <w:bCs/>
                <w:sz w:val="20"/>
                <w:szCs w:val="20"/>
              </w:rPr>
              <w:t>Preheat</w:t>
            </w:r>
          </w:p>
        </w:tc>
      </w:tr>
      <w:tr w:rsidR="007F41A3" w14:paraId="6450E661" w14:textId="77777777" w:rsidTr="00A2441B">
        <w:tc>
          <w:tcPr>
            <w:tcW w:w="4530" w:type="dxa"/>
            <w:tcBorders>
              <w:left w:val="single" w:sz="4" w:space="0" w:color="FFFFFF" w:themeColor="background1"/>
              <w:bottom w:val="single" w:sz="4" w:space="0" w:color="FFFFFF" w:themeColor="background1"/>
              <w:right w:val="single" w:sz="4" w:space="0" w:color="FFFFFF" w:themeColor="background1"/>
            </w:tcBorders>
          </w:tcPr>
          <w:p w14:paraId="27944118" w14:textId="0ECA6DAE" w:rsidR="007F41A3" w:rsidRDefault="007F41A3" w:rsidP="00A2441B">
            <w:pPr>
              <w:spacing w:before="120" w:after="120"/>
              <w:jc w:val="center"/>
              <w:rPr>
                <w:rFonts w:cs="Times New Roman"/>
                <w:sz w:val="20"/>
                <w:szCs w:val="20"/>
              </w:rPr>
            </w:pPr>
            <w:r w:rsidRPr="007F41A3">
              <w:rPr>
                <w:rFonts w:cs="Times New Roman"/>
                <w:sz w:val="20"/>
                <w:szCs w:val="20"/>
              </w:rPr>
              <w:t>Low carbon-Carbon</w:t>
            </w:r>
            <w:r>
              <w:rPr>
                <w:rFonts w:cs="Times New Roman"/>
                <w:sz w:val="20"/>
                <w:szCs w:val="20"/>
              </w:rPr>
              <w:t xml:space="preserve"> </w:t>
            </w:r>
            <w:r w:rsidRPr="007F41A3">
              <w:rPr>
                <w:rFonts w:cs="Times New Roman"/>
                <w:sz w:val="20"/>
                <w:szCs w:val="20"/>
              </w:rPr>
              <w:t>Steel</w:t>
            </w:r>
          </w:p>
        </w:tc>
        <w:tc>
          <w:tcPr>
            <w:tcW w:w="4531" w:type="dxa"/>
            <w:tcBorders>
              <w:left w:val="single" w:sz="4" w:space="0" w:color="FFFFFF" w:themeColor="background1"/>
              <w:bottom w:val="single" w:sz="4" w:space="0" w:color="FFFFFF" w:themeColor="background1"/>
              <w:right w:val="single" w:sz="4" w:space="0" w:color="FFFFFF" w:themeColor="background1"/>
            </w:tcBorders>
          </w:tcPr>
          <w:p w14:paraId="7D91FAD6" w14:textId="2DFBC99B" w:rsidR="007F41A3" w:rsidRDefault="00557761" w:rsidP="00A2441B">
            <w:pPr>
              <w:spacing w:before="120" w:after="120"/>
              <w:jc w:val="center"/>
              <w:rPr>
                <w:rFonts w:cs="Times New Roman"/>
                <w:sz w:val="20"/>
                <w:szCs w:val="20"/>
              </w:rPr>
            </w:pPr>
            <w:r>
              <w:rPr>
                <w:rFonts w:cs="Times New Roman"/>
                <w:sz w:val="20"/>
                <w:szCs w:val="20"/>
              </w:rPr>
              <w:t>Room temperature or up to 200</w:t>
            </w:r>
            <w:r w:rsidR="00E326CF">
              <w:rPr>
                <w:rFonts w:cs="Times New Roman"/>
                <w:sz w:val="20"/>
                <w:szCs w:val="20"/>
              </w:rPr>
              <w:t>°</w:t>
            </w:r>
            <w:r>
              <w:rPr>
                <w:rFonts w:cs="Times New Roman"/>
                <w:sz w:val="20"/>
                <w:szCs w:val="20"/>
              </w:rPr>
              <w:t xml:space="preserve">F </w:t>
            </w:r>
            <w:proofErr w:type="gramStart"/>
            <w:r>
              <w:rPr>
                <w:rFonts w:cs="Times New Roman"/>
                <w:sz w:val="20"/>
                <w:szCs w:val="20"/>
              </w:rPr>
              <w:t>( 93</w:t>
            </w:r>
            <w:proofErr w:type="gramEnd"/>
            <w:r w:rsidR="00E326CF">
              <w:rPr>
                <w:rFonts w:cs="Times New Roman"/>
                <w:sz w:val="20"/>
                <w:szCs w:val="20"/>
              </w:rPr>
              <w:t>°</w:t>
            </w:r>
            <w:r>
              <w:rPr>
                <w:rFonts w:cs="Times New Roman"/>
                <w:sz w:val="20"/>
                <w:szCs w:val="20"/>
              </w:rPr>
              <w:t>C )</w:t>
            </w:r>
          </w:p>
        </w:tc>
      </w:tr>
      <w:tr w:rsidR="007F41A3" w14:paraId="18A022DD" w14:textId="77777777" w:rsidTr="00A2441B">
        <w:tc>
          <w:tcPr>
            <w:tcW w:w="4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A2F86C" w14:textId="4091DD37" w:rsidR="007F41A3" w:rsidRDefault="007F41A3" w:rsidP="00A2441B">
            <w:pPr>
              <w:spacing w:before="120" w:after="120"/>
              <w:jc w:val="center"/>
              <w:rPr>
                <w:rFonts w:cs="Times New Roman"/>
                <w:sz w:val="20"/>
                <w:szCs w:val="20"/>
              </w:rPr>
            </w:pPr>
            <w:r>
              <w:rPr>
                <w:rFonts w:cs="Times New Roman"/>
                <w:sz w:val="20"/>
                <w:szCs w:val="20"/>
              </w:rPr>
              <w:t>Medium-Carbon Steel</w:t>
            </w:r>
          </w:p>
        </w:tc>
        <w:tc>
          <w:tcPr>
            <w:tcW w:w="4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211144" w14:textId="4297177B" w:rsidR="007F41A3" w:rsidRDefault="00557761" w:rsidP="00A2441B">
            <w:pPr>
              <w:spacing w:before="120" w:after="120"/>
              <w:jc w:val="center"/>
              <w:rPr>
                <w:rFonts w:cs="Times New Roman"/>
                <w:sz w:val="20"/>
                <w:szCs w:val="20"/>
              </w:rPr>
            </w:pPr>
            <w:r>
              <w:rPr>
                <w:rFonts w:cs="Times New Roman"/>
                <w:sz w:val="20"/>
                <w:szCs w:val="20"/>
              </w:rPr>
              <w:t>400-500</w:t>
            </w:r>
            <w:r w:rsidR="00E326CF">
              <w:rPr>
                <w:rFonts w:cs="Times New Roman"/>
                <w:sz w:val="20"/>
                <w:szCs w:val="20"/>
              </w:rPr>
              <w:t>°</w:t>
            </w:r>
            <w:r>
              <w:rPr>
                <w:rFonts w:cs="Times New Roman"/>
                <w:sz w:val="20"/>
                <w:szCs w:val="20"/>
              </w:rPr>
              <w:t xml:space="preserve">F </w:t>
            </w:r>
            <w:proofErr w:type="gramStart"/>
            <w:r>
              <w:rPr>
                <w:rFonts w:cs="Times New Roman"/>
                <w:sz w:val="20"/>
                <w:szCs w:val="20"/>
              </w:rPr>
              <w:t>( 205</w:t>
            </w:r>
            <w:proofErr w:type="gramEnd"/>
            <w:r>
              <w:rPr>
                <w:rFonts w:cs="Times New Roman"/>
                <w:sz w:val="20"/>
                <w:szCs w:val="20"/>
              </w:rPr>
              <w:t>-260</w:t>
            </w:r>
            <w:r w:rsidR="00E326CF">
              <w:rPr>
                <w:rFonts w:cs="Times New Roman"/>
                <w:sz w:val="20"/>
                <w:szCs w:val="20"/>
              </w:rPr>
              <w:t>°</w:t>
            </w:r>
            <w:r>
              <w:rPr>
                <w:rFonts w:cs="Times New Roman"/>
                <w:sz w:val="20"/>
                <w:szCs w:val="20"/>
              </w:rPr>
              <w:t>C )</w:t>
            </w:r>
          </w:p>
        </w:tc>
      </w:tr>
      <w:tr w:rsidR="007F41A3" w14:paraId="39FD715A" w14:textId="77777777" w:rsidTr="00A2441B">
        <w:tc>
          <w:tcPr>
            <w:tcW w:w="4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6644DC" w14:textId="75A9F40A" w:rsidR="007F41A3" w:rsidRDefault="007F41A3" w:rsidP="00A2441B">
            <w:pPr>
              <w:spacing w:before="120" w:after="120"/>
              <w:jc w:val="center"/>
              <w:rPr>
                <w:rFonts w:cs="Times New Roman"/>
                <w:sz w:val="20"/>
                <w:szCs w:val="20"/>
              </w:rPr>
            </w:pPr>
            <w:r>
              <w:rPr>
                <w:rFonts w:cs="Times New Roman"/>
                <w:sz w:val="20"/>
                <w:szCs w:val="20"/>
              </w:rPr>
              <w:t>High-Carbon Steel</w:t>
            </w:r>
          </w:p>
        </w:tc>
        <w:tc>
          <w:tcPr>
            <w:tcW w:w="4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6C9E30" w14:textId="25D5295E" w:rsidR="007F41A3" w:rsidRDefault="00557761" w:rsidP="00A2441B">
            <w:pPr>
              <w:spacing w:before="120" w:after="120"/>
              <w:jc w:val="center"/>
              <w:rPr>
                <w:rFonts w:cs="Times New Roman"/>
                <w:sz w:val="20"/>
                <w:szCs w:val="20"/>
              </w:rPr>
            </w:pPr>
            <w:r>
              <w:rPr>
                <w:rFonts w:cs="Times New Roman"/>
                <w:sz w:val="20"/>
                <w:szCs w:val="20"/>
              </w:rPr>
              <w:t>500-600</w:t>
            </w:r>
            <w:r w:rsidR="00E326CF">
              <w:rPr>
                <w:rFonts w:cs="Times New Roman"/>
                <w:sz w:val="20"/>
                <w:szCs w:val="20"/>
              </w:rPr>
              <w:t>°</w:t>
            </w:r>
            <w:r>
              <w:rPr>
                <w:rFonts w:cs="Times New Roman"/>
                <w:sz w:val="20"/>
                <w:szCs w:val="20"/>
              </w:rPr>
              <w:t xml:space="preserve">F </w:t>
            </w:r>
            <w:proofErr w:type="gramStart"/>
            <w:r>
              <w:rPr>
                <w:rFonts w:cs="Times New Roman"/>
                <w:sz w:val="20"/>
                <w:szCs w:val="20"/>
              </w:rPr>
              <w:t>( 260</w:t>
            </w:r>
            <w:proofErr w:type="gramEnd"/>
            <w:r>
              <w:rPr>
                <w:rFonts w:cs="Times New Roman"/>
                <w:sz w:val="20"/>
                <w:szCs w:val="20"/>
              </w:rPr>
              <w:t>-315</w:t>
            </w:r>
            <w:r w:rsidR="00E326CF">
              <w:rPr>
                <w:rFonts w:cs="Times New Roman"/>
                <w:sz w:val="20"/>
                <w:szCs w:val="20"/>
              </w:rPr>
              <w:t>°</w:t>
            </w:r>
            <w:r>
              <w:rPr>
                <w:rFonts w:cs="Times New Roman"/>
                <w:sz w:val="20"/>
                <w:szCs w:val="20"/>
              </w:rPr>
              <w:t>C )</w:t>
            </w:r>
          </w:p>
        </w:tc>
      </w:tr>
      <w:tr w:rsidR="007F41A3" w14:paraId="2D713A31" w14:textId="77777777" w:rsidTr="00A2441B">
        <w:tc>
          <w:tcPr>
            <w:tcW w:w="4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C21838" w14:textId="310CF0EC" w:rsidR="007F41A3" w:rsidRDefault="007F41A3" w:rsidP="00A2441B">
            <w:pPr>
              <w:spacing w:before="120" w:after="120"/>
              <w:jc w:val="center"/>
              <w:rPr>
                <w:rFonts w:cs="Times New Roman"/>
                <w:sz w:val="20"/>
                <w:szCs w:val="20"/>
              </w:rPr>
            </w:pPr>
            <w:r>
              <w:rPr>
                <w:rFonts w:cs="Times New Roman"/>
                <w:sz w:val="20"/>
                <w:szCs w:val="20"/>
              </w:rPr>
              <w:t>Low-Alloy Nickle Steel</w:t>
            </w:r>
          </w:p>
          <w:p w14:paraId="588365EC" w14:textId="026A671A" w:rsidR="007F41A3" w:rsidRPr="007F41A3" w:rsidRDefault="007F41A3" w:rsidP="00A2441B">
            <w:pPr>
              <w:spacing w:before="120" w:after="120"/>
              <w:jc w:val="center"/>
              <w:rPr>
                <w:rFonts w:cs="Times New Roman"/>
                <w:sz w:val="20"/>
                <w:szCs w:val="20"/>
              </w:rPr>
            </w:pPr>
            <w:r>
              <w:rPr>
                <w:rFonts w:cs="Times New Roman"/>
                <w:sz w:val="20"/>
                <w:szCs w:val="20"/>
              </w:rPr>
              <w:t>-Less than1/4(6.4 mm) thick</w:t>
            </w:r>
          </w:p>
          <w:p w14:paraId="4AF26256" w14:textId="2417345A" w:rsidR="007F41A3" w:rsidRDefault="007F41A3" w:rsidP="00A2441B">
            <w:pPr>
              <w:spacing w:before="120" w:after="120"/>
              <w:jc w:val="center"/>
              <w:rPr>
                <w:rFonts w:cs="Times New Roman"/>
                <w:sz w:val="20"/>
                <w:szCs w:val="20"/>
              </w:rPr>
            </w:pPr>
            <w:r>
              <w:rPr>
                <w:rFonts w:cs="Times New Roman"/>
                <w:sz w:val="20"/>
                <w:szCs w:val="20"/>
              </w:rPr>
              <w:t xml:space="preserve">-More than ¼ (6.4 </w:t>
            </w:r>
            <w:proofErr w:type="gramStart"/>
            <w:r>
              <w:rPr>
                <w:rFonts w:cs="Times New Roman"/>
                <w:sz w:val="20"/>
                <w:szCs w:val="20"/>
              </w:rPr>
              <w:t>mm )</w:t>
            </w:r>
            <w:proofErr w:type="gramEnd"/>
            <w:r>
              <w:rPr>
                <w:rFonts w:cs="Times New Roman"/>
                <w:sz w:val="20"/>
                <w:szCs w:val="20"/>
              </w:rPr>
              <w:t xml:space="preserve"> thick</w:t>
            </w:r>
          </w:p>
        </w:tc>
        <w:tc>
          <w:tcPr>
            <w:tcW w:w="4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E933F3" w14:textId="77777777" w:rsidR="007F41A3" w:rsidRDefault="00557761" w:rsidP="00A2441B">
            <w:pPr>
              <w:spacing w:before="120" w:after="120"/>
              <w:jc w:val="center"/>
              <w:rPr>
                <w:rFonts w:cs="Times New Roman"/>
                <w:sz w:val="20"/>
                <w:szCs w:val="20"/>
              </w:rPr>
            </w:pPr>
            <w:r>
              <w:rPr>
                <w:rFonts w:cs="Times New Roman"/>
                <w:sz w:val="20"/>
                <w:szCs w:val="20"/>
              </w:rPr>
              <w:t>Room temperature</w:t>
            </w:r>
          </w:p>
          <w:p w14:paraId="4FB35283" w14:textId="3D28FBBB" w:rsidR="00557761" w:rsidRDefault="00557761" w:rsidP="00A2441B">
            <w:pPr>
              <w:spacing w:before="120" w:after="120"/>
              <w:jc w:val="center"/>
              <w:rPr>
                <w:rFonts w:cs="Times New Roman"/>
                <w:sz w:val="20"/>
                <w:szCs w:val="20"/>
              </w:rPr>
            </w:pPr>
            <w:r>
              <w:rPr>
                <w:rFonts w:cs="Times New Roman"/>
                <w:sz w:val="20"/>
                <w:szCs w:val="20"/>
              </w:rPr>
              <w:t>500</w:t>
            </w:r>
            <w:r w:rsidR="00E326CF">
              <w:rPr>
                <w:rFonts w:cs="Times New Roman"/>
                <w:sz w:val="20"/>
                <w:szCs w:val="20"/>
              </w:rPr>
              <w:t>°</w:t>
            </w:r>
            <w:r>
              <w:rPr>
                <w:rFonts w:cs="Times New Roman"/>
                <w:sz w:val="20"/>
                <w:szCs w:val="20"/>
              </w:rPr>
              <w:t xml:space="preserve">F </w:t>
            </w:r>
            <w:proofErr w:type="gramStart"/>
            <w:r>
              <w:rPr>
                <w:rFonts w:cs="Times New Roman"/>
                <w:sz w:val="20"/>
                <w:szCs w:val="20"/>
              </w:rPr>
              <w:t>( 260</w:t>
            </w:r>
            <w:proofErr w:type="gramEnd"/>
            <w:r w:rsidR="00E326CF">
              <w:rPr>
                <w:rFonts w:cs="Times New Roman"/>
                <w:sz w:val="20"/>
                <w:szCs w:val="20"/>
              </w:rPr>
              <w:t>°</w:t>
            </w:r>
            <w:r>
              <w:rPr>
                <w:rFonts w:cs="Times New Roman"/>
                <w:sz w:val="20"/>
                <w:szCs w:val="20"/>
              </w:rPr>
              <w:t>C )</w:t>
            </w:r>
          </w:p>
        </w:tc>
      </w:tr>
      <w:tr w:rsidR="007F41A3" w14:paraId="2A948869" w14:textId="77777777" w:rsidTr="00A2441B">
        <w:tc>
          <w:tcPr>
            <w:tcW w:w="4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A25115" w14:textId="77777777" w:rsidR="007F41A3" w:rsidRDefault="007F41A3" w:rsidP="00A2441B">
            <w:pPr>
              <w:spacing w:before="120" w:after="120"/>
              <w:jc w:val="center"/>
              <w:rPr>
                <w:rFonts w:cs="Times New Roman"/>
                <w:sz w:val="20"/>
                <w:szCs w:val="20"/>
              </w:rPr>
            </w:pPr>
            <w:r>
              <w:rPr>
                <w:rFonts w:cs="Times New Roman"/>
                <w:sz w:val="20"/>
                <w:szCs w:val="20"/>
              </w:rPr>
              <w:t>Low-Alloy Nickle Chrome steel</w:t>
            </w:r>
          </w:p>
          <w:p w14:paraId="5E7AAE67" w14:textId="77777777" w:rsidR="007F41A3" w:rsidRDefault="007F41A3" w:rsidP="00A2441B">
            <w:pPr>
              <w:spacing w:before="120" w:after="120"/>
              <w:jc w:val="center"/>
              <w:rPr>
                <w:rFonts w:cs="Times New Roman"/>
                <w:sz w:val="20"/>
                <w:szCs w:val="20"/>
              </w:rPr>
            </w:pPr>
            <w:r>
              <w:rPr>
                <w:rFonts w:cs="Times New Roman"/>
                <w:sz w:val="20"/>
                <w:szCs w:val="20"/>
              </w:rPr>
              <w:t>-Carbon content below 20%</w:t>
            </w:r>
          </w:p>
          <w:p w14:paraId="504A8207" w14:textId="77777777" w:rsidR="007F41A3" w:rsidRDefault="007F41A3" w:rsidP="00A2441B">
            <w:pPr>
              <w:spacing w:before="120" w:after="120"/>
              <w:jc w:val="center"/>
              <w:rPr>
                <w:rFonts w:cs="Times New Roman"/>
                <w:sz w:val="20"/>
                <w:szCs w:val="20"/>
              </w:rPr>
            </w:pPr>
            <w:r>
              <w:rPr>
                <w:rFonts w:cs="Times New Roman"/>
                <w:sz w:val="20"/>
                <w:szCs w:val="20"/>
              </w:rPr>
              <w:t>-Carbon content 20% to 35%</w:t>
            </w:r>
          </w:p>
          <w:p w14:paraId="6BD23208" w14:textId="3B7C1298" w:rsidR="007F41A3" w:rsidRDefault="007F41A3" w:rsidP="00A2441B">
            <w:pPr>
              <w:spacing w:before="120" w:after="120"/>
              <w:jc w:val="center"/>
              <w:rPr>
                <w:rFonts w:cs="Times New Roman"/>
                <w:sz w:val="20"/>
                <w:szCs w:val="20"/>
              </w:rPr>
            </w:pPr>
            <w:r>
              <w:rPr>
                <w:rFonts w:cs="Times New Roman"/>
                <w:sz w:val="20"/>
                <w:szCs w:val="20"/>
              </w:rPr>
              <w:t>-Carbon content above 35%</w:t>
            </w:r>
          </w:p>
        </w:tc>
        <w:tc>
          <w:tcPr>
            <w:tcW w:w="4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245A66" w14:textId="77777777" w:rsidR="007F41A3" w:rsidRDefault="007F41A3" w:rsidP="00A2441B">
            <w:pPr>
              <w:spacing w:before="120" w:after="120"/>
              <w:jc w:val="center"/>
              <w:rPr>
                <w:rFonts w:cs="Times New Roman"/>
                <w:sz w:val="20"/>
                <w:szCs w:val="20"/>
              </w:rPr>
            </w:pPr>
          </w:p>
          <w:p w14:paraId="198FA622" w14:textId="0D39819A" w:rsidR="00557761" w:rsidRDefault="00557761" w:rsidP="00A2441B">
            <w:pPr>
              <w:spacing w:before="120" w:after="120"/>
              <w:jc w:val="center"/>
              <w:rPr>
                <w:rFonts w:cs="Times New Roman"/>
                <w:sz w:val="20"/>
                <w:szCs w:val="20"/>
              </w:rPr>
            </w:pPr>
            <w:r>
              <w:rPr>
                <w:rFonts w:cs="Times New Roman"/>
                <w:sz w:val="20"/>
                <w:szCs w:val="20"/>
              </w:rPr>
              <w:t>200-300</w:t>
            </w:r>
            <w:r w:rsidR="00E326CF">
              <w:rPr>
                <w:rFonts w:cs="Times New Roman"/>
                <w:sz w:val="20"/>
                <w:szCs w:val="20"/>
              </w:rPr>
              <w:t>°</w:t>
            </w:r>
            <w:r>
              <w:rPr>
                <w:rFonts w:cs="Times New Roman"/>
                <w:sz w:val="20"/>
                <w:szCs w:val="20"/>
              </w:rPr>
              <w:t xml:space="preserve">F </w:t>
            </w:r>
            <w:proofErr w:type="gramStart"/>
            <w:r>
              <w:rPr>
                <w:rFonts w:cs="Times New Roman"/>
                <w:sz w:val="20"/>
                <w:szCs w:val="20"/>
              </w:rPr>
              <w:t>(</w:t>
            </w:r>
            <w:r w:rsidR="00E326CF">
              <w:rPr>
                <w:rFonts w:cs="Times New Roman"/>
                <w:sz w:val="20"/>
                <w:szCs w:val="20"/>
              </w:rPr>
              <w:t xml:space="preserve"> 93</w:t>
            </w:r>
            <w:proofErr w:type="gramEnd"/>
            <w:r w:rsidR="00E326CF">
              <w:rPr>
                <w:rFonts w:cs="Times New Roman"/>
                <w:sz w:val="20"/>
                <w:szCs w:val="20"/>
              </w:rPr>
              <w:t>-150°C )</w:t>
            </w:r>
          </w:p>
          <w:p w14:paraId="57674A33" w14:textId="5BE64B2F" w:rsidR="00E326CF" w:rsidRDefault="00E326CF" w:rsidP="00A2441B">
            <w:pPr>
              <w:spacing w:before="120" w:after="120"/>
              <w:jc w:val="center"/>
              <w:rPr>
                <w:rFonts w:cs="Times New Roman"/>
                <w:sz w:val="20"/>
                <w:szCs w:val="20"/>
              </w:rPr>
            </w:pPr>
            <w:r>
              <w:rPr>
                <w:rFonts w:cs="Times New Roman"/>
                <w:sz w:val="20"/>
                <w:szCs w:val="20"/>
              </w:rPr>
              <w:t xml:space="preserve">600-800°F </w:t>
            </w:r>
            <w:proofErr w:type="gramStart"/>
            <w:r>
              <w:rPr>
                <w:rFonts w:cs="Times New Roman"/>
                <w:sz w:val="20"/>
                <w:szCs w:val="20"/>
              </w:rPr>
              <w:t>( 315</w:t>
            </w:r>
            <w:proofErr w:type="gramEnd"/>
            <w:r>
              <w:rPr>
                <w:rFonts w:cs="Times New Roman"/>
                <w:sz w:val="20"/>
                <w:szCs w:val="20"/>
              </w:rPr>
              <w:t>-425°C )</w:t>
            </w:r>
          </w:p>
          <w:p w14:paraId="79D63AA3" w14:textId="19C9A6E1" w:rsidR="00E326CF" w:rsidRDefault="00E326CF" w:rsidP="00A2441B">
            <w:pPr>
              <w:spacing w:before="120" w:after="120"/>
              <w:jc w:val="center"/>
              <w:rPr>
                <w:rFonts w:cs="Times New Roman"/>
                <w:sz w:val="20"/>
                <w:szCs w:val="20"/>
              </w:rPr>
            </w:pPr>
            <w:r>
              <w:rPr>
                <w:rFonts w:cs="Times New Roman"/>
                <w:sz w:val="20"/>
                <w:szCs w:val="20"/>
              </w:rPr>
              <w:t xml:space="preserve">900-1100°F </w:t>
            </w:r>
            <w:proofErr w:type="gramStart"/>
            <w:r>
              <w:rPr>
                <w:rFonts w:cs="Times New Roman"/>
                <w:sz w:val="20"/>
                <w:szCs w:val="20"/>
              </w:rPr>
              <w:t>( 480</w:t>
            </w:r>
            <w:proofErr w:type="gramEnd"/>
            <w:r>
              <w:rPr>
                <w:rFonts w:cs="Times New Roman"/>
                <w:sz w:val="20"/>
                <w:szCs w:val="20"/>
              </w:rPr>
              <w:t>-595°C )</w:t>
            </w:r>
          </w:p>
        </w:tc>
      </w:tr>
      <w:tr w:rsidR="007F41A3" w14:paraId="31DC52EA" w14:textId="77777777" w:rsidTr="00A2441B">
        <w:tc>
          <w:tcPr>
            <w:tcW w:w="4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41EE1A" w14:textId="18BD00C7" w:rsidR="007F41A3" w:rsidRDefault="007F41A3" w:rsidP="00A2441B">
            <w:pPr>
              <w:spacing w:before="120" w:after="120"/>
              <w:jc w:val="center"/>
              <w:rPr>
                <w:rFonts w:cs="Times New Roman"/>
                <w:sz w:val="20"/>
                <w:szCs w:val="20"/>
              </w:rPr>
            </w:pPr>
            <w:r>
              <w:rPr>
                <w:rFonts w:cs="Times New Roman"/>
                <w:sz w:val="20"/>
                <w:szCs w:val="20"/>
              </w:rPr>
              <w:t>Low -alloy Manganese steel</w:t>
            </w:r>
          </w:p>
        </w:tc>
        <w:tc>
          <w:tcPr>
            <w:tcW w:w="4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5819A3" w14:textId="77A700AD" w:rsidR="007F41A3" w:rsidRDefault="00E326CF" w:rsidP="00A2441B">
            <w:pPr>
              <w:spacing w:before="120" w:after="120"/>
              <w:jc w:val="center"/>
              <w:rPr>
                <w:rFonts w:cs="Times New Roman"/>
                <w:sz w:val="20"/>
                <w:szCs w:val="20"/>
              </w:rPr>
            </w:pPr>
            <w:r>
              <w:rPr>
                <w:rFonts w:cs="Times New Roman"/>
                <w:sz w:val="20"/>
                <w:szCs w:val="20"/>
              </w:rPr>
              <w:t xml:space="preserve">400-600°F </w:t>
            </w:r>
            <w:proofErr w:type="gramStart"/>
            <w:r>
              <w:rPr>
                <w:rFonts w:cs="Times New Roman"/>
                <w:sz w:val="20"/>
                <w:szCs w:val="20"/>
              </w:rPr>
              <w:t>( 205</w:t>
            </w:r>
            <w:proofErr w:type="gramEnd"/>
            <w:r>
              <w:rPr>
                <w:rFonts w:cs="Times New Roman"/>
                <w:sz w:val="20"/>
                <w:szCs w:val="20"/>
              </w:rPr>
              <w:t>-315°C )</w:t>
            </w:r>
          </w:p>
        </w:tc>
      </w:tr>
      <w:tr w:rsidR="007F41A3" w14:paraId="6C91BF35" w14:textId="77777777" w:rsidTr="00A2441B">
        <w:tc>
          <w:tcPr>
            <w:tcW w:w="4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65A688" w14:textId="228E4CFC" w:rsidR="007F41A3" w:rsidRDefault="007F41A3" w:rsidP="00A2441B">
            <w:pPr>
              <w:spacing w:before="120" w:after="120"/>
              <w:jc w:val="center"/>
              <w:rPr>
                <w:rFonts w:cs="Times New Roman"/>
                <w:sz w:val="20"/>
                <w:szCs w:val="20"/>
              </w:rPr>
            </w:pPr>
            <w:r>
              <w:rPr>
                <w:rFonts w:cs="Times New Roman"/>
                <w:sz w:val="20"/>
                <w:szCs w:val="20"/>
              </w:rPr>
              <w:lastRenderedPageBreak/>
              <w:t>Low -alloy Chrome steel</w:t>
            </w:r>
          </w:p>
        </w:tc>
        <w:tc>
          <w:tcPr>
            <w:tcW w:w="4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B2B335" w14:textId="0504BE1F" w:rsidR="007F41A3" w:rsidRDefault="00E326CF" w:rsidP="00A2441B">
            <w:pPr>
              <w:spacing w:before="120" w:after="120"/>
              <w:jc w:val="center"/>
              <w:rPr>
                <w:rFonts w:cs="Times New Roman"/>
                <w:sz w:val="20"/>
                <w:szCs w:val="20"/>
              </w:rPr>
            </w:pPr>
            <w:r>
              <w:rPr>
                <w:rFonts w:cs="Times New Roman"/>
                <w:sz w:val="20"/>
                <w:szCs w:val="20"/>
              </w:rPr>
              <w:t xml:space="preserve">Up to 750°F </w:t>
            </w:r>
            <w:proofErr w:type="gramStart"/>
            <w:r>
              <w:rPr>
                <w:rFonts w:cs="Times New Roman"/>
                <w:sz w:val="20"/>
                <w:szCs w:val="20"/>
              </w:rPr>
              <w:t>( 400</w:t>
            </w:r>
            <w:proofErr w:type="gramEnd"/>
            <w:r>
              <w:rPr>
                <w:rFonts w:cs="Times New Roman"/>
                <w:sz w:val="20"/>
                <w:szCs w:val="20"/>
              </w:rPr>
              <w:t>°C )</w:t>
            </w:r>
          </w:p>
        </w:tc>
      </w:tr>
      <w:tr w:rsidR="007F41A3" w14:paraId="6BD7E2B6" w14:textId="77777777" w:rsidTr="00A2441B">
        <w:tc>
          <w:tcPr>
            <w:tcW w:w="4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924C74" w14:textId="77777777" w:rsidR="007F41A3" w:rsidRDefault="00557761" w:rsidP="00A2441B">
            <w:pPr>
              <w:spacing w:before="120" w:after="120"/>
              <w:jc w:val="center"/>
              <w:rPr>
                <w:rFonts w:cs="Times New Roman"/>
                <w:sz w:val="20"/>
                <w:szCs w:val="20"/>
              </w:rPr>
            </w:pPr>
            <w:r>
              <w:rPr>
                <w:rFonts w:cs="Times New Roman"/>
                <w:sz w:val="20"/>
                <w:szCs w:val="20"/>
              </w:rPr>
              <w:t>Low-alloy Molybdenum Steel</w:t>
            </w:r>
          </w:p>
          <w:p w14:paraId="7942D900" w14:textId="77777777" w:rsidR="00557761" w:rsidRDefault="00557761" w:rsidP="00A2441B">
            <w:pPr>
              <w:spacing w:before="120" w:after="120"/>
              <w:jc w:val="center"/>
              <w:rPr>
                <w:rFonts w:cs="Times New Roman"/>
                <w:sz w:val="20"/>
                <w:szCs w:val="20"/>
              </w:rPr>
            </w:pPr>
            <w:r>
              <w:rPr>
                <w:rFonts w:cs="Times New Roman"/>
                <w:sz w:val="20"/>
                <w:szCs w:val="20"/>
              </w:rPr>
              <w:t>Carbon content below 150%</w:t>
            </w:r>
          </w:p>
          <w:p w14:paraId="2E6154FB" w14:textId="0559C94D" w:rsidR="00557761" w:rsidRDefault="00557761" w:rsidP="00A2441B">
            <w:pPr>
              <w:spacing w:before="120" w:after="120"/>
              <w:jc w:val="center"/>
              <w:rPr>
                <w:rFonts w:cs="Times New Roman"/>
                <w:sz w:val="20"/>
                <w:szCs w:val="20"/>
              </w:rPr>
            </w:pPr>
            <w:r>
              <w:rPr>
                <w:rFonts w:cs="Times New Roman"/>
                <w:sz w:val="20"/>
                <w:szCs w:val="20"/>
              </w:rPr>
              <w:t>Carbon content above 15%</w:t>
            </w:r>
          </w:p>
        </w:tc>
        <w:tc>
          <w:tcPr>
            <w:tcW w:w="4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A9DDDF" w14:textId="77777777" w:rsidR="007F41A3" w:rsidRDefault="007F41A3" w:rsidP="00A2441B">
            <w:pPr>
              <w:spacing w:before="120" w:after="120"/>
              <w:jc w:val="center"/>
              <w:rPr>
                <w:rFonts w:cs="Times New Roman"/>
                <w:sz w:val="20"/>
                <w:szCs w:val="20"/>
              </w:rPr>
            </w:pPr>
          </w:p>
          <w:p w14:paraId="7FA751DB" w14:textId="77777777" w:rsidR="00E326CF" w:rsidRDefault="00E326CF" w:rsidP="00A2441B">
            <w:pPr>
              <w:spacing w:before="120" w:after="120"/>
              <w:jc w:val="center"/>
              <w:rPr>
                <w:rFonts w:cs="Times New Roman"/>
                <w:sz w:val="20"/>
                <w:szCs w:val="20"/>
              </w:rPr>
            </w:pPr>
            <w:r>
              <w:rPr>
                <w:rFonts w:cs="Times New Roman"/>
                <w:sz w:val="20"/>
                <w:szCs w:val="20"/>
              </w:rPr>
              <w:t>Room temperature</w:t>
            </w:r>
          </w:p>
          <w:p w14:paraId="6705FD6B" w14:textId="4E2B4F22" w:rsidR="00E326CF" w:rsidRDefault="00E326CF" w:rsidP="00A2441B">
            <w:pPr>
              <w:spacing w:before="120" w:after="120"/>
              <w:jc w:val="center"/>
              <w:rPr>
                <w:rFonts w:cs="Times New Roman"/>
                <w:sz w:val="20"/>
                <w:szCs w:val="20"/>
              </w:rPr>
            </w:pPr>
            <w:r>
              <w:rPr>
                <w:rFonts w:cs="Times New Roman"/>
                <w:sz w:val="20"/>
                <w:szCs w:val="20"/>
              </w:rPr>
              <w:t xml:space="preserve">400-650°F </w:t>
            </w:r>
            <w:proofErr w:type="gramStart"/>
            <w:r>
              <w:rPr>
                <w:rFonts w:cs="Times New Roman"/>
                <w:sz w:val="20"/>
                <w:szCs w:val="20"/>
              </w:rPr>
              <w:t>( 205</w:t>
            </w:r>
            <w:proofErr w:type="gramEnd"/>
            <w:r>
              <w:rPr>
                <w:rFonts w:cs="Times New Roman"/>
                <w:sz w:val="20"/>
                <w:szCs w:val="20"/>
              </w:rPr>
              <w:t>-345°C )</w:t>
            </w:r>
          </w:p>
        </w:tc>
      </w:tr>
      <w:tr w:rsidR="007F41A3" w14:paraId="6C137446" w14:textId="77777777" w:rsidTr="00A2441B">
        <w:tc>
          <w:tcPr>
            <w:tcW w:w="4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214F16" w14:textId="4DED49FE" w:rsidR="007F41A3" w:rsidRDefault="00557761" w:rsidP="00A2441B">
            <w:pPr>
              <w:spacing w:before="120" w:after="120"/>
              <w:jc w:val="center"/>
              <w:rPr>
                <w:rFonts w:cs="Times New Roman"/>
                <w:sz w:val="20"/>
                <w:szCs w:val="20"/>
              </w:rPr>
            </w:pPr>
            <w:r>
              <w:rPr>
                <w:rFonts w:cs="Times New Roman"/>
                <w:sz w:val="20"/>
                <w:szCs w:val="20"/>
              </w:rPr>
              <w:t xml:space="preserve">Low </w:t>
            </w:r>
            <w:proofErr w:type="gramStart"/>
            <w:r>
              <w:rPr>
                <w:rFonts w:cs="Times New Roman"/>
                <w:sz w:val="20"/>
                <w:szCs w:val="20"/>
              </w:rPr>
              <w:t>alloy  High</w:t>
            </w:r>
            <w:proofErr w:type="gramEnd"/>
            <w:r>
              <w:rPr>
                <w:rFonts w:cs="Times New Roman"/>
                <w:sz w:val="20"/>
                <w:szCs w:val="20"/>
              </w:rPr>
              <w:t xml:space="preserve"> Tensile Steel</w:t>
            </w:r>
          </w:p>
        </w:tc>
        <w:tc>
          <w:tcPr>
            <w:tcW w:w="4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E3D949" w14:textId="13F376E3" w:rsidR="007F41A3" w:rsidRDefault="00E326CF" w:rsidP="00A2441B">
            <w:pPr>
              <w:spacing w:before="120" w:after="120"/>
              <w:jc w:val="center"/>
              <w:rPr>
                <w:rFonts w:cs="Times New Roman"/>
                <w:sz w:val="20"/>
                <w:szCs w:val="20"/>
              </w:rPr>
            </w:pPr>
            <w:r>
              <w:rPr>
                <w:rFonts w:cs="Times New Roman"/>
                <w:sz w:val="20"/>
                <w:szCs w:val="20"/>
              </w:rPr>
              <w:t>150-300°F (66-150°</w:t>
            </w:r>
            <w:proofErr w:type="gramStart"/>
            <w:r>
              <w:rPr>
                <w:rFonts w:cs="Times New Roman"/>
                <w:sz w:val="20"/>
                <w:szCs w:val="20"/>
              </w:rPr>
              <w:t>C )</w:t>
            </w:r>
            <w:proofErr w:type="gramEnd"/>
          </w:p>
        </w:tc>
      </w:tr>
      <w:tr w:rsidR="007F41A3" w14:paraId="077DF3AE" w14:textId="77777777" w:rsidTr="00A2441B">
        <w:tc>
          <w:tcPr>
            <w:tcW w:w="4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608875" w14:textId="7E632EBB" w:rsidR="007F41A3" w:rsidRDefault="00557761" w:rsidP="00A2441B">
            <w:pPr>
              <w:spacing w:before="120" w:after="120"/>
              <w:jc w:val="center"/>
              <w:rPr>
                <w:rFonts w:cs="Times New Roman"/>
                <w:sz w:val="20"/>
                <w:szCs w:val="20"/>
              </w:rPr>
            </w:pPr>
            <w:r>
              <w:rPr>
                <w:rFonts w:cs="Times New Roman"/>
                <w:sz w:val="20"/>
                <w:szCs w:val="20"/>
              </w:rPr>
              <w:t>Austenitic stainless steel</w:t>
            </w:r>
          </w:p>
        </w:tc>
        <w:tc>
          <w:tcPr>
            <w:tcW w:w="4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5FC10E" w14:textId="4DC02B8D" w:rsidR="007F41A3" w:rsidRDefault="00E326CF" w:rsidP="00A2441B">
            <w:pPr>
              <w:spacing w:before="120" w:after="120"/>
              <w:jc w:val="center"/>
              <w:rPr>
                <w:rFonts w:cs="Times New Roman"/>
                <w:sz w:val="20"/>
                <w:szCs w:val="20"/>
              </w:rPr>
            </w:pPr>
            <w:r w:rsidRPr="00E326CF">
              <w:rPr>
                <w:rFonts w:cs="Times New Roman"/>
                <w:sz w:val="20"/>
                <w:szCs w:val="20"/>
              </w:rPr>
              <w:t>Room temperature</w:t>
            </w:r>
          </w:p>
        </w:tc>
      </w:tr>
      <w:tr w:rsidR="007F41A3" w14:paraId="590996C9" w14:textId="77777777" w:rsidTr="00A2441B">
        <w:tc>
          <w:tcPr>
            <w:tcW w:w="4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FA1987" w14:textId="3E04B10C" w:rsidR="007F41A3" w:rsidRDefault="00557761" w:rsidP="00A2441B">
            <w:pPr>
              <w:spacing w:before="120" w:after="120"/>
              <w:jc w:val="center"/>
              <w:rPr>
                <w:rFonts w:cs="Times New Roman"/>
                <w:sz w:val="20"/>
                <w:szCs w:val="20"/>
              </w:rPr>
            </w:pPr>
            <w:r>
              <w:rPr>
                <w:rFonts w:cs="Times New Roman"/>
                <w:sz w:val="20"/>
                <w:szCs w:val="20"/>
              </w:rPr>
              <w:t>Ferritic stainless steel</w:t>
            </w:r>
          </w:p>
        </w:tc>
        <w:tc>
          <w:tcPr>
            <w:tcW w:w="4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B2162C" w14:textId="0EBB3567" w:rsidR="007F41A3" w:rsidRDefault="00E326CF" w:rsidP="00A2441B">
            <w:pPr>
              <w:spacing w:before="120" w:after="120"/>
              <w:jc w:val="center"/>
              <w:rPr>
                <w:rFonts w:cs="Times New Roman"/>
                <w:sz w:val="20"/>
                <w:szCs w:val="20"/>
              </w:rPr>
            </w:pPr>
            <w:r>
              <w:rPr>
                <w:rFonts w:cs="Times New Roman"/>
                <w:sz w:val="20"/>
                <w:szCs w:val="20"/>
              </w:rPr>
              <w:t xml:space="preserve">300-350°F </w:t>
            </w:r>
            <w:proofErr w:type="gramStart"/>
            <w:r>
              <w:rPr>
                <w:rFonts w:cs="Times New Roman"/>
                <w:sz w:val="20"/>
                <w:szCs w:val="20"/>
              </w:rPr>
              <w:t>( 150</w:t>
            </w:r>
            <w:proofErr w:type="gramEnd"/>
            <w:r>
              <w:rPr>
                <w:rFonts w:cs="Times New Roman"/>
                <w:sz w:val="20"/>
                <w:szCs w:val="20"/>
              </w:rPr>
              <w:t>-260°C )</w:t>
            </w:r>
          </w:p>
        </w:tc>
      </w:tr>
      <w:tr w:rsidR="007F41A3" w14:paraId="34A52C29" w14:textId="77777777" w:rsidTr="00A2441B">
        <w:tc>
          <w:tcPr>
            <w:tcW w:w="4530" w:type="dxa"/>
            <w:tcBorders>
              <w:top w:val="single" w:sz="4" w:space="0" w:color="FFFFFF" w:themeColor="background1"/>
              <w:left w:val="single" w:sz="4" w:space="0" w:color="FFFFFF" w:themeColor="background1"/>
              <w:right w:val="single" w:sz="4" w:space="0" w:color="FFFFFF" w:themeColor="background1"/>
            </w:tcBorders>
          </w:tcPr>
          <w:p w14:paraId="5FEA8013" w14:textId="20B28851" w:rsidR="007F41A3" w:rsidRDefault="00557761" w:rsidP="00A2441B">
            <w:pPr>
              <w:spacing w:before="120" w:after="120"/>
              <w:jc w:val="center"/>
              <w:rPr>
                <w:rFonts w:cs="Times New Roman"/>
                <w:sz w:val="20"/>
                <w:szCs w:val="20"/>
              </w:rPr>
            </w:pPr>
            <w:r>
              <w:rPr>
                <w:rFonts w:cs="Times New Roman"/>
                <w:sz w:val="20"/>
                <w:szCs w:val="20"/>
              </w:rPr>
              <w:t>Martensitic stainless steel</w:t>
            </w:r>
          </w:p>
        </w:tc>
        <w:tc>
          <w:tcPr>
            <w:tcW w:w="4531" w:type="dxa"/>
            <w:tcBorders>
              <w:top w:val="single" w:sz="4" w:space="0" w:color="FFFFFF" w:themeColor="background1"/>
              <w:left w:val="single" w:sz="4" w:space="0" w:color="FFFFFF" w:themeColor="background1"/>
              <w:right w:val="single" w:sz="4" w:space="0" w:color="FFFFFF" w:themeColor="background1"/>
            </w:tcBorders>
          </w:tcPr>
          <w:p w14:paraId="424037B0" w14:textId="3F9C1590" w:rsidR="007F41A3" w:rsidRDefault="00E326CF" w:rsidP="00A2441B">
            <w:pPr>
              <w:spacing w:before="120" w:after="120"/>
              <w:jc w:val="center"/>
              <w:rPr>
                <w:rFonts w:cs="Times New Roman"/>
                <w:sz w:val="20"/>
                <w:szCs w:val="20"/>
              </w:rPr>
            </w:pPr>
            <w:r>
              <w:rPr>
                <w:rFonts w:cs="Times New Roman"/>
                <w:sz w:val="20"/>
                <w:szCs w:val="20"/>
              </w:rPr>
              <w:t xml:space="preserve">400-600°F </w:t>
            </w:r>
            <w:proofErr w:type="gramStart"/>
            <w:r>
              <w:rPr>
                <w:rFonts w:cs="Times New Roman"/>
                <w:sz w:val="20"/>
                <w:szCs w:val="20"/>
              </w:rPr>
              <w:t>( 205</w:t>
            </w:r>
            <w:proofErr w:type="gramEnd"/>
            <w:r>
              <w:rPr>
                <w:rFonts w:cs="Times New Roman"/>
                <w:sz w:val="20"/>
                <w:szCs w:val="20"/>
              </w:rPr>
              <w:t>-315°C )</w:t>
            </w:r>
          </w:p>
        </w:tc>
      </w:tr>
    </w:tbl>
    <w:p w14:paraId="0BA403A2" w14:textId="2E2C1E97" w:rsidR="007F41A3" w:rsidRDefault="007F41A3" w:rsidP="00941EDF">
      <w:pPr>
        <w:rPr>
          <w:rFonts w:cs="Times New Roman"/>
          <w:sz w:val="20"/>
          <w:szCs w:val="20"/>
        </w:rPr>
      </w:pPr>
    </w:p>
    <w:p w14:paraId="6D9E5E4B" w14:textId="6F946279" w:rsidR="007F41A3" w:rsidRDefault="007F41A3" w:rsidP="00941EDF">
      <w:pPr>
        <w:rPr>
          <w:rFonts w:cs="Times New Roman"/>
          <w:sz w:val="20"/>
          <w:szCs w:val="20"/>
        </w:rPr>
      </w:pPr>
    </w:p>
    <w:p w14:paraId="2A92A648" w14:textId="26B5DCA0" w:rsidR="007F41A3" w:rsidRDefault="007F41A3" w:rsidP="00941EDF">
      <w:pPr>
        <w:rPr>
          <w:rFonts w:cs="Times New Roman"/>
          <w:sz w:val="20"/>
          <w:szCs w:val="20"/>
        </w:rPr>
      </w:pPr>
    </w:p>
    <w:p w14:paraId="7F3DA5DC" w14:textId="7B10DF15" w:rsidR="007F41A3" w:rsidRDefault="007F41A3" w:rsidP="00941EDF">
      <w:pPr>
        <w:rPr>
          <w:rFonts w:cs="Times New Roman"/>
          <w:sz w:val="20"/>
          <w:szCs w:val="20"/>
        </w:rPr>
      </w:pPr>
    </w:p>
    <w:p w14:paraId="514B13B3" w14:textId="483FA998" w:rsidR="007F41A3" w:rsidRDefault="007F41A3" w:rsidP="00941EDF">
      <w:pPr>
        <w:rPr>
          <w:rFonts w:cs="Times New Roman"/>
          <w:sz w:val="20"/>
          <w:szCs w:val="20"/>
        </w:rPr>
      </w:pPr>
    </w:p>
    <w:p w14:paraId="4D5A17D1" w14:textId="14508079" w:rsidR="007F41A3" w:rsidRDefault="007F41A3" w:rsidP="00941EDF">
      <w:pPr>
        <w:rPr>
          <w:rFonts w:cs="Times New Roman"/>
          <w:sz w:val="20"/>
          <w:szCs w:val="20"/>
        </w:rPr>
      </w:pPr>
    </w:p>
    <w:p w14:paraId="6F5D69BC" w14:textId="77777777" w:rsidR="007F41A3" w:rsidRPr="00331244" w:rsidRDefault="007F41A3" w:rsidP="00941EDF">
      <w:pPr>
        <w:rPr>
          <w:rFonts w:cs="Times New Roman"/>
          <w:sz w:val="20"/>
          <w:szCs w:val="20"/>
        </w:rPr>
      </w:pPr>
    </w:p>
    <w:p w14:paraId="74A4DF3C" w14:textId="67F8EB44" w:rsidR="00007377" w:rsidRPr="00331244" w:rsidRDefault="0054650D" w:rsidP="008F51FC">
      <w:pPr>
        <w:pStyle w:val="Section"/>
      </w:pPr>
      <w:r w:rsidRPr="00331244">
        <w:t>C</w:t>
      </w:r>
      <w:r w:rsidR="008F51FC">
        <w:t>onclusion</w:t>
      </w:r>
    </w:p>
    <w:p w14:paraId="30BF6129" w14:textId="77777777" w:rsidR="0054650D" w:rsidRPr="00331244" w:rsidRDefault="0054650D" w:rsidP="00941EDF">
      <w:pPr>
        <w:rPr>
          <w:rFonts w:cs="Times New Roman"/>
          <w:sz w:val="20"/>
          <w:szCs w:val="20"/>
        </w:rPr>
      </w:pPr>
    </w:p>
    <w:p w14:paraId="5F94D296" w14:textId="2EE8BA97" w:rsidR="008F51FC" w:rsidRPr="001375B5" w:rsidRDefault="008F51FC" w:rsidP="00C60716">
      <w:pPr>
        <w:pStyle w:val="ListParagraph"/>
        <w:numPr>
          <w:ilvl w:val="0"/>
          <w:numId w:val="11"/>
        </w:numPr>
        <w:rPr>
          <w:rFonts w:cs="Times New Roman"/>
          <w:sz w:val="20"/>
          <w:szCs w:val="20"/>
        </w:rPr>
      </w:pPr>
      <w:r w:rsidRPr="001375B5">
        <w:rPr>
          <w:rFonts w:cs="Times New Roman"/>
          <w:sz w:val="20"/>
          <w:szCs w:val="20"/>
        </w:rPr>
        <w:t xml:space="preserve">Preheating 90°C has the greatest impact value on the weld metal at 2.30 mm because it has a micro ferrite acicular structure which has better toughness than the microstructure in the treatment without preheating and preheating </w:t>
      </w:r>
      <w:r w:rsidR="001375B5" w:rsidRPr="001375B5">
        <w:rPr>
          <w:rFonts w:cs="Times New Roman"/>
          <w:sz w:val="20"/>
          <w:szCs w:val="20"/>
        </w:rPr>
        <w:t>120°</w:t>
      </w:r>
      <w:r w:rsidRPr="001375B5">
        <w:rPr>
          <w:rFonts w:cs="Times New Roman"/>
          <w:sz w:val="20"/>
          <w:szCs w:val="20"/>
        </w:rPr>
        <w:t>C.</w:t>
      </w:r>
    </w:p>
    <w:p w14:paraId="4E7232BD" w14:textId="11DB2EFC" w:rsidR="008F51FC" w:rsidRDefault="008F51FC" w:rsidP="008F51FC">
      <w:pPr>
        <w:pStyle w:val="ListParagraph"/>
        <w:numPr>
          <w:ilvl w:val="0"/>
          <w:numId w:val="11"/>
        </w:numPr>
        <w:rPr>
          <w:rFonts w:cs="Times New Roman"/>
          <w:sz w:val="20"/>
          <w:szCs w:val="20"/>
        </w:rPr>
      </w:pPr>
      <w:r w:rsidRPr="008F51FC">
        <w:rPr>
          <w:rFonts w:cs="Times New Roman"/>
          <w:sz w:val="20"/>
          <w:szCs w:val="20"/>
        </w:rPr>
        <w:t xml:space="preserve">The toughness without preheating is better than the preheating treatment at </w:t>
      </w:r>
      <w:r w:rsidR="001375B5">
        <w:rPr>
          <w:rFonts w:cs="Times New Roman"/>
          <w:sz w:val="20"/>
          <w:szCs w:val="20"/>
        </w:rPr>
        <w:t>90°</w:t>
      </w:r>
      <w:r w:rsidRPr="008F51FC">
        <w:rPr>
          <w:rFonts w:cs="Times New Roman"/>
          <w:sz w:val="20"/>
          <w:szCs w:val="20"/>
        </w:rPr>
        <w:t xml:space="preserve">C and </w:t>
      </w:r>
      <w:r w:rsidR="001375B5">
        <w:rPr>
          <w:rFonts w:cs="Times New Roman"/>
          <w:sz w:val="20"/>
          <w:szCs w:val="20"/>
        </w:rPr>
        <w:t>120°</w:t>
      </w:r>
      <w:r w:rsidRPr="008F51FC">
        <w:rPr>
          <w:rFonts w:cs="Times New Roman"/>
          <w:sz w:val="20"/>
          <w:szCs w:val="20"/>
        </w:rPr>
        <w:t xml:space="preserve">C. However, it has a tendency to crack the weld metal, therefore preheating with a temperature of </w:t>
      </w:r>
      <w:r w:rsidR="001375B5">
        <w:rPr>
          <w:rFonts w:cs="Times New Roman"/>
          <w:sz w:val="20"/>
          <w:szCs w:val="20"/>
        </w:rPr>
        <w:t>90°</w:t>
      </w:r>
      <w:r w:rsidRPr="008F51FC">
        <w:rPr>
          <w:rFonts w:cs="Times New Roman"/>
          <w:sz w:val="20"/>
          <w:szCs w:val="20"/>
        </w:rPr>
        <w:t xml:space="preserve">C is the optimal temperature for welding </w:t>
      </w:r>
      <w:r w:rsidR="001375B5">
        <w:rPr>
          <w:rFonts w:cs="Times New Roman"/>
          <w:sz w:val="20"/>
          <w:szCs w:val="20"/>
        </w:rPr>
        <w:t>truck Frame 777D.</w:t>
      </w:r>
    </w:p>
    <w:p w14:paraId="20A63FD5" w14:textId="2B1D1D96" w:rsidR="006A68C3" w:rsidRDefault="006A68C3" w:rsidP="008F51FC">
      <w:pPr>
        <w:pStyle w:val="ListParagraph"/>
        <w:numPr>
          <w:ilvl w:val="0"/>
          <w:numId w:val="11"/>
        </w:numPr>
        <w:rPr>
          <w:rFonts w:cs="Times New Roman"/>
          <w:sz w:val="20"/>
          <w:szCs w:val="20"/>
        </w:rPr>
      </w:pPr>
      <w:r w:rsidRPr="006A68C3">
        <w:rPr>
          <w:rFonts w:cs="Times New Roman"/>
          <w:sz w:val="20"/>
          <w:szCs w:val="20"/>
        </w:rPr>
        <w:t>The Effect of Preheating Temperature on Welding Truck Frame Repair Using FCAW Technique. Inadequate preheating results in different types of cracking, insufficient fusion, and penetration. Carbon equivalent is used as a tool for approximating proper preheats. Besides CE, optimum preheating temperature also depends on section thickness, restraint, ambient temperature, filler metal hydrogen content, and previous cracking problems.</w:t>
      </w:r>
    </w:p>
    <w:p w14:paraId="1704C9B4" w14:textId="6FEAC782" w:rsidR="006A68C3" w:rsidRPr="008F51FC" w:rsidRDefault="006A68C3" w:rsidP="008F51FC">
      <w:pPr>
        <w:pStyle w:val="ListParagraph"/>
        <w:numPr>
          <w:ilvl w:val="0"/>
          <w:numId w:val="11"/>
        </w:numPr>
        <w:rPr>
          <w:rFonts w:cs="Times New Roman"/>
          <w:sz w:val="20"/>
          <w:szCs w:val="20"/>
        </w:rPr>
      </w:pPr>
      <w:r w:rsidRPr="006A68C3">
        <w:rPr>
          <w:rFonts w:cs="Times New Roman"/>
          <w:sz w:val="20"/>
          <w:szCs w:val="20"/>
        </w:rPr>
        <w:t xml:space="preserve">There are three most important set of Establish New Method of Welding Procedure on Maintenance/Repair 777D 100 Tons’ Truck: preparation for welding, repair welding, </w:t>
      </w:r>
      <w:proofErr w:type="spellStart"/>
      <w:r w:rsidRPr="006A68C3">
        <w:rPr>
          <w:rFonts w:cs="Times New Roman"/>
          <w:sz w:val="20"/>
          <w:szCs w:val="20"/>
        </w:rPr>
        <w:t>postweld</w:t>
      </w:r>
      <w:proofErr w:type="spellEnd"/>
      <w:r w:rsidRPr="006A68C3">
        <w:rPr>
          <w:rFonts w:cs="Times New Roman"/>
          <w:sz w:val="20"/>
          <w:szCs w:val="20"/>
        </w:rPr>
        <w:t xml:space="preserve"> operation.</w:t>
      </w:r>
    </w:p>
    <w:p w14:paraId="168B09D6" w14:textId="77777777" w:rsidR="008F51FC" w:rsidRDefault="008F51FC" w:rsidP="00007377">
      <w:pPr>
        <w:rPr>
          <w:rFonts w:cs="Times New Roman"/>
          <w:sz w:val="20"/>
          <w:szCs w:val="20"/>
        </w:rPr>
      </w:pPr>
    </w:p>
    <w:p w14:paraId="2E6043C9" w14:textId="77777777" w:rsidR="008F51FC" w:rsidRDefault="008F51FC" w:rsidP="00007377">
      <w:pPr>
        <w:rPr>
          <w:rFonts w:cs="Times New Roman"/>
          <w:sz w:val="20"/>
          <w:szCs w:val="20"/>
        </w:rPr>
      </w:pPr>
    </w:p>
    <w:p w14:paraId="58B4EEA0" w14:textId="5F234AC9" w:rsidR="00925EFB" w:rsidRDefault="001375B5" w:rsidP="001375B5">
      <w:pPr>
        <w:pStyle w:val="Section"/>
      </w:pPr>
      <w:r>
        <w:t>R</w:t>
      </w:r>
      <w:r w:rsidR="008F51FC">
        <w:t xml:space="preserve">eferences </w:t>
      </w:r>
    </w:p>
    <w:p w14:paraId="4DC20F72" w14:textId="77777777" w:rsidR="008F51FC" w:rsidRPr="00331244" w:rsidRDefault="008F51FC" w:rsidP="00506515">
      <w:pPr>
        <w:rPr>
          <w:rFonts w:cs="Times New Roman"/>
          <w:sz w:val="20"/>
          <w:szCs w:val="20"/>
        </w:rPr>
      </w:pPr>
    </w:p>
    <w:p w14:paraId="6D94CFF2" w14:textId="77777777" w:rsidR="001D3969" w:rsidRPr="001D3969" w:rsidRDefault="00925EFB" w:rsidP="001D3969">
      <w:pPr>
        <w:pStyle w:val="EndNoteBibliography"/>
        <w:spacing w:after="0"/>
        <w:ind w:left="720" w:hanging="720"/>
      </w:pPr>
      <w:r w:rsidRPr="00331244">
        <w:rPr>
          <w:szCs w:val="20"/>
        </w:rPr>
        <w:fldChar w:fldCharType="begin"/>
      </w:r>
      <w:r w:rsidRPr="00331244">
        <w:rPr>
          <w:szCs w:val="20"/>
        </w:rPr>
        <w:instrText xml:space="preserve"> ADDIN EN.REFLIST </w:instrText>
      </w:r>
      <w:r w:rsidRPr="00331244">
        <w:rPr>
          <w:szCs w:val="20"/>
        </w:rPr>
        <w:fldChar w:fldCharType="separate"/>
      </w:r>
      <w:r w:rsidR="001D3969" w:rsidRPr="001D3969">
        <w:t>1.</w:t>
      </w:r>
      <w:r w:rsidR="001D3969" w:rsidRPr="001D3969">
        <w:tab/>
        <w:t xml:space="preserve">Rodrigues, L.A.S., et al., </w:t>
      </w:r>
      <w:r w:rsidR="001D3969" w:rsidRPr="001D3969">
        <w:rPr>
          <w:i/>
        </w:rPr>
        <w:t>Welding procedures influence analysis on the residual stress distribution and distortion of stiffened panels welded via robotized FCAW.</w:t>
      </w:r>
      <w:r w:rsidR="001D3969" w:rsidRPr="001D3969">
        <w:t xml:space="preserve"> Thin-Walled Structures, 2019. </w:t>
      </w:r>
      <w:r w:rsidR="001D3969" w:rsidRPr="001D3969">
        <w:rPr>
          <w:b/>
        </w:rPr>
        <w:t>141</w:t>
      </w:r>
      <w:r w:rsidR="001D3969" w:rsidRPr="001D3969">
        <w:t>: p. 175-183.</w:t>
      </w:r>
    </w:p>
    <w:p w14:paraId="76A2C293" w14:textId="77777777" w:rsidR="001D3969" w:rsidRPr="001D3969" w:rsidRDefault="001D3969" w:rsidP="001D3969">
      <w:pPr>
        <w:pStyle w:val="EndNoteBibliography"/>
        <w:spacing w:after="0"/>
        <w:ind w:left="720" w:hanging="720"/>
      </w:pPr>
      <w:r w:rsidRPr="001D3969">
        <w:t>2.</w:t>
      </w:r>
      <w:r w:rsidRPr="001D3969">
        <w:tab/>
        <w:t xml:space="preserve">Gerard Chitty, P.A., Alan Hon, Brian Kerezsi, Daya Dayawansa, Hui Jiao, and O.C.a.T.R. Henry Bartosiewicz, </w:t>
      </w:r>
      <w:r w:rsidRPr="001D3969">
        <w:rPr>
          <w:i/>
        </w:rPr>
        <w:t>Optimisation of Structural Performance of Trucks.</w:t>
      </w:r>
      <w:r w:rsidRPr="001D3969">
        <w:t xml:space="preserve"> 2006.</w:t>
      </w:r>
    </w:p>
    <w:p w14:paraId="2F02FEAF" w14:textId="77777777" w:rsidR="001D3969" w:rsidRPr="001D3969" w:rsidRDefault="001D3969" w:rsidP="001D3969">
      <w:pPr>
        <w:pStyle w:val="EndNoteBibliography"/>
        <w:ind w:left="720" w:hanging="720"/>
        <w:rPr>
          <w:i/>
        </w:rPr>
      </w:pPr>
      <w:r w:rsidRPr="001D3969">
        <w:t>3.</w:t>
      </w:r>
      <w:r w:rsidRPr="001D3969">
        <w:tab/>
        <w:t xml:space="preserve">Gerard Chitty, P.A., Alan Hon, Brian Kerezsi,Daya Dayawansa, Hui Jiao,Henry Bartosiewicz,Osvaldo Cortes and Tom Rucinski, </w:t>
      </w:r>
      <w:r w:rsidRPr="001D3969">
        <w:rPr>
          <w:i/>
        </w:rPr>
        <w:t>Optimisation of Structural</w:t>
      </w:r>
    </w:p>
    <w:p w14:paraId="637C2626" w14:textId="77777777" w:rsidR="001D3969" w:rsidRPr="001D3969" w:rsidRDefault="001D3969" w:rsidP="001D3969">
      <w:pPr>
        <w:pStyle w:val="EndNoteBibliography"/>
        <w:spacing w:after="0"/>
        <w:ind w:left="720" w:hanging="720"/>
      </w:pPr>
      <w:r w:rsidRPr="001D3969">
        <w:rPr>
          <w:i/>
        </w:rPr>
        <w:t>Performance of Trucks</w:t>
      </w:r>
      <w:r w:rsidRPr="001D3969">
        <w:t>. 2006.</w:t>
      </w:r>
    </w:p>
    <w:p w14:paraId="50569D40" w14:textId="77777777" w:rsidR="001D3969" w:rsidRPr="001D3969" w:rsidRDefault="001D3969" w:rsidP="001D3969">
      <w:pPr>
        <w:pStyle w:val="EndNoteBibliography"/>
        <w:spacing w:after="0"/>
        <w:ind w:left="720" w:hanging="720"/>
      </w:pPr>
      <w:r w:rsidRPr="001D3969">
        <w:lastRenderedPageBreak/>
        <w:t>4.</w:t>
      </w:r>
      <w:r w:rsidRPr="001D3969">
        <w:tab/>
        <w:t xml:space="preserve">Mohamat, S.A., et al., </w:t>
      </w:r>
      <w:r w:rsidRPr="001D3969">
        <w:rPr>
          <w:i/>
        </w:rPr>
        <w:t>The Effect of Flux Core Arc Welding (FCAW) Processes On Different Parameters.</w:t>
      </w:r>
      <w:r w:rsidRPr="001D3969">
        <w:t xml:space="preserve"> Procedia Engineering, 2012. </w:t>
      </w:r>
      <w:r w:rsidRPr="001D3969">
        <w:rPr>
          <w:b/>
        </w:rPr>
        <w:t>41</w:t>
      </w:r>
      <w:r w:rsidRPr="001D3969">
        <w:t>: p. 1497-1501.</w:t>
      </w:r>
    </w:p>
    <w:p w14:paraId="35F4C100" w14:textId="77777777" w:rsidR="001D3969" w:rsidRPr="001D3969" w:rsidRDefault="001D3969" w:rsidP="001D3969">
      <w:pPr>
        <w:pStyle w:val="EndNoteBibliography"/>
        <w:ind w:left="720" w:hanging="720"/>
      </w:pPr>
      <w:r w:rsidRPr="001D3969">
        <w:t>5.</w:t>
      </w:r>
      <w:r w:rsidRPr="001D3969">
        <w:tab/>
        <w:t xml:space="preserve">Hadi, W.B., </w:t>
      </w:r>
      <w:r w:rsidRPr="001D3969">
        <w:rPr>
          <w:i/>
        </w:rPr>
        <w:t>Analisis Pengaruh Variasi Suhu Preheat.</w:t>
      </w:r>
      <w:r w:rsidRPr="001D3969">
        <w:t xml:space="preserve"> 2015.</w:t>
      </w:r>
    </w:p>
    <w:p w14:paraId="38821B85" w14:textId="0E7CC36D" w:rsidR="00506515" w:rsidRPr="00331244" w:rsidRDefault="00925EFB" w:rsidP="00506515">
      <w:pPr>
        <w:rPr>
          <w:rFonts w:cs="Times New Roman"/>
          <w:sz w:val="20"/>
          <w:szCs w:val="20"/>
        </w:rPr>
      </w:pPr>
      <w:r w:rsidRPr="00331244">
        <w:rPr>
          <w:rFonts w:cs="Times New Roman"/>
          <w:sz w:val="20"/>
          <w:szCs w:val="20"/>
        </w:rPr>
        <w:fldChar w:fldCharType="end"/>
      </w:r>
    </w:p>
    <w:sectPr w:rsidR="00506515" w:rsidRPr="00331244" w:rsidSect="000552D4">
      <w:pgSz w:w="11907" w:h="16839" w:code="9"/>
      <w:pgMar w:top="2268" w:right="1418" w:bottom="1531" w:left="1418" w:header="0"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36204" w14:textId="77777777" w:rsidR="00951684" w:rsidRDefault="00951684" w:rsidP="006229A5">
      <w:r>
        <w:separator/>
      </w:r>
    </w:p>
  </w:endnote>
  <w:endnote w:type="continuationSeparator" w:id="0">
    <w:p w14:paraId="04801373" w14:textId="77777777" w:rsidR="00951684" w:rsidRDefault="00951684" w:rsidP="00622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7986F" w14:textId="77777777" w:rsidR="00951684" w:rsidRDefault="00951684" w:rsidP="006229A5">
      <w:r>
        <w:separator/>
      </w:r>
    </w:p>
  </w:footnote>
  <w:footnote w:type="continuationSeparator" w:id="0">
    <w:p w14:paraId="6DBC6F8C" w14:textId="77777777" w:rsidR="00951684" w:rsidRDefault="00951684" w:rsidP="006229A5">
      <w:r>
        <w:continuationSeparator/>
      </w:r>
    </w:p>
  </w:footnote>
  <w:footnote w:id="1">
    <w:p w14:paraId="35247E26" w14:textId="7D0624AE" w:rsidR="00F0243F" w:rsidRDefault="00F0243F">
      <w:pPr>
        <w:pStyle w:val="FootnoteText"/>
      </w:pPr>
      <w:r>
        <w:rPr>
          <w:rStyle w:val="FootnoteReference"/>
        </w:rPr>
        <w:footnoteRef/>
      </w:r>
      <w:r>
        <w:t xml:space="preserve"> Manufacturing Section, </w:t>
      </w:r>
      <w:proofErr w:type="spellStart"/>
      <w:r>
        <w:t>Universiti</w:t>
      </w:r>
      <w:proofErr w:type="spellEnd"/>
      <w:r>
        <w:t xml:space="preserve"> Kuala Lumpur Malaysian Spanish Institute, Kulim Hi-Tech Park, Malaysia.</w:t>
      </w:r>
    </w:p>
  </w:footnote>
  <w:footnote w:id="2">
    <w:p w14:paraId="7BE6D267" w14:textId="77777777" w:rsidR="00F0243F" w:rsidRDefault="00F0243F" w:rsidP="00A43B31">
      <w:pPr>
        <w:pStyle w:val="FootnoteText"/>
      </w:pPr>
      <w:r>
        <w:rPr>
          <w:rStyle w:val="FootnoteReference"/>
        </w:rPr>
        <w:footnoteRef/>
      </w:r>
      <w:r>
        <w:t xml:space="preserve"> Manufacturing Section, </w:t>
      </w:r>
      <w:proofErr w:type="spellStart"/>
      <w:r>
        <w:t>Universiti</w:t>
      </w:r>
      <w:proofErr w:type="spellEnd"/>
      <w:r>
        <w:t xml:space="preserve"> Kuala Lumpur Malaysian Spanish Institute, Kulim Hi-Tech Park, 09000 Kulim,  </w:t>
      </w:r>
    </w:p>
    <w:p w14:paraId="31F736F5" w14:textId="7F156DD7" w:rsidR="00F0243F" w:rsidRDefault="00F0243F" w:rsidP="00A43B31">
      <w:pPr>
        <w:pStyle w:val="FootnoteText"/>
      </w:pPr>
      <w:r>
        <w:t xml:space="preserve">   Kedah, Malaysia</w:t>
      </w:r>
    </w:p>
  </w:footnote>
  <w:footnote w:id="3">
    <w:p w14:paraId="5E6C81DA" w14:textId="77777777" w:rsidR="00F0243F" w:rsidRDefault="00F0243F">
      <w:pPr>
        <w:pStyle w:val="FootnoteText"/>
      </w:pPr>
      <w:r>
        <w:rPr>
          <w:rStyle w:val="FootnoteReference"/>
        </w:rPr>
        <w:footnoteRef/>
      </w:r>
      <w:r>
        <w:t xml:space="preserve"> Electrical, Electronics and Automation Section, </w:t>
      </w:r>
      <w:proofErr w:type="spellStart"/>
      <w:r>
        <w:t>Universiti</w:t>
      </w:r>
      <w:proofErr w:type="spellEnd"/>
      <w:r>
        <w:t xml:space="preserve"> Kuala Lumpur Malaysian Spanish Institute, Kulim Hi-Tech  </w:t>
      </w:r>
    </w:p>
    <w:p w14:paraId="05D894CA" w14:textId="2C9BF465" w:rsidR="00F0243F" w:rsidRDefault="00F0243F" w:rsidP="00347A7D">
      <w:pPr>
        <w:pStyle w:val="FootnoteText"/>
      </w:pPr>
      <w:r>
        <w:t xml:space="preserve">  Park, 09000 Kulim, Kedah, Malaysia.</w:t>
      </w:r>
    </w:p>
  </w:footnote>
  <w:footnote w:id="4">
    <w:p w14:paraId="0B97EF96" w14:textId="357ABB29" w:rsidR="00F0243F" w:rsidRDefault="00F0243F">
      <w:pPr>
        <w:pStyle w:val="FootnoteText"/>
      </w:pPr>
      <w:r>
        <w:rPr>
          <w:rStyle w:val="FootnoteReference"/>
        </w:rPr>
        <w:footnoteRef/>
      </w:r>
      <w:r>
        <w:t xml:space="preserve"> Manufacturing Section, </w:t>
      </w:r>
      <w:proofErr w:type="spellStart"/>
      <w:r>
        <w:t>Universiti</w:t>
      </w:r>
      <w:proofErr w:type="spellEnd"/>
      <w:r>
        <w:t xml:space="preserve"> Kuala Lumpur Malaysian Spanish Institute, Kulim Hi-Tech Park, Malaysia.</w:t>
      </w:r>
    </w:p>
  </w:footnote>
  <w:footnote w:id="5">
    <w:p w14:paraId="7A1E71EA" w14:textId="406ADE00" w:rsidR="00F0243F" w:rsidRDefault="00F0243F">
      <w:pPr>
        <w:pStyle w:val="FootnoteText"/>
      </w:pPr>
      <w:r>
        <w:rPr>
          <w:rStyle w:val="FootnoteReference"/>
        </w:rPr>
        <w:footnoteRef/>
      </w:r>
      <w:r>
        <w:t xml:space="preserve"> Manufacturing Section, </w:t>
      </w:r>
      <w:proofErr w:type="spellStart"/>
      <w:r>
        <w:t>Universiti</w:t>
      </w:r>
      <w:proofErr w:type="spellEnd"/>
      <w:r>
        <w:t xml:space="preserve"> Kuala Lumpur Malaysian Spanish Institute, Kulim Hi-Tech Park, Malaysia.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86E64"/>
    <w:multiLevelType w:val="hybridMultilevel"/>
    <w:tmpl w:val="7C507236"/>
    <w:lvl w:ilvl="0" w:tplc="DFE017D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EFF1EB4"/>
    <w:multiLevelType w:val="multilevel"/>
    <w:tmpl w:val="79CE307C"/>
    <w:styleLink w:val="subsec3e1"/>
    <w:lvl w:ilvl="0">
      <w:start w:val="1"/>
      <w:numFmt w:val="decimal"/>
      <w:suff w:val="space"/>
      <w:lvlText w:val="%1."/>
      <w:lvlJc w:val="left"/>
      <w:pPr>
        <w:ind w:left="0" w:firstLine="0"/>
      </w:pPr>
      <w:rPr>
        <w:rFonts w:hint="default"/>
        <w:spacing w:val="-2"/>
        <w:w w:val="100"/>
        <w:position w:val="0"/>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FB45A39"/>
    <w:multiLevelType w:val="multilevel"/>
    <w:tmpl w:val="A0E86F48"/>
    <w:lvl w:ilvl="0">
      <w:start w:val="1"/>
      <w:numFmt w:val="decimal"/>
      <w:pStyle w:val="Section"/>
      <w:suff w:val="space"/>
      <w:lvlText w:val="%1."/>
      <w:lvlJc w:val="left"/>
      <w:pPr>
        <w:ind w:left="0" w:firstLine="0"/>
      </w:pPr>
      <w:rPr>
        <w:rFonts w:hint="default"/>
        <w:spacing w:val="-2"/>
        <w:w w:val="100"/>
        <w:position w:val="0"/>
      </w:rPr>
    </w:lvl>
    <w:lvl w:ilvl="1">
      <w:start w:val="1"/>
      <w:numFmt w:val="decimal"/>
      <w:pStyle w:val="Subsection"/>
      <w:suff w:val="space"/>
      <w:lvlText w:val="%1.%2."/>
      <w:lvlJc w:val="left"/>
      <w:pPr>
        <w:ind w:left="0" w:firstLine="0"/>
      </w:pPr>
      <w:rPr>
        <w:rFonts w:hint="default"/>
      </w:rPr>
    </w:lvl>
    <w:lvl w:ilvl="2">
      <w:start w:val="1"/>
      <w:numFmt w:val="decimal"/>
      <w:suff w:val="space"/>
      <w:lvlText w:val="%1.%2.%3."/>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34554F32"/>
    <w:multiLevelType w:val="hybridMultilevel"/>
    <w:tmpl w:val="F086ECE4"/>
    <w:lvl w:ilvl="0" w:tplc="5E6266F2">
      <w:start w:val="1"/>
      <w:numFmt w:val="bullet"/>
      <w:lvlText w:val="-"/>
      <w:lvlJc w:val="left"/>
      <w:pPr>
        <w:ind w:left="720" w:hanging="360"/>
      </w:pPr>
      <w:rPr>
        <w:rFonts w:ascii="Times New Roman" w:eastAsiaTheme="minorEastAsia"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372411E3"/>
    <w:multiLevelType w:val="hybridMultilevel"/>
    <w:tmpl w:val="CD585E9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58255CC1"/>
    <w:multiLevelType w:val="hybridMultilevel"/>
    <w:tmpl w:val="20584C86"/>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B4A0207"/>
    <w:multiLevelType w:val="hybridMultilevel"/>
    <w:tmpl w:val="8A2884BA"/>
    <w:lvl w:ilvl="0" w:tplc="271EFAF0">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7" w15:restartNumberingAfterBreak="0">
    <w:nsid w:val="5C7376E3"/>
    <w:multiLevelType w:val="hybridMultilevel"/>
    <w:tmpl w:val="317484C6"/>
    <w:lvl w:ilvl="0" w:tplc="D8CCB8A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7E87537"/>
    <w:multiLevelType w:val="hybridMultilevel"/>
    <w:tmpl w:val="1FA0BD6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A6E0F5B"/>
    <w:multiLevelType w:val="hybridMultilevel"/>
    <w:tmpl w:val="9B28BA44"/>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7"/>
  </w:num>
  <w:num w:numId="2">
    <w:abstractNumId w:val="0"/>
  </w:num>
  <w:num w:numId="3">
    <w:abstractNumId w:val="6"/>
  </w:num>
  <w:num w:numId="4">
    <w:abstractNumId w:val="9"/>
  </w:num>
  <w:num w:numId="5">
    <w:abstractNumId w:val="1"/>
  </w:num>
  <w:num w:numId="6">
    <w:abstractNumId w:val="2"/>
  </w:num>
  <w:num w:numId="7">
    <w:abstractNumId w:val="2"/>
  </w:num>
  <w:num w:numId="8">
    <w:abstractNumId w:val="2"/>
  </w:num>
  <w:num w:numId="9">
    <w:abstractNumId w:val="5"/>
  </w:num>
  <w:num w:numId="10">
    <w:abstractNumId w:val="8"/>
  </w:num>
  <w:num w:numId="11">
    <w:abstractNumId w:val="4"/>
  </w:num>
  <w:num w:numId="1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ctiveWritingStyle w:appName="MSWord" w:lang="en-US" w:vendorID="64" w:dllVersion="6" w:nlCheck="1" w:checkStyle="0"/>
  <w:activeWritingStyle w:appName="MSWord" w:lang="en-ID" w:vendorID="64" w:dllVersion="6" w:nlCheck="1" w:checkStyle="1"/>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36"/>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0MDU2sTA1M7e0MLdQ0lEKTi0uzszPAykwrwUABWfz7i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de0s0fzmfpap0etapvxtd56xwadw29pdx2r&quot;&gt;Tumianto_Paper_ANCOSET2020&lt;record-ids&gt;&lt;item&gt;26&lt;/item&gt;&lt;item&gt;33&lt;/item&gt;&lt;item&gt;44&lt;/item&gt;&lt;item&gt;45&lt;/item&gt;&lt;/record-ids&gt;&lt;/item&gt;&lt;/Libraries&gt;"/>
  </w:docVars>
  <w:rsids>
    <w:rsidRoot w:val="00386132"/>
    <w:rsid w:val="0000013A"/>
    <w:rsid w:val="00000B51"/>
    <w:rsid w:val="00007377"/>
    <w:rsid w:val="000074FB"/>
    <w:rsid w:val="000116B4"/>
    <w:rsid w:val="000234BA"/>
    <w:rsid w:val="000327C5"/>
    <w:rsid w:val="0005091E"/>
    <w:rsid w:val="0005511B"/>
    <w:rsid w:val="000552D4"/>
    <w:rsid w:val="0005655A"/>
    <w:rsid w:val="00057CEA"/>
    <w:rsid w:val="00071594"/>
    <w:rsid w:val="0007236E"/>
    <w:rsid w:val="000801B0"/>
    <w:rsid w:val="000820B5"/>
    <w:rsid w:val="00085412"/>
    <w:rsid w:val="00091FE6"/>
    <w:rsid w:val="000920E2"/>
    <w:rsid w:val="000931AF"/>
    <w:rsid w:val="000933FC"/>
    <w:rsid w:val="00093CE3"/>
    <w:rsid w:val="000961F5"/>
    <w:rsid w:val="00096AA5"/>
    <w:rsid w:val="000C42CB"/>
    <w:rsid w:val="000D1CE0"/>
    <w:rsid w:val="000E7555"/>
    <w:rsid w:val="000F0527"/>
    <w:rsid w:val="000F097B"/>
    <w:rsid w:val="000F5EE1"/>
    <w:rsid w:val="000F636D"/>
    <w:rsid w:val="00101044"/>
    <w:rsid w:val="00101DBF"/>
    <w:rsid w:val="00113863"/>
    <w:rsid w:val="00114FAC"/>
    <w:rsid w:val="001204FA"/>
    <w:rsid w:val="00130EF3"/>
    <w:rsid w:val="0013208E"/>
    <w:rsid w:val="00134B03"/>
    <w:rsid w:val="001375B5"/>
    <w:rsid w:val="00147BBD"/>
    <w:rsid w:val="00150A5E"/>
    <w:rsid w:val="00151B23"/>
    <w:rsid w:val="001526C5"/>
    <w:rsid w:val="001564D5"/>
    <w:rsid w:val="0016116E"/>
    <w:rsid w:val="00163854"/>
    <w:rsid w:val="00164AB4"/>
    <w:rsid w:val="00166AFA"/>
    <w:rsid w:val="001732B7"/>
    <w:rsid w:val="0018172A"/>
    <w:rsid w:val="00181E52"/>
    <w:rsid w:val="0018208F"/>
    <w:rsid w:val="00182098"/>
    <w:rsid w:val="001920C8"/>
    <w:rsid w:val="0019671F"/>
    <w:rsid w:val="001A080F"/>
    <w:rsid w:val="001A7ABC"/>
    <w:rsid w:val="001B0054"/>
    <w:rsid w:val="001B6FA5"/>
    <w:rsid w:val="001C66BC"/>
    <w:rsid w:val="001D38E2"/>
    <w:rsid w:val="001D3969"/>
    <w:rsid w:val="001D5FE3"/>
    <w:rsid w:val="001D7E68"/>
    <w:rsid w:val="001E3E23"/>
    <w:rsid w:val="001F19BF"/>
    <w:rsid w:val="002026B5"/>
    <w:rsid w:val="00215526"/>
    <w:rsid w:val="00216B86"/>
    <w:rsid w:val="00217703"/>
    <w:rsid w:val="002200C7"/>
    <w:rsid w:val="00230A1D"/>
    <w:rsid w:val="00230DDE"/>
    <w:rsid w:val="00234ACD"/>
    <w:rsid w:val="0023508D"/>
    <w:rsid w:val="0024416D"/>
    <w:rsid w:val="00251B13"/>
    <w:rsid w:val="00253A1F"/>
    <w:rsid w:val="00256046"/>
    <w:rsid w:val="00257E0B"/>
    <w:rsid w:val="002603F1"/>
    <w:rsid w:val="0026066A"/>
    <w:rsid w:val="00261776"/>
    <w:rsid w:val="00261CCB"/>
    <w:rsid w:val="002638ED"/>
    <w:rsid w:val="00265048"/>
    <w:rsid w:val="00265262"/>
    <w:rsid w:val="0027399A"/>
    <w:rsid w:val="00273A5B"/>
    <w:rsid w:val="00280454"/>
    <w:rsid w:val="002804AA"/>
    <w:rsid w:val="00291C13"/>
    <w:rsid w:val="002A1576"/>
    <w:rsid w:val="002A440A"/>
    <w:rsid w:val="002A4CB2"/>
    <w:rsid w:val="002B313C"/>
    <w:rsid w:val="002B3607"/>
    <w:rsid w:val="002C4F13"/>
    <w:rsid w:val="002D0118"/>
    <w:rsid w:val="002D2C4B"/>
    <w:rsid w:val="002D6CF5"/>
    <w:rsid w:val="002D7C4C"/>
    <w:rsid w:val="002E0E29"/>
    <w:rsid w:val="002E5FD8"/>
    <w:rsid w:val="002F6F0F"/>
    <w:rsid w:val="002F727D"/>
    <w:rsid w:val="0030589E"/>
    <w:rsid w:val="003135AA"/>
    <w:rsid w:val="00316408"/>
    <w:rsid w:val="00323EF2"/>
    <w:rsid w:val="00324CA4"/>
    <w:rsid w:val="0032657D"/>
    <w:rsid w:val="00331244"/>
    <w:rsid w:val="00332B45"/>
    <w:rsid w:val="00346047"/>
    <w:rsid w:val="00347A7D"/>
    <w:rsid w:val="003520D8"/>
    <w:rsid w:val="0035295B"/>
    <w:rsid w:val="003574CF"/>
    <w:rsid w:val="003621AA"/>
    <w:rsid w:val="0036309E"/>
    <w:rsid w:val="003660E4"/>
    <w:rsid w:val="003703B7"/>
    <w:rsid w:val="00376E52"/>
    <w:rsid w:val="00386132"/>
    <w:rsid w:val="00387F00"/>
    <w:rsid w:val="003908CD"/>
    <w:rsid w:val="00396498"/>
    <w:rsid w:val="003A3AAC"/>
    <w:rsid w:val="003A457E"/>
    <w:rsid w:val="003B03CF"/>
    <w:rsid w:val="003B6750"/>
    <w:rsid w:val="003C09C4"/>
    <w:rsid w:val="003C4829"/>
    <w:rsid w:val="003C72D8"/>
    <w:rsid w:val="003D0EC3"/>
    <w:rsid w:val="003D28CA"/>
    <w:rsid w:val="003D2FC6"/>
    <w:rsid w:val="003D410F"/>
    <w:rsid w:val="003D5AF4"/>
    <w:rsid w:val="003E0D71"/>
    <w:rsid w:val="003E52E0"/>
    <w:rsid w:val="003E55D2"/>
    <w:rsid w:val="003F1929"/>
    <w:rsid w:val="00410EE5"/>
    <w:rsid w:val="0041433E"/>
    <w:rsid w:val="00416D67"/>
    <w:rsid w:val="00420498"/>
    <w:rsid w:val="0042064D"/>
    <w:rsid w:val="00421CBB"/>
    <w:rsid w:val="00423242"/>
    <w:rsid w:val="00424CB6"/>
    <w:rsid w:val="00431AA5"/>
    <w:rsid w:val="00432DD4"/>
    <w:rsid w:val="004356EA"/>
    <w:rsid w:val="00442822"/>
    <w:rsid w:val="00444FBE"/>
    <w:rsid w:val="004502C3"/>
    <w:rsid w:val="00456B14"/>
    <w:rsid w:val="00461480"/>
    <w:rsid w:val="00467A44"/>
    <w:rsid w:val="00472B71"/>
    <w:rsid w:val="0047564C"/>
    <w:rsid w:val="004801AF"/>
    <w:rsid w:val="0048060C"/>
    <w:rsid w:val="00482441"/>
    <w:rsid w:val="00482D29"/>
    <w:rsid w:val="00494BAF"/>
    <w:rsid w:val="004953CF"/>
    <w:rsid w:val="00496A8A"/>
    <w:rsid w:val="004A2EEB"/>
    <w:rsid w:val="004A7C74"/>
    <w:rsid w:val="004B01A1"/>
    <w:rsid w:val="004B65A8"/>
    <w:rsid w:val="004C2F75"/>
    <w:rsid w:val="004C743A"/>
    <w:rsid w:val="004D000C"/>
    <w:rsid w:val="004D6692"/>
    <w:rsid w:val="004D7242"/>
    <w:rsid w:val="004F6821"/>
    <w:rsid w:val="004F77E8"/>
    <w:rsid w:val="00500E6C"/>
    <w:rsid w:val="005011C8"/>
    <w:rsid w:val="00504E87"/>
    <w:rsid w:val="00506515"/>
    <w:rsid w:val="00507A6E"/>
    <w:rsid w:val="00507CA5"/>
    <w:rsid w:val="005101A1"/>
    <w:rsid w:val="005274C6"/>
    <w:rsid w:val="00527653"/>
    <w:rsid w:val="00527955"/>
    <w:rsid w:val="00530D40"/>
    <w:rsid w:val="005320D6"/>
    <w:rsid w:val="00537F31"/>
    <w:rsid w:val="0054389D"/>
    <w:rsid w:val="00543A90"/>
    <w:rsid w:val="0054650D"/>
    <w:rsid w:val="00547B3A"/>
    <w:rsid w:val="00547DDD"/>
    <w:rsid w:val="00551188"/>
    <w:rsid w:val="00557761"/>
    <w:rsid w:val="005624A8"/>
    <w:rsid w:val="005631D5"/>
    <w:rsid w:val="00571090"/>
    <w:rsid w:val="00575C38"/>
    <w:rsid w:val="00590283"/>
    <w:rsid w:val="0059409F"/>
    <w:rsid w:val="00596D0C"/>
    <w:rsid w:val="005A3DA1"/>
    <w:rsid w:val="005A3EB8"/>
    <w:rsid w:val="005A4EBD"/>
    <w:rsid w:val="005B26AA"/>
    <w:rsid w:val="005B4337"/>
    <w:rsid w:val="005B5E10"/>
    <w:rsid w:val="005B7487"/>
    <w:rsid w:val="005C4C45"/>
    <w:rsid w:val="005D346B"/>
    <w:rsid w:val="005D4F4F"/>
    <w:rsid w:val="005D7E8D"/>
    <w:rsid w:val="005F41B7"/>
    <w:rsid w:val="005F5DA5"/>
    <w:rsid w:val="00602610"/>
    <w:rsid w:val="00612122"/>
    <w:rsid w:val="00612EAD"/>
    <w:rsid w:val="006229A5"/>
    <w:rsid w:val="00625941"/>
    <w:rsid w:val="006272C8"/>
    <w:rsid w:val="0063598E"/>
    <w:rsid w:val="00642BC2"/>
    <w:rsid w:val="00642E19"/>
    <w:rsid w:val="006509BF"/>
    <w:rsid w:val="006576E4"/>
    <w:rsid w:val="00662955"/>
    <w:rsid w:val="00663004"/>
    <w:rsid w:val="00666B24"/>
    <w:rsid w:val="00670DA2"/>
    <w:rsid w:val="00670F38"/>
    <w:rsid w:val="00673C21"/>
    <w:rsid w:val="00681E23"/>
    <w:rsid w:val="0068484C"/>
    <w:rsid w:val="0068702B"/>
    <w:rsid w:val="00694022"/>
    <w:rsid w:val="006A095F"/>
    <w:rsid w:val="006A68C3"/>
    <w:rsid w:val="006A6A11"/>
    <w:rsid w:val="006A6EFE"/>
    <w:rsid w:val="006A7AE0"/>
    <w:rsid w:val="006A7F8D"/>
    <w:rsid w:val="006B0B4B"/>
    <w:rsid w:val="006B1684"/>
    <w:rsid w:val="006C0972"/>
    <w:rsid w:val="006C53BE"/>
    <w:rsid w:val="006D01C6"/>
    <w:rsid w:val="006D6870"/>
    <w:rsid w:val="006E181B"/>
    <w:rsid w:val="006E5639"/>
    <w:rsid w:val="006E5967"/>
    <w:rsid w:val="006F2561"/>
    <w:rsid w:val="006F2D78"/>
    <w:rsid w:val="00700766"/>
    <w:rsid w:val="00700F3C"/>
    <w:rsid w:val="00707587"/>
    <w:rsid w:val="00714B21"/>
    <w:rsid w:val="00714E70"/>
    <w:rsid w:val="007153EA"/>
    <w:rsid w:val="007167DE"/>
    <w:rsid w:val="00721FA5"/>
    <w:rsid w:val="007225FC"/>
    <w:rsid w:val="00725393"/>
    <w:rsid w:val="00727951"/>
    <w:rsid w:val="00730118"/>
    <w:rsid w:val="00732E5E"/>
    <w:rsid w:val="0073481E"/>
    <w:rsid w:val="00735441"/>
    <w:rsid w:val="0073640A"/>
    <w:rsid w:val="00744C02"/>
    <w:rsid w:val="007545A5"/>
    <w:rsid w:val="0076241F"/>
    <w:rsid w:val="00772D11"/>
    <w:rsid w:val="00785EDD"/>
    <w:rsid w:val="007900F8"/>
    <w:rsid w:val="007A2147"/>
    <w:rsid w:val="007A50E8"/>
    <w:rsid w:val="007A5206"/>
    <w:rsid w:val="007B0468"/>
    <w:rsid w:val="007C1099"/>
    <w:rsid w:val="007C10AE"/>
    <w:rsid w:val="007C1A51"/>
    <w:rsid w:val="007D0926"/>
    <w:rsid w:val="007D1768"/>
    <w:rsid w:val="007D313A"/>
    <w:rsid w:val="007D395E"/>
    <w:rsid w:val="007E0227"/>
    <w:rsid w:val="007E0B33"/>
    <w:rsid w:val="007E11CB"/>
    <w:rsid w:val="007E75C5"/>
    <w:rsid w:val="007F0440"/>
    <w:rsid w:val="007F3C9C"/>
    <w:rsid w:val="007F41A3"/>
    <w:rsid w:val="007F462C"/>
    <w:rsid w:val="007F492C"/>
    <w:rsid w:val="007F508B"/>
    <w:rsid w:val="0080069B"/>
    <w:rsid w:val="00815D3D"/>
    <w:rsid w:val="008207BF"/>
    <w:rsid w:val="00820DCA"/>
    <w:rsid w:val="00821903"/>
    <w:rsid w:val="00825C71"/>
    <w:rsid w:val="008410C7"/>
    <w:rsid w:val="008466D1"/>
    <w:rsid w:val="008532A6"/>
    <w:rsid w:val="00853A90"/>
    <w:rsid w:val="0085448C"/>
    <w:rsid w:val="00855D1A"/>
    <w:rsid w:val="008570F3"/>
    <w:rsid w:val="00857C24"/>
    <w:rsid w:val="00857F58"/>
    <w:rsid w:val="00864E39"/>
    <w:rsid w:val="00865CD8"/>
    <w:rsid w:val="0087085A"/>
    <w:rsid w:val="008909E6"/>
    <w:rsid w:val="00891BC8"/>
    <w:rsid w:val="008A2B88"/>
    <w:rsid w:val="008A5342"/>
    <w:rsid w:val="008A6C30"/>
    <w:rsid w:val="008B1D28"/>
    <w:rsid w:val="008B70BF"/>
    <w:rsid w:val="008B768D"/>
    <w:rsid w:val="008D71DE"/>
    <w:rsid w:val="008E3AF9"/>
    <w:rsid w:val="008E6D06"/>
    <w:rsid w:val="008F0670"/>
    <w:rsid w:val="008F4625"/>
    <w:rsid w:val="008F51FC"/>
    <w:rsid w:val="0090189C"/>
    <w:rsid w:val="00907449"/>
    <w:rsid w:val="0091140B"/>
    <w:rsid w:val="009210B5"/>
    <w:rsid w:val="0092196A"/>
    <w:rsid w:val="00923F3A"/>
    <w:rsid w:val="00924B89"/>
    <w:rsid w:val="00925EFB"/>
    <w:rsid w:val="00932742"/>
    <w:rsid w:val="00936970"/>
    <w:rsid w:val="00940DC6"/>
    <w:rsid w:val="00941EDF"/>
    <w:rsid w:val="00943AB0"/>
    <w:rsid w:val="009460EE"/>
    <w:rsid w:val="00946972"/>
    <w:rsid w:val="00947E78"/>
    <w:rsid w:val="00947FC0"/>
    <w:rsid w:val="00951684"/>
    <w:rsid w:val="00953BEA"/>
    <w:rsid w:val="0095571A"/>
    <w:rsid w:val="00956729"/>
    <w:rsid w:val="009723EF"/>
    <w:rsid w:val="00972BE4"/>
    <w:rsid w:val="00983A76"/>
    <w:rsid w:val="00996835"/>
    <w:rsid w:val="009A0810"/>
    <w:rsid w:val="009A132D"/>
    <w:rsid w:val="009A2394"/>
    <w:rsid w:val="009B5B83"/>
    <w:rsid w:val="009C0781"/>
    <w:rsid w:val="009C51B0"/>
    <w:rsid w:val="009C59BC"/>
    <w:rsid w:val="009D3C7B"/>
    <w:rsid w:val="009D3D6E"/>
    <w:rsid w:val="009D47AC"/>
    <w:rsid w:val="009E6103"/>
    <w:rsid w:val="009E6973"/>
    <w:rsid w:val="009F2A61"/>
    <w:rsid w:val="009F3849"/>
    <w:rsid w:val="00A015E7"/>
    <w:rsid w:val="00A02C59"/>
    <w:rsid w:val="00A056FA"/>
    <w:rsid w:val="00A067B1"/>
    <w:rsid w:val="00A13344"/>
    <w:rsid w:val="00A143E3"/>
    <w:rsid w:val="00A2441B"/>
    <w:rsid w:val="00A246BF"/>
    <w:rsid w:val="00A24C92"/>
    <w:rsid w:val="00A2615B"/>
    <w:rsid w:val="00A3351C"/>
    <w:rsid w:val="00A4045B"/>
    <w:rsid w:val="00A406B5"/>
    <w:rsid w:val="00A43B31"/>
    <w:rsid w:val="00A47693"/>
    <w:rsid w:val="00A5383D"/>
    <w:rsid w:val="00A55CBD"/>
    <w:rsid w:val="00A80656"/>
    <w:rsid w:val="00A807D6"/>
    <w:rsid w:val="00A87296"/>
    <w:rsid w:val="00A93647"/>
    <w:rsid w:val="00AA133D"/>
    <w:rsid w:val="00AA2B16"/>
    <w:rsid w:val="00AA366E"/>
    <w:rsid w:val="00AA3C04"/>
    <w:rsid w:val="00AA3F2F"/>
    <w:rsid w:val="00AA60A9"/>
    <w:rsid w:val="00AA68EA"/>
    <w:rsid w:val="00AB1C69"/>
    <w:rsid w:val="00AB4FC8"/>
    <w:rsid w:val="00AB73CD"/>
    <w:rsid w:val="00AC67D0"/>
    <w:rsid w:val="00AE1235"/>
    <w:rsid w:val="00AE3EAB"/>
    <w:rsid w:val="00AE5C31"/>
    <w:rsid w:val="00AE6EAB"/>
    <w:rsid w:val="00AF09CC"/>
    <w:rsid w:val="00B01617"/>
    <w:rsid w:val="00B03B29"/>
    <w:rsid w:val="00B07FD3"/>
    <w:rsid w:val="00B20097"/>
    <w:rsid w:val="00B20D59"/>
    <w:rsid w:val="00B2526F"/>
    <w:rsid w:val="00B266CC"/>
    <w:rsid w:val="00B31084"/>
    <w:rsid w:val="00B45278"/>
    <w:rsid w:val="00B45880"/>
    <w:rsid w:val="00B45955"/>
    <w:rsid w:val="00B505F7"/>
    <w:rsid w:val="00B62CA5"/>
    <w:rsid w:val="00B67103"/>
    <w:rsid w:val="00B734D2"/>
    <w:rsid w:val="00B74D24"/>
    <w:rsid w:val="00B77311"/>
    <w:rsid w:val="00B81976"/>
    <w:rsid w:val="00B82B6C"/>
    <w:rsid w:val="00B913C4"/>
    <w:rsid w:val="00BA10DF"/>
    <w:rsid w:val="00BA518F"/>
    <w:rsid w:val="00BB6242"/>
    <w:rsid w:val="00BE5A7C"/>
    <w:rsid w:val="00BE7743"/>
    <w:rsid w:val="00BF1853"/>
    <w:rsid w:val="00BF33A5"/>
    <w:rsid w:val="00BF788B"/>
    <w:rsid w:val="00C00E49"/>
    <w:rsid w:val="00C0219D"/>
    <w:rsid w:val="00C031CB"/>
    <w:rsid w:val="00C06B38"/>
    <w:rsid w:val="00C07377"/>
    <w:rsid w:val="00C11831"/>
    <w:rsid w:val="00C30494"/>
    <w:rsid w:val="00C32D49"/>
    <w:rsid w:val="00C407E6"/>
    <w:rsid w:val="00C438B3"/>
    <w:rsid w:val="00C47574"/>
    <w:rsid w:val="00C508A5"/>
    <w:rsid w:val="00C51CDD"/>
    <w:rsid w:val="00C525B9"/>
    <w:rsid w:val="00C52EAE"/>
    <w:rsid w:val="00C55A43"/>
    <w:rsid w:val="00C634A5"/>
    <w:rsid w:val="00C6451F"/>
    <w:rsid w:val="00C656D8"/>
    <w:rsid w:val="00C71DC6"/>
    <w:rsid w:val="00C803E7"/>
    <w:rsid w:val="00C80B33"/>
    <w:rsid w:val="00C846E2"/>
    <w:rsid w:val="00C86395"/>
    <w:rsid w:val="00C86834"/>
    <w:rsid w:val="00C902CA"/>
    <w:rsid w:val="00C935CB"/>
    <w:rsid w:val="00CA053E"/>
    <w:rsid w:val="00CA301D"/>
    <w:rsid w:val="00CA4CC5"/>
    <w:rsid w:val="00CB2910"/>
    <w:rsid w:val="00CB2D77"/>
    <w:rsid w:val="00CB6318"/>
    <w:rsid w:val="00CC1BBE"/>
    <w:rsid w:val="00CC37A6"/>
    <w:rsid w:val="00CD04E7"/>
    <w:rsid w:val="00CD37D5"/>
    <w:rsid w:val="00CD4872"/>
    <w:rsid w:val="00CD566A"/>
    <w:rsid w:val="00CE4161"/>
    <w:rsid w:val="00CF1696"/>
    <w:rsid w:val="00CF5895"/>
    <w:rsid w:val="00CF75BB"/>
    <w:rsid w:val="00D07285"/>
    <w:rsid w:val="00D10A1D"/>
    <w:rsid w:val="00D1227F"/>
    <w:rsid w:val="00D13400"/>
    <w:rsid w:val="00D23629"/>
    <w:rsid w:val="00D270BF"/>
    <w:rsid w:val="00D330BD"/>
    <w:rsid w:val="00D33DD2"/>
    <w:rsid w:val="00D3762E"/>
    <w:rsid w:val="00D37FB6"/>
    <w:rsid w:val="00D40736"/>
    <w:rsid w:val="00D41628"/>
    <w:rsid w:val="00D41635"/>
    <w:rsid w:val="00D524AE"/>
    <w:rsid w:val="00D623F9"/>
    <w:rsid w:val="00D7130B"/>
    <w:rsid w:val="00D73D40"/>
    <w:rsid w:val="00D83112"/>
    <w:rsid w:val="00D836DA"/>
    <w:rsid w:val="00D85A1A"/>
    <w:rsid w:val="00D9151F"/>
    <w:rsid w:val="00DA2A10"/>
    <w:rsid w:val="00DA5EE8"/>
    <w:rsid w:val="00DC085A"/>
    <w:rsid w:val="00DC0A65"/>
    <w:rsid w:val="00DC3CC5"/>
    <w:rsid w:val="00DC4DAD"/>
    <w:rsid w:val="00DD7A75"/>
    <w:rsid w:val="00DE2A02"/>
    <w:rsid w:val="00DE2B02"/>
    <w:rsid w:val="00DE44F8"/>
    <w:rsid w:val="00DE518A"/>
    <w:rsid w:val="00DE7C97"/>
    <w:rsid w:val="00DF68BF"/>
    <w:rsid w:val="00DF7662"/>
    <w:rsid w:val="00DF79CD"/>
    <w:rsid w:val="00E02707"/>
    <w:rsid w:val="00E05052"/>
    <w:rsid w:val="00E06C56"/>
    <w:rsid w:val="00E1667C"/>
    <w:rsid w:val="00E25DB7"/>
    <w:rsid w:val="00E326CF"/>
    <w:rsid w:val="00E54EBE"/>
    <w:rsid w:val="00E61FF4"/>
    <w:rsid w:val="00E6584B"/>
    <w:rsid w:val="00E67C9C"/>
    <w:rsid w:val="00E77F29"/>
    <w:rsid w:val="00E8649D"/>
    <w:rsid w:val="00E91F75"/>
    <w:rsid w:val="00E93ED2"/>
    <w:rsid w:val="00E955C9"/>
    <w:rsid w:val="00E9638B"/>
    <w:rsid w:val="00EA3DCA"/>
    <w:rsid w:val="00EA5F74"/>
    <w:rsid w:val="00EB300C"/>
    <w:rsid w:val="00EB34E1"/>
    <w:rsid w:val="00EB68DC"/>
    <w:rsid w:val="00EC0F10"/>
    <w:rsid w:val="00EE03D2"/>
    <w:rsid w:val="00EE1303"/>
    <w:rsid w:val="00EE685B"/>
    <w:rsid w:val="00EF071E"/>
    <w:rsid w:val="00EF75FF"/>
    <w:rsid w:val="00F00CC8"/>
    <w:rsid w:val="00F0243F"/>
    <w:rsid w:val="00F04217"/>
    <w:rsid w:val="00F123FC"/>
    <w:rsid w:val="00F135F3"/>
    <w:rsid w:val="00F2158A"/>
    <w:rsid w:val="00F35B36"/>
    <w:rsid w:val="00F362C8"/>
    <w:rsid w:val="00F37209"/>
    <w:rsid w:val="00F46B03"/>
    <w:rsid w:val="00F53900"/>
    <w:rsid w:val="00F601F4"/>
    <w:rsid w:val="00F704A8"/>
    <w:rsid w:val="00F727D6"/>
    <w:rsid w:val="00F72ED9"/>
    <w:rsid w:val="00F732F1"/>
    <w:rsid w:val="00F73594"/>
    <w:rsid w:val="00F757DD"/>
    <w:rsid w:val="00F8016C"/>
    <w:rsid w:val="00F80598"/>
    <w:rsid w:val="00F90088"/>
    <w:rsid w:val="00F910C3"/>
    <w:rsid w:val="00F92BE0"/>
    <w:rsid w:val="00FA06E6"/>
    <w:rsid w:val="00FA4E5E"/>
    <w:rsid w:val="00FC015F"/>
    <w:rsid w:val="00FC0343"/>
    <w:rsid w:val="00FC39BE"/>
    <w:rsid w:val="00FC7243"/>
    <w:rsid w:val="00FC7425"/>
    <w:rsid w:val="00FD0B79"/>
    <w:rsid w:val="00FD31E0"/>
    <w:rsid w:val="00FD6AD9"/>
    <w:rsid w:val="00FE32BD"/>
    <w:rsid w:val="00FE5867"/>
    <w:rsid w:val="00FF1317"/>
    <w:rsid w:val="00FF1570"/>
    <w:rsid w:val="00FF47D5"/>
    <w:rsid w:val="00FF58C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72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1E52"/>
    <w:pPr>
      <w:jc w:val="both"/>
    </w:pPr>
    <w:rPr>
      <w:rFonts w:ascii="Times New Roman" w:hAnsi="Times New Roman"/>
      <w:sz w:val="22"/>
    </w:rPr>
  </w:style>
  <w:style w:type="paragraph" w:styleId="Heading1">
    <w:name w:val="heading 1"/>
    <w:basedOn w:val="Normal"/>
    <w:next w:val="Normal"/>
    <w:link w:val="Heading1Char"/>
    <w:uiPriority w:val="9"/>
    <w:qFormat/>
    <w:rsid w:val="00744C02"/>
    <w:pPr>
      <w:keepNext/>
      <w:keepLines/>
      <w:jc w:val="left"/>
      <w:outlineLvl w:val="0"/>
    </w:pPr>
    <w:rPr>
      <w:rFonts w:eastAsiaTheme="majorEastAsia" w:cstheme="majorBidi"/>
      <w:b/>
      <w:bCs/>
      <w:szCs w:val="32"/>
    </w:rPr>
  </w:style>
  <w:style w:type="paragraph" w:styleId="Heading2">
    <w:name w:val="heading 2"/>
    <w:basedOn w:val="Normal"/>
    <w:next w:val="Normal"/>
    <w:link w:val="Heading2Char"/>
    <w:uiPriority w:val="9"/>
    <w:semiHidden/>
    <w:unhideWhenUsed/>
    <w:rsid w:val="000565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FC742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594"/>
    <w:rPr>
      <w:color w:val="0000FF" w:themeColor="hyperlink"/>
      <w:u w:val="single"/>
    </w:rPr>
  </w:style>
  <w:style w:type="character" w:customStyle="1" w:styleId="Heading1Char">
    <w:name w:val="Heading 1 Char"/>
    <w:basedOn w:val="DefaultParagraphFont"/>
    <w:link w:val="Heading1"/>
    <w:uiPriority w:val="9"/>
    <w:rsid w:val="00744C02"/>
    <w:rPr>
      <w:rFonts w:ascii="Times New Roman" w:eastAsiaTheme="majorEastAsia" w:hAnsi="Times New Roman" w:cstheme="majorBidi"/>
      <w:b/>
      <w:bCs/>
      <w:sz w:val="22"/>
      <w:szCs w:val="32"/>
    </w:rPr>
  </w:style>
  <w:style w:type="paragraph" w:styleId="Title">
    <w:name w:val="Title"/>
    <w:basedOn w:val="Normal"/>
    <w:next w:val="Authors"/>
    <w:link w:val="TitleChar"/>
    <w:uiPriority w:val="10"/>
    <w:qFormat/>
    <w:rsid w:val="000552D4"/>
    <w:pPr>
      <w:spacing w:before="560" w:after="200"/>
      <w:contextualSpacing/>
    </w:pPr>
    <w:rPr>
      <w:rFonts w:eastAsiaTheme="majorEastAsia" w:cstheme="majorBidi"/>
      <w:b/>
      <w:spacing w:val="5"/>
      <w:kern w:val="28"/>
      <w:sz w:val="34"/>
      <w:szCs w:val="52"/>
    </w:rPr>
  </w:style>
  <w:style w:type="character" w:customStyle="1" w:styleId="TitleChar">
    <w:name w:val="Title Char"/>
    <w:basedOn w:val="DefaultParagraphFont"/>
    <w:link w:val="Title"/>
    <w:uiPriority w:val="10"/>
    <w:rsid w:val="000552D4"/>
    <w:rPr>
      <w:rFonts w:ascii="Times New Roman" w:eastAsiaTheme="majorEastAsia" w:hAnsi="Times New Roman" w:cstheme="majorBidi"/>
      <w:b/>
      <w:spacing w:val="5"/>
      <w:kern w:val="28"/>
      <w:sz w:val="34"/>
      <w:szCs w:val="52"/>
    </w:rPr>
  </w:style>
  <w:style w:type="paragraph" w:customStyle="1" w:styleId="Authors">
    <w:name w:val="Authors"/>
    <w:basedOn w:val="Normal"/>
    <w:next w:val="Institute"/>
    <w:link w:val="AuthorsChar"/>
    <w:qFormat/>
    <w:rsid w:val="000552D4"/>
    <w:pPr>
      <w:ind w:firstLine="1418"/>
    </w:pPr>
    <w:rPr>
      <w:b/>
    </w:rPr>
  </w:style>
  <w:style w:type="character" w:customStyle="1" w:styleId="AuthorsChar">
    <w:name w:val="Authors Char"/>
    <w:basedOn w:val="DefaultParagraphFont"/>
    <w:link w:val="Authors"/>
    <w:rsid w:val="000552D4"/>
    <w:rPr>
      <w:rFonts w:ascii="Times New Roman" w:hAnsi="Times New Roman"/>
      <w:b/>
      <w:sz w:val="22"/>
    </w:rPr>
  </w:style>
  <w:style w:type="paragraph" w:customStyle="1" w:styleId="Section">
    <w:name w:val="Section"/>
    <w:basedOn w:val="Normal"/>
    <w:next w:val="Normal"/>
    <w:link w:val="SectionChar"/>
    <w:qFormat/>
    <w:rsid w:val="00744C02"/>
    <w:pPr>
      <w:numPr>
        <w:numId w:val="7"/>
      </w:numPr>
      <w:spacing w:before="240"/>
    </w:pPr>
    <w:rPr>
      <w:b/>
    </w:rPr>
  </w:style>
  <w:style w:type="character" w:customStyle="1" w:styleId="SectionChar">
    <w:name w:val="Section Char"/>
    <w:basedOn w:val="Heading1Char"/>
    <w:link w:val="Section"/>
    <w:rsid w:val="00744C02"/>
    <w:rPr>
      <w:rFonts w:ascii="Times New Roman" w:eastAsiaTheme="majorEastAsia" w:hAnsi="Times New Roman" w:cstheme="majorBidi"/>
      <w:b/>
      <w:bCs w:val="0"/>
      <w:sz w:val="22"/>
      <w:szCs w:val="32"/>
    </w:rPr>
  </w:style>
  <w:style w:type="paragraph" w:customStyle="1" w:styleId="Subsection">
    <w:name w:val="Subsection"/>
    <w:basedOn w:val="Heading2"/>
    <w:next w:val="Normal"/>
    <w:link w:val="SubsectionChar"/>
    <w:qFormat/>
    <w:rsid w:val="000552D4"/>
    <w:pPr>
      <w:numPr>
        <w:ilvl w:val="1"/>
        <w:numId w:val="7"/>
      </w:numPr>
      <w:spacing w:before="240"/>
    </w:pPr>
    <w:rPr>
      <w:rFonts w:ascii="Times New Roman" w:hAnsi="Times New Roman"/>
      <w:b w:val="0"/>
      <w:i/>
      <w:color w:val="auto"/>
      <w:sz w:val="22"/>
    </w:rPr>
  </w:style>
  <w:style w:type="character" w:customStyle="1" w:styleId="Heading2Char">
    <w:name w:val="Heading 2 Char"/>
    <w:basedOn w:val="DefaultParagraphFont"/>
    <w:link w:val="Heading2"/>
    <w:uiPriority w:val="9"/>
    <w:semiHidden/>
    <w:rsid w:val="0005655A"/>
    <w:rPr>
      <w:rFonts w:asciiTheme="majorHAnsi" w:eastAsiaTheme="majorEastAsia" w:hAnsiTheme="majorHAnsi" w:cstheme="majorBidi"/>
      <w:b/>
      <w:bCs/>
      <w:color w:val="4F81BD" w:themeColor="accent1"/>
      <w:sz w:val="26"/>
      <w:szCs w:val="26"/>
    </w:rPr>
  </w:style>
  <w:style w:type="character" w:customStyle="1" w:styleId="SubsectionChar">
    <w:name w:val="Subsection Char"/>
    <w:basedOn w:val="Heading2Char"/>
    <w:link w:val="Subsection"/>
    <w:rsid w:val="000552D4"/>
    <w:rPr>
      <w:rFonts w:ascii="Times New Roman" w:eastAsiaTheme="majorEastAsia" w:hAnsi="Times New Roman" w:cstheme="majorBidi"/>
      <w:b w:val="0"/>
      <w:bCs/>
      <w:i/>
      <w:color w:val="4F81BD" w:themeColor="accent1"/>
      <w:sz w:val="22"/>
      <w:szCs w:val="26"/>
    </w:rPr>
  </w:style>
  <w:style w:type="paragraph" w:customStyle="1" w:styleId="Institute">
    <w:name w:val="Institute"/>
    <w:basedOn w:val="Authors"/>
    <w:link w:val="InstituteChar"/>
    <w:qFormat/>
    <w:rsid w:val="000552D4"/>
    <w:rPr>
      <w:b w:val="0"/>
    </w:rPr>
  </w:style>
  <w:style w:type="character" w:customStyle="1" w:styleId="InstituteChar">
    <w:name w:val="Institute Char"/>
    <w:basedOn w:val="AuthorsChar"/>
    <w:link w:val="Institute"/>
    <w:rsid w:val="000552D4"/>
    <w:rPr>
      <w:rFonts w:ascii="Times New Roman" w:hAnsi="Times New Roman"/>
      <w:b w:val="0"/>
      <w:sz w:val="22"/>
    </w:rPr>
  </w:style>
  <w:style w:type="paragraph" w:styleId="ListParagraph">
    <w:name w:val="List Paragraph"/>
    <w:basedOn w:val="Normal"/>
    <w:link w:val="ListParagraphChar"/>
    <w:uiPriority w:val="34"/>
    <w:qFormat/>
    <w:rsid w:val="0019671F"/>
    <w:pPr>
      <w:spacing w:before="120" w:after="120"/>
      <w:ind w:left="720"/>
    </w:pPr>
  </w:style>
  <w:style w:type="character" w:customStyle="1" w:styleId="Monospaced">
    <w:name w:val="Monospaced"/>
    <w:basedOn w:val="DefaultParagraphFont"/>
    <w:uiPriority w:val="1"/>
    <w:qFormat/>
    <w:rsid w:val="00527955"/>
    <w:rPr>
      <w:rFonts w:ascii="Courier" w:hAnsi="Courier"/>
    </w:rPr>
  </w:style>
  <w:style w:type="paragraph" w:customStyle="1" w:styleId="Abstracttitle">
    <w:name w:val="Abstract title"/>
    <w:basedOn w:val="Section"/>
    <w:next w:val="Abstract"/>
    <w:link w:val="AbstracttitleChar"/>
    <w:qFormat/>
    <w:rsid w:val="00A406B5"/>
    <w:pPr>
      <w:numPr>
        <w:numId w:val="0"/>
      </w:numPr>
      <w:spacing w:after="80"/>
      <w:jc w:val="center"/>
    </w:pPr>
    <w:rPr>
      <w:b w:val="0"/>
      <w:sz w:val="20"/>
    </w:rPr>
  </w:style>
  <w:style w:type="character" w:customStyle="1" w:styleId="AbstracttitleChar">
    <w:name w:val="Abstract title Char"/>
    <w:basedOn w:val="SectionChar"/>
    <w:link w:val="Abstracttitle"/>
    <w:rsid w:val="006229A5"/>
    <w:rPr>
      <w:rFonts w:ascii="Times New Roman" w:eastAsiaTheme="majorEastAsia" w:hAnsi="Times New Roman" w:cstheme="majorBidi"/>
      <w:b w:val="0"/>
      <w:bCs w:val="0"/>
      <w:color w:val="345A8A" w:themeColor="accent1" w:themeShade="B5"/>
      <w:sz w:val="20"/>
      <w:szCs w:val="32"/>
    </w:rPr>
  </w:style>
  <w:style w:type="paragraph" w:customStyle="1" w:styleId="Abstract">
    <w:name w:val="Abstract"/>
    <w:basedOn w:val="Normal"/>
    <w:link w:val="AbstractChar"/>
    <w:qFormat/>
    <w:rsid w:val="000552D4"/>
    <w:pPr>
      <w:ind w:left="1418"/>
    </w:pPr>
    <w:rPr>
      <w:sz w:val="20"/>
    </w:rPr>
  </w:style>
  <w:style w:type="character" w:customStyle="1" w:styleId="AbstractChar">
    <w:name w:val="Abstract Char"/>
    <w:basedOn w:val="SectionChar"/>
    <w:link w:val="Abstract"/>
    <w:rsid w:val="000552D4"/>
    <w:rPr>
      <w:rFonts w:ascii="Times New Roman" w:eastAsiaTheme="majorEastAsia" w:hAnsi="Times New Roman" w:cstheme="majorBidi"/>
      <w:b/>
      <w:bCs/>
      <w:sz w:val="20"/>
      <w:szCs w:val="32"/>
    </w:rPr>
  </w:style>
  <w:style w:type="character" w:customStyle="1" w:styleId="Sans-Serif">
    <w:name w:val="Sans-Serif"/>
    <w:basedOn w:val="DefaultParagraphFont"/>
    <w:uiPriority w:val="1"/>
    <w:qFormat/>
    <w:rsid w:val="00527955"/>
    <w:rPr>
      <w:rFonts w:ascii="Helvetica" w:hAnsi="Helvetica"/>
    </w:rPr>
  </w:style>
  <w:style w:type="paragraph" w:styleId="FootnoteText">
    <w:name w:val="footnote text"/>
    <w:basedOn w:val="Normal"/>
    <w:link w:val="FootnoteTextChar"/>
    <w:uiPriority w:val="99"/>
    <w:unhideWhenUsed/>
    <w:rsid w:val="0041433E"/>
    <w:rPr>
      <w:sz w:val="16"/>
    </w:rPr>
  </w:style>
  <w:style w:type="character" w:customStyle="1" w:styleId="FootnoteTextChar">
    <w:name w:val="Footnote Text Char"/>
    <w:basedOn w:val="DefaultParagraphFont"/>
    <w:link w:val="FootnoteText"/>
    <w:uiPriority w:val="99"/>
    <w:rsid w:val="0041433E"/>
    <w:rPr>
      <w:rFonts w:ascii="Times New Roman" w:hAnsi="Times New Roman"/>
      <w:sz w:val="16"/>
    </w:rPr>
  </w:style>
  <w:style w:type="character" w:styleId="FootnoteReference">
    <w:name w:val="footnote reference"/>
    <w:basedOn w:val="DefaultParagraphFont"/>
    <w:uiPriority w:val="99"/>
    <w:unhideWhenUsed/>
    <w:rsid w:val="006229A5"/>
    <w:rPr>
      <w:vertAlign w:val="superscript"/>
    </w:rPr>
  </w:style>
  <w:style w:type="paragraph" w:styleId="EndnoteText">
    <w:name w:val="endnote text"/>
    <w:basedOn w:val="Normal"/>
    <w:link w:val="EndnoteTextChar"/>
    <w:uiPriority w:val="99"/>
    <w:unhideWhenUsed/>
    <w:rsid w:val="004D7242"/>
    <w:rPr>
      <w:sz w:val="24"/>
    </w:rPr>
  </w:style>
  <w:style w:type="character" w:customStyle="1" w:styleId="EndnoteTextChar">
    <w:name w:val="Endnote Text Char"/>
    <w:basedOn w:val="DefaultParagraphFont"/>
    <w:link w:val="EndnoteText"/>
    <w:uiPriority w:val="99"/>
    <w:rsid w:val="004D7242"/>
    <w:rPr>
      <w:rFonts w:ascii="Times New Roman" w:hAnsi="Times New Roman"/>
    </w:rPr>
  </w:style>
  <w:style w:type="character" w:styleId="EndnoteReference">
    <w:name w:val="endnote reference"/>
    <w:basedOn w:val="DefaultParagraphFont"/>
    <w:uiPriority w:val="99"/>
    <w:unhideWhenUsed/>
    <w:rsid w:val="004D7242"/>
    <w:rPr>
      <w:vertAlign w:val="superscript"/>
    </w:rPr>
  </w:style>
  <w:style w:type="paragraph" w:styleId="BalloonText">
    <w:name w:val="Balloon Text"/>
    <w:basedOn w:val="Normal"/>
    <w:link w:val="BalloonTextChar"/>
    <w:uiPriority w:val="99"/>
    <w:semiHidden/>
    <w:unhideWhenUsed/>
    <w:rsid w:val="004D72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7242"/>
    <w:rPr>
      <w:rFonts w:ascii="Lucida Grande" w:hAnsi="Lucida Grande" w:cs="Lucida Grande"/>
      <w:sz w:val="18"/>
      <w:szCs w:val="18"/>
    </w:rPr>
  </w:style>
  <w:style w:type="paragraph" w:styleId="Bibliography">
    <w:name w:val="Bibliography"/>
    <w:basedOn w:val="Normal"/>
    <w:next w:val="Normal"/>
    <w:uiPriority w:val="37"/>
    <w:unhideWhenUsed/>
    <w:rsid w:val="00865CD8"/>
  </w:style>
  <w:style w:type="paragraph" w:customStyle="1" w:styleId="References">
    <w:name w:val="References"/>
    <w:basedOn w:val="Section"/>
    <w:next w:val="Normal"/>
    <w:qFormat/>
    <w:rsid w:val="00A406B5"/>
    <w:pPr>
      <w:numPr>
        <w:numId w:val="0"/>
      </w:numPr>
    </w:pPr>
  </w:style>
  <w:style w:type="character" w:styleId="FollowedHyperlink">
    <w:name w:val="FollowedHyperlink"/>
    <w:basedOn w:val="DefaultParagraphFont"/>
    <w:uiPriority w:val="99"/>
    <w:semiHidden/>
    <w:unhideWhenUsed/>
    <w:rsid w:val="00FA4E5E"/>
    <w:rPr>
      <w:color w:val="800080" w:themeColor="followedHyperlink"/>
      <w:u w:val="single"/>
    </w:rPr>
  </w:style>
  <w:style w:type="paragraph" w:styleId="Caption">
    <w:name w:val="caption"/>
    <w:basedOn w:val="Normal"/>
    <w:next w:val="Normal"/>
    <w:rsid w:val="00A93647"/>
    <w:pPr>
      <w:spacing w:after="200"/>
    </w:pPr>
    <w:rPr>
      <w:b/>
      <w:bCs/>
      <w:sz w:val="18"/>
      <w:szCs w:val="18"/>
    </w:rPr>
  </w:style>
  <w:style w:type="paragraph" w:styleId="Header">
    <w:name w:val="header"/>
    <w:basedOn w:val="Normal"/>
    <w:link w:val="HeaderChar"/>
    <w:rsid w:val="006A7F8D"/>
    <w:pPr>
      <w:tabs>
        <w:tab w:val="center" w:pos="4320"/>
        <w:tab w:val="right" w:pos="8640"/>
      </w:tabs>
    </w:pPr>
  </w:style>
  <w:style w:type="character" w:customStyle="1" w:styleId="HeaderChar">
    <w:name w:val="Header Char"/>
    <w:basedOn w:val="DefaultParagraphFont"/>
    <w:link w:val="Header"/>
    <w:rsid w:val="006A7F8D"/>
    <w:rPr>
      <w:rFonts w:ascii="Times New Roman" w:hAnsi="Times New Roman"/>
      <w:sz w:val="20"/>
    </w:rPr>
  </w:style>
  <w:style w:type="paragraph" w:styleId="Footer">
    <w:name w:val="footer"/>
    <w:basedOn w:val="Normal"/>
    <w:link w:val="FooterChar"/>
    <w:rsid w:val="006A7F8D"/>
    <w:pPr>
      <w:tabs>
        <w:tab w:val="center" w:pos="4320"/>
        <w:tab w:val="right" w:pos="8640"/>
      </w:tabs>
    </w:pPr>
  </w:style>
  <w:style w:type="character" w:customStyle="1" w:styleId="FooterChar">
    <w:name w:val="Footer Char"/>
    <w:basedOn w:val="DefaultParagraphFont"/>
    <w:link w:val="Footer"/>
    <w:rsid w:val="006A7F8D"/>
    <w:rPr>
      <w:rFonts w:ascii="Times New Roman" w:hAnsi="Times New Roman"/>
      <w:sz w:val="20"/>
    </w:rPr>
  </w:style>
  <w:style w:type="table" w:styleId="TableGrid">
    <w:name w:val="Table Grid"/>
    <w:basedOn w:val="TableNormal"/>
    <w:uiPriority w:val="59"/>
    <w:rsid w:val="00642E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EF071E"/>
    <w:pPr>
      <w:spacing w:before="120"/>
      <w:jc w:val="left"/>
    </w:pPr>
    <w:rPr>
      <w:rFonts w:asciiTheme="minorHAnsi" w:hAnsiTheme="minorHAnsi"/>
      <w:b/>
      <w:bCs/>
      <w:szCs w:val="22"/>
    </w:rPr>
  </w:style>
  <w:style w:type="paragraph" w:styleId="TOC2">
    <w:name w:val="toc 2"/>
    <w:basedOn w:val="Normal"/>
    <w:next w:val="Normal"/>
    <w:autoRedefine/>
    <w:uiPriority w:val="39"/>
    <w:unhideWhenUsed/>
    <w:rsid w:val="00EF071E"/>
    <w:pPr>
      <w:ind w:left="200"/>
      <w:jc w:val="left"/>
    </w:pPr>
    <w:rPr>
      <w:rFonts w:asciiTheme="minorHAnsi" w:hAnsiTheme="minorHAnsi"/>
      <w:i/>
      <w:iCs/>
      <w:szCs w:val="22"/>
    </w:rPr>
  </w:style>
  <w:style w:type="paragraph" w:styleId="TOC3">
    <w:name w:val="toc 3"/>
    <w:basedOn w:val="Normal"/>
    <w:next w:val="Normal"/>
    <w:autoRedefine/>
    <w:unhideWhenUsed/>
    <w:rsid w:val="00EF071E"/>
    <w:pPr>
      <w:ind w:left="400"/>
      <w:jc w:val="left"/>
    </w:pPr>
    <w:rPr>
      <w:rFonts w:asciiTheme="minorHAnsi" w:hAnsiTheme="minorHAnsi"/>
      <w:szCs w:val="22"/>
    </w:rPr>
  </w:style>
  <w:style w:type="paragraph" w:styleId="TOC4">
    <w:name w:val="toc 4"/>
    <w:basedOn w:val="Normal"/>
    <w:next w:val="Normal"/>
    <w:autoRedefine/>
    <w:unhideWhenUsed/>
    <w:rsid w:val="00EF071E"/>
    <w:pPr>
      <w:ind w:left="600"/>
      <w:jc w:val="left"/>
    </w:pPr>
    <w:rPr>
      <w:rFonts w:asciiTheme="minorHAnsi" w:hAnsiTheme="minorHAnsi"/>
      <w:szCs w:val="20"/>
    </w:rPr>
  </w:style>
  <w:style w:type="paragraph" w:styleId="TOC5">
    <w:name w:val="toc 5"/>
    <w:basedOn w:val="Normal"/>
    <w:next w:val="Normal"/>
    <w:autoRedefine/>
    <w:unhideWhenUsed/>
    <w:rsid w:val="00EF071E"/>
    <w:pPr>
      <w:ind w:left="800"/>
      <w:jc w:val="left"/>
    </w:pPr>
    <w:rPr>
      <w:rFonts w:asciiTheme="minorHAnsi" w:hAnsiTheme="minorHAnsi"/>
      <w:szCs w:val="20"/>
    </w:rPr>
  </w:style>
  <w:style w:type="paragraph" w:styleId="TOC6">
    <w:name w:val="toc 6"/>
    <w:basedOn w:val="Normal"/>
    <w:next w:val="Normal"/>
    <w:autoRedefine/>
    <w:unhideWhenUsed/>
    <w:rsid w:val="00EF071E"/>
    <w:pPr>
      <w:ind w:left="1000"/>
      <w:jc w:val="left"/>
    </w:pPr>
    <w:rPr>
      <w:rFonts w:asciiTheme="minorHAnsi" w:hAnsiTheme="minorHAnsi"/>
      <w:szCs w:val="20"/>
    </w:rPr>
  </w:style>
  <w:style w:type="paragraph" w:styleId="TOC7">
    <w:name w:val="toc 7"/>
    <w:basedOn w:val="Normal"/>
    <w:next w:val="Normal"/>
    <w:autoRedefine/>
    <w:unhideWhenUsed/>
    <w:rsid w:val="00EF071E"/>
    <w:pPr>
      <w:ind w:left="1200"/>
      <w:jc w:val="left"/>
    </w:pPr>
    <w:rPr>
      <w:rFonts w:asciiTheme="minorHAnsi" w:hAnsiTheme="minorHAnsi"/>
      <w:szCs w:val="20"/>
    </w:rPr>
  </w:style>
  <w:style w:type="paragraph" w:styleId="TOC8">
    <w:name w:val="toc 8"/>
    <w:basedOn w:val="Normal"/>
    <w:next w:val="Normal"/>
    <w:autoRedefine/>
    <w:unhideWhenUsed/>
    <w:rsid w:val="00EF071E"/>
    <w:pPr>
      <w:ind w:left="1400"/>
      <w:jc w:val="left"/>
    </w:pPr>
    <w:rPr>
      <w:rFonts w:asciiTheme="minorHAnsi" w:hAnsiTheme="minorHAnsi"/>
      <w:szCs w:val="20"/>
    </w:rPr>
  </w:style>
  <w:style w:type="paragraph" w:styleId="TOC9">
    <w:name w:val="toc 9"/>
    <w:basedOn w:val="Normal"/>
    <w:next w:val="Normal"/>
    <w:autoRedefine/>
    <w:unhideWhenUsed/>
    <w:rsid w:val="00EF071E"/>
    <w:pPr>
      <w:ind w:left="1600"/>
      <w:jc w:val="left"/>
    </w:pPr>
    <w:rPr>
      <w:rFonts w:asciiTheme="minorHAnsi" w:hAnsiTheme="minorHAnsi"/>
      <w:szCs w:val="20"/>
    </w:rPr>
  </w:style>
  <w:style w:type="character" w:customStyle="1" w:styleId="ListParagraphChar">
    <w:name w:val="List Paragraph Char"/>
    <w:link w:val="ListParagraph"/>
    <w:uiPriority w:val="34"/>
    <w:locked/>
    <w:rsid w:val="00130EF3"/>
    <w:rPr>
      <w:rFonts w:ascii="Times New Roman" w:hAnsi="Times New Roman"/>
      <w:sz w:val="20"/>
    </w:rPr>
  </w:style>
  <w:style w:type="paragraph" w:customStyle="1" w:styleId="Default">
    <w:name w:val="Default"/>
    <w:rsid w:val="004B01A1"/>
    <w:pPr>
      <w:autoSpaceDE w:val="0"/>
      <w:autoSpaceDN w:val="0"/>
      <w:adjustRightInd w:val="0"/>
    </w:pPr>
    <w:rPr>
      <w:rFonts w:ascii="Times New Roman" w:eastAsia="Times New Roman" w:hAnsi="Times New Roman" w:cs="Times New Roman"/>
      <w:color w:val="000000"/>
      <w:lang w:val="en-ID" w:eastAsia="en-ID"/>
    </w:rPr>
  </w:style>
  <w:style w:type="paragraph" w:customStyle="1" w:styleId="BODYYY">
    <w:name w:val="BODYYY"/>
    <w:basedOn w:val="BodyText"/>
    <w:link w:val="BODYYYChar"/>
    <w:qFormat/>
    <w:rsid w:val="004B01A1"/>
    <w:pPr>
      <w:tabs>
        <w:tab w:val="left" w:pos="90"/>
      </w:tabs>
      <w:spacing w:before="11" w:after="0" w:line="360" w:lineRule="auto"/>
    </w:pPr>
    <w:rPr>
      <w:rFonts w:eastAsia="Times New Roman" w:cs="Times New Roman"/>
      <w:noProof/>
      <w:sz w:val="24"/>
      <w:szCs w:val="20"/>
      <w:lang w:val="en-AU" w:eastAsia="x-none"/>
    </w:rPr>
  </w:style>
  <w:style w:type="character" w:customStyle="1" w:styleId="BODYYYChar">
    <w:name w:val="BODYYY Char"/>
    <w:link w:val="BODYYY"/>
    <w:rsid w:val="004B01A1"/>
    <w:rPr>
      <w:rFonts w:ascii="Times New Roman" w:eastAsia="Times New Roman" w:hAnsi="Times New Roman" w:cs="Times New Roman"/>
      <w:noProof/>
      <w:szCs w:val="20"/>
      <w:lang w:val="en-AU" w:eastAsia="x-none"/>
    </w:rPr>
  </w:style>
  <w:style w:type="paragraph" w:customStyle="1" w:styleId="Content">
    <w:name w:val="Content"/>
    <w:basedOn w:val="Normal"/>
    <w:link w:val="ContentChar"/>
    <w:qFormat/>
    <w:rsid w:val="004B01A1"/>
    <w:pPr>
      <w:spacing w:line="276" w:lineRule="auto"/>
      <w:jc w:val="left"/>
    </w:pPr>
    <w:rPr>
      <w:rFonts w:asciiTheme="majorBidi" w:hAnsiTheme="majorBidi" w:cstheme="majorBidi"/>
      <w:sz w:val="24"/>
      <w:lang w:val="id-ID"/>
    </w:rPr>
  </w:style>
  <w:style w:type="character" w:customStyle="1" w:styleId="ContentChar">
    <w:name w:val="Content Char"/>
    <w:basedOn w:val="DefaultParagraphFont"/>
    <w:link w:val="Content"/>
    <w:rsid w:val="004B01A1"/>
    <w:rPr>
      <w:rFonts w:asciiTheme="majorBidi" w:hAnsiTheme="majorBidi" w:cstheme="majorBidi"/>
      <w:lang w:val="id-ID"/>
    </w:rPr>
  </w:style>
  <w:style w:type="paragraph" w:styleId="BodyText">
    <w:name w:val="Body Text"/>
    <w:basedOn w:val="Normal"/>
    <w:link w:val="BodyTextChar"/>
    <w:semiHidden/>
    <w:unhideWhenUsed/>
    <w:rsid w:val="004B01A1"/>
    <w:pPr>
      <w:spacing w:after="120"/>
    </w:pPr>
  </w:style>
  <w:style w:type="character" w:customStyle="1" w:styleId="BodyTextChar">
    <w:name w:val="Body Text Char"/>
    <w:basedOn w:val="DefaultParagraphFont"/>
    <w:link w:val="BodyText"/>
    <w:semiHidden/>
    <w:rsid w:val="004B01A1"/>
    <w:rPr>
      <w:rFonts w:ascii="Times New Roman" w:hAnsi="Times New Roman"/>
      <w:sz w:val="20"/>
    </w:rPr>
  </w:style>
  <w:style w:type="character" w:styleId="Emphasis">
    <w:name w:val="Emphasis"/>
    <w:uiPriority w:val="20"/>
    <w:qFormat/>
    <w:rsid w:val="00AA3C04"/>
    <w:rPr>
      <w:i/>
      <w:iCs/>
    </w:rPr>
  </w:style>
  <w:style w:type="character" w:customStyle="1" w:styleId="html-italic">
    <w:name w:val="html-italic"/>
    <w:basedOn w:val="DefaultParagraphFont"/>
    <w:rsid w:val="00AA3C04"/>
  </w:style>
  <w:style w:type="paragraph" w:customStyle="1" w:styleId="EndNoteBibliography">
    <w:name w:val="EndNote Bibliography"/>
    <w:basedOn w:val="Normal"/>
    <w:link w:val="EndNoteBibliographyChar"/>
    <w:rsid w:val="003574CF"/>
    <w:pPr>
      <w:spacing w:after="200"/>
      <w:jc w:val="left"/>
    </w:pPr>
    <w:rPr>
      <w:rFonts w:eastAsiaTheme="minorHAnsi" w:cs="Times New Roman"/>
      <w:noProof/>
      <w:sz w:val="20"/>
      <w:szCs w:val="22"/>
    </w:rPr>
  </w:style>
  <w:style w:type="character" w:customStyle="1" w:styleId="EndNoteBibliographyChar">
    <w:name w:val="EndNote Bibliography Char"/>
    <w:basedOn w:val="DefaultParagraphFont"/>
    <w:link w:val="EndNoteBibliography"/>
    <w:rsid w:val="003574CF"/>
    <w:rPr>
      <w:rFonts w:ascii="Times New Roman" w:eastAsiaTheme="minorHAnsi" w:hAnsi="Times New Roman" w:cs="Times New Roman"/>
      <w:noProof/>
      <w:sz w:val="20"/>
      <w:szCs w:val="22"/>
    </w:rPr>
  </w:style>
  <w:style w:type="paragraph" w:customStyle="1" w:styleId="EndNoteBibliographyTitle">
    <w:name w:val="EndNote Bibliography Title"/>
    <w:basedOn w:val="Normal"/>
    <w:link w:val="EndNoteBibliographyTitleChar"/>
    <w:rsid w:val="008570F3"/>
    <w:pPr>
      <w:jc w:val="center"/>
    </w:pPr>
    <w:rPr>
      <w:rFonts w:cs="Times New Roman"/>
      <w:noProof/>
      <w:sz w:val="20"/>
    </w:rPr>
  </w:style>
  <w:style w:type="character" w:customStyle="1" w:styleId="EndNoteBibliographyTitleChar">
    <w:name w:val="EndNote Bibliography Title Char"/>
    <w:basedOn w:val="DefaultParagraphFont"/>
    <w:link w:val="EndNoteBibliographyTitle"/>
    <w:rsid w:val="008570F3"/>
    <w:rPr>
      <w:rFonts w:ascii="Times New Roman" w:hAnsi="Times New Roman" w:cs="Times New Roman"/>
      <w:noProof/>
      <w:sz w:val="20"/>
    </w:rPr>
  </w:style>
  <w:style w:type="paragraph" w:customStyle="1" w:styleId="subsec3">
    <w:name w:val="subsec3"/>
    <w:basedOn w:val="Heading3"/>
    <w:next w:val="Normal"/>
    <w:qFormat/>
    <w:rsid w:val="00FC7425"/>
    <w:pPr>
      <w:spacing w:before="0"/>
    </w:pPr>
    <w:rPr>
      <w:rFonts w:ascii="Times New Roman" w:hAnsi="Times New Roman"/>
      <w:b w:val="0"/>
      <w:i/>
      <w:color w:val="auto"/>
    </w:rPr>
  </w:style>
  <w:style w:type="paragraph" w:styleId="List">
    <w:name w:val="List"/>
    <w:basedOn w:val="Normal"/>
    <w:rsid w:val="00575C38"/>
    <w:pPr>
      <w:ind w:left="283" w:hanging="283"/>
      <w:contextualSpacing/>
    </w:pPr>
  </w:style>
  <w:style w:type="numbering" w:customStyle="1" w:styleId="subsec3e1">
    <w:name w:val="subsec3_e1"/>
    <w:uiPriority w:val="99"/>
    <w:rsid w:val="00FC7425"/>
    <w:pPr>
      <w:numPr>
        <w:numId w:val="5"/>
      </w:numPr>
    </w:pPr>
  </w:style>
  <w:style w:type="character" w:customStyle="1" w:styleId="Heading3Char">
    <w:name w:val="Heading 3 Char"/>
    <w:basedOn w:val="DefaultParagraphFont"/>
    <w:link w:val="Heading3"/>
    <w:rsid w:val="00FC7425"/>
    <w:rPr>
      <w:rFonts w:asciiTheme="majorHAnsi" w:eastAsiaTheme="majorEastAsia" w:hAnsiTheme="majorHAnsi" w:cstheme="majorBidi"/>
      <w:b/>
      <w:bCs/>
      <w:color w:val="4F81BD"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62217">
      <w:bodyDiv w:val="1"/>
      <w:marLeft w:val="0"/>
      <w:marRight w:val="0"/>
      <w:marTop w:val="0"/>
      <w:marBottom w:val="0"/>
      <w:divBdr>
        <w:top w:val="none" w:sz="0" w:space="0" w:color="auto"/>
        <w:left w:val="none" w:sz="0" w:space="0" w:color="auto"/>
        <w:bottom w:val="none" w:sz="0" w:space="0" w:color="auto"/>
        <w:right w:val="none" w:sz="0" w:space="0" w:color="auto"/>
      </w:divBdr>
    </w:div>
    <w:div w:id="151794452">
      <w:bodyDiv w:val="1"/>
      <w:marLeft w:val="0"/>
      <w:marRight w:val="0"/>
      <w:marTop w:val="0"/>
      <w:marBottom w:val="0"/>
      <w:divBdr>
        <w:top w:val="none" w:sz="0" w:space="0" w:color="auto"/>
        <w:left w:val="none" w:sz="0" w:space="0" w:color="auto"/>
        <w:bottom w:val="none" w:sz="0" w:space="0" w:color="auto"/>
        <w:right w:val="none" w:sz="0" w:space="0" w:color="auto"/>
      </w:divBdr>
    </w:div>
    <w:div w:id="182324085">
      <w:bodyDiv w:val="1"/>
      <w:marLeft w:val="0"/>
      <w:marRight w:val="0"/>
      <w:marTop w:val="0"/>
      <w:marBottom w:val="0"/>
      <w:divBdr>
        <w:top w:val="none" w:sz="0" w:space="0" w:color="auto"/>
        <w:left w:val="none" w:sz="0" w:space="0" w:color="auto"/>
        <w:bottom w:val="none" w:sz="0" w:space="0" w:color="auto"/>
        <w:right w:val="none" w:sz="0" w:space="0" w:color="auto"/>
      </w:divBdr>
    </w:div>
    <w:div w:id="192771314">
      <w:bodyDiv w:val="1"/>
      <w:marLeft w:val="0"/>
      <w:marRight w:val="0"/>
      <w:marTop w:val="0"/>
      <w:marBottom w:val="0"/>
      <w:divBdr>
        <w:top w:val="none" w:sz="0" w:space="0" w:color="auto"/>
        <w:left w:val="none" w:sz="0" w:space="0" w:color="auto"/>
        <w:bottom w:val="none" w:sz="0" w:space="0" w:color="auto"/>
        <w:right w:val="none" w:sz="0" w:space="0" w:color="auto"/>
      </w:divBdr>
    </w:div>
    <w:div w:id="202910154">
      <w:bodyDiv w:val="1"/>
      <w:marLeft w:val="0"/>
      <w:marRight w:val="0"/>
      <w:marTop w:val="0"/>
      <w:marBottom w:val="0"/>
      <w:divBdr>
        <w:top w:val="none" w:sz="0" w:space="0" w:color="auto"/>
        <w:left w:val="none" w:sz="0" w:space="0" w:color="auto"/>
        <w:bottom w:val="none" w:sz="0" w:space="0" w:color="auto"/>
        <w:right w:val="none" w:sz="0" w:space="0" w:color="auto"/>
      </w:divBdr>
    </w:div>
    <w:div w:id="227614203">
      <w:bodyDiv w:val="1"/>
      <w:marLeft w:val="0"/>
      <w:marRight w:val="0"/>
      <w:marTop w:val="0"/>
      <w:marBottom w:val="0"/>
      <w:divBdr>
        <w:top w:val="none" w:sz="0" w:space="0" w:color="auto"/>
        <w:left w:val="none" w:sz="0" w:space="0" w:color="auto"/>
        <w:bottom w:val="none" w:sz="0" w:space="0" w:color="auto"/>
        <w:right w:val="none" w:sz="0" w:space="0" w:color="auto"/>
      </w:divBdr>
    </w:div>
    <w:div w:id="238642015">
      <w:bodyDiv w:val="1"/>
      <w:marLeft w:val="0"/>
      <w:marRight w:val="0"/>
      <w:marTop w:val="0"/>
      <w:marBottom w:val="0"/>
      <w:divBdr>
        <w:top w:val="none" w:sz="0" w:space="0" w:color="auto"/>
        <w:left w:val="none" w:sz="0" w:space="0" w:color="auto"/>
        <w:bottom w:val="none" w:sz="0" w:space="0" w:color="auto"/>
        <w:right w:val="none" w:sz="0" w:space="0" w:color="auto"/>
      </w:divBdr>
    </w:div>
    <w:div w:id="313609553">
      <w:bodyDiv w:val="1"/>
      <w:marLeft w:val="0"/>
      <w:marRight w:val="0"/>
      <w:marTop w:val="0"/>
      <w:marBottom w:val="0"/>
      <w:divBdr>
        <w:top w:val="none" w:sz="0" w:space="0" w:color="auto"/>
        <w:left w:val="none" w:sz="0" w:space="0" w:color="auto"/>
        <w:bottom w:val="none" w:sz="0" w:space="0" w:color="auto"/>
        <w:right w:val="none" w:sz="0" w:space="0" w:color="auto"/>
      </w:divBdr>
    </w:div>
    <w:div w:id="420682611">
      <w:bodyDiv w:val="1"/>
      <w:marLeft w:val="0"/>
      <w:marRight w:val="0"/>
      <w:marTop w:val="0"/>
      <w:marBottom w:val="0"/>
      <w:divBdr>
        <w:top w:val="none" w:sz="0" w:space="0" w:color="auto"/>
        <w:left w:val="none" w:sz="0" w:space="0" w:color="auto"/>
        <w:bottom w:val="none" w:sz="0" w:space="0" w:color="auto"/>
        <w:right w:val="none" w:sz="0" w:space="0" w:color="auto"/>
      </w:divBdr>
    </w:div>
    <w:div w:id="421341763">
      <w:bodyDiv w:val="1"/>
      <w:marLeft w:val="0"/>
      <w:marRight w:val="0"/>
      <w:marTop w:val="0"/>
      <w:marBottom w:val="0"/>
      <w:divBdr>
        <w:top w:val="none" w:sz="0" w:space="0" w:color="auto"/>
        <w:left w:val="none" w:sz="0" w:space="0" w:color="auto"/>
        <w:bottom w:val="none" w:sz="0" w:space="0" w:color="auto"/>
        <w:right w:val="none" w:sz="0" w:space="0" w:color="auto"/>
      </w:divBdr>
    </w:div>
    <w:div w:id="493960655">
      <w:bodyDiv w:val="1"/>
      <w:marLeft w:val="0"/>
      <w:marRight w:val="0"/>
      <w:marTop w:val="0"/>
      <w:marBottom w:val="0"/>
      <w:divBdr>
        <w:top w:val="none" w:sz="0" w:space="0" w:color="auto"/>
        <w:left w:val="none" w:sz="0" w:space="0" w:color="auto"/>
        <w:bottom w:val="none" w:sz="0" w:space="0" w:color="auto"/>
        <w:right w:val="none" w:sz="0" w:space="0" w:color="auto"/>
      </w:divBdr>
    </w:div>
    <w:div w:id="499389324">
      <w:bodyDiv w:val="1"/>
      <w:marLeft w:val="0"/>
      <w:marRight w:val="0"/>
      <w:marTop w:val="0"/>
      <w:marBottom w:val="0"/>
      <w:divBdr>
        <w:top w:val="none" w:sz="0" w:space="0" w:color="auto"/>
        <w:left w:val="none" w:sz="0" w:space="0" w:color="auto"/>
        <w:bottom w:val="none" w:sz="0" w:space="0" w:color="auto"/>
        <w:right w:val="none" w:sz="0" w:space="0" w:color="auto"/>
      </w:divBdr>
    </w:div>
    <w:div w:id="549532462">
      <w:bodyDiv w:val="1"/>
      <w:marLeft w:val="0"/>
      <w:marRight w:val="0"/>
      <w:marTop w:val="0"/>
      <w:marBottom w:val="0"/>
      <w:divBdr>
        <w:top w:val="none" w:sz="0" w:space="0" w:color="auto"/>
        <w:left w:val="none" w:sz="0" w:space="0" w:color="auto"/>
        <w:bottom w:val="none" w:sz="0" w:space="0" w:color="auto"/>
        <w:right w:val="none" w:sz="0" w:space="0" w:color="auto"/>
      </w:divBdr>
    </w:div>
    <w:div w:id="695080364">
      <w:bodyDiv w:val="1"/>
      <w:marLeft w:val="0"/>
      <w:marRight w:val="0"/>
      <w:marTop w:val="0"/>
      <w:marBottom w:val="0"/>
      <w:divBdr>
        <w:top w:val="none" w:sz="0" w:space="0" w:color="auto"/>
        <w:left w:val="none" w:sz="0" w:space="0" w:color="auto"/>
        <w:bottom w:val="none" w:sz="0" w:space="0" w:color="auto"/>
        <w:right w:val="none" w:sz="0" w:space="0" w:color="auto"/>
      </w:divBdr>
    </w:div>
    <w:div w:id="703675668">
      <w:bodyDiv w:val="1"/>
      <w:marLeft w:val="0"/>
      <w:marRight w:val="0"/>
      <w:marTop w:val="0"/>
      <w:marBottom w:val="0"/>
      <w:divBdr>
        <w:top w:val="none" w:sz="0" w:space="0" w:color="auto"/>
        <w:left w:val="none" w:sz="0" w:space="0" w:color="auto"/>
        <w:bottom w:val="none" w:sz="0" w:space="0" w:color="auto"/>
        <w:right w:val="none" w:sz="0" w:space="0" w:color="auto"/>
      </w:divBdr>
    </w:div>
    <w:div w:id="732585223">
      <w:bodyDiv w:val="1"/>
      <w:marLeft w:val="0"/>
      <w:marRight w:val="0"/>
      <w:marTop w:val="0"/>
      <w:marBottom w:val="0"/>
      <w:divBdr>
        <w:top w:val="none" w:sz="0" w:space="0" w:color="auto"/>
        <w:left w:val="none" w:sz="0" w:space="0" w:color="auto"/>
        <w:bottom w:val="none" w:sz="0" w:space="0" w:color="auto"/>
        <w:right w:val="none" w:sz="0" w:space="0" w:color="auto"/>
      </w:divBdr>
    </w:div>
    <w:div w:id="741297271">
      <w:bodyDiv w:val="1"/>
      <w:marLeft w:val="0"/>
      <w:marRight w:val="0"/>
      <w:marTop w:val="0"/>
      <w:marBottom w:val="0"/>
      <w:divBdr>
        <w:top w:val="none" w:sz="0" w:space="0" w:color="auto"/>
        <w:left w:val="none" w:sz="0" w:space="0" w:color="auto"/>
        <w:bottom w:val="none" w:sz="0" w:space="0" w:color="auto"/>
        <w:right w:val="none" w:sz="0" w:space="0" w:color="auto"/>
      </w:divBdr>
    </w:div>
    <w:div w:id="765688577">
      <w:bodyDiv w:val="1"/>
      <w:marLeft w:val="0"/>
      <w:marRight w:val="0"/>
      <w:marTop w:val="0"/>
      <w:marBottom w:val="0"/>
      <w:divBdr>
        <w:top w:val="none" w:sz="0" w:space="0" w:color="auto"/>
        <w:left w:val="none" w:sz="0" w:space="0" w:color="auto"/>
        <w:bottom w:val="none" w:sz="0" w:space="0" w:color="auto"/>
        <w:right w:val="none" w:sz="0" w:space="0" w:color="auto"/>
      </w:divBdr>
    </w:div>
    <w:div w:id="830802491">
      <w:bodyDiv w:val="1"/>
      <w:marLeft w:val="0"/>
      <w:marRight w:val="0"/>
      <w:marTop w:val="0"/>
      <w:marBottom w:val="0"/>
      <w:divBdr>
        <w:top w:val="none" w:sz="0" w:space="0" w:color="auto"/>
        <w:left w:val="none" w:sz="0" w:space="0" w:color="auto"/>
        <w:bottom w:val="none" w:sz="0" w:space="0" w:color="auto"/>
        <w:right w:val="none" w:sz="0" w:space="0" w:color="auto"/>
      </w:divBdr>
    </w:div>
    <w:div w:id="897789504">
      <w:bodyDiv w:val="1"/>
      <w:marLeft w:val="0"/>
      <w:marRight w:val="0"/>
      <w:marTop w:val="0"/>
      <w:marBottom w:val="0"/>
      <w:divBdr>
        <w:top w:val="none" w:sz="0" w:space="0" w:color="auto"/>
        <w:left w:val="none" w:sz="0" w:space="0" w:color="auto"/>
        <w:bottom w:val="none" w:sz="0" w:space="0" w:color="auto"/>
        <w:right w:val="none" w:sz="0" w:space="0" w:color="auto"/>
      </w:divBdr>
    </w:div>
    <w:div w:id="901141001">
      <w:bodyDiv w:val="1"/>
      <w:marLeft w:val="0"/>
      <w:marRight w:val="0"/>
      <w:marTop w:val="0"/>
      <w:marBottom w:val="0"/>
      <w:divBdr>
        <w:top w:val="none" w:sz="0" w:space="0" w:color="auto"/>
        <w:left w:val="none" w:sz="0" w:space="0" w:color="auto"/>
        <w:bottom w:val="none" w:sz="0" w:space="0" w:color="auto"/>
        <w:right w:val="none" w:sz="0" w:space="0" w:color="auto"/>
      </w:divBdr>
    </w:div>
    <w:div w:id="915281487">
      <w:bodyDiv w:val="1"/>
      <w:marLeft w:val="0"/>
      <w:marRight w:val="0"/>
      <w:marTop w:val="0"/>
      <w:marBottom w:val="0"/>
      <w:divBdr>
        <w:top w:val="none" w:sz="0" w:space="0" w:color="auto"/>
        <w:left w:val="none" w:sz="0" w:space="0" w:color="auto"/>
        <w:bottom w:val="none" w:sz="0" w:space="0" w:color="auto"/>
        <w:right w:val="none" w:sz="0" w:space="0" w:color="auto"/>
      </w:divBdr>
    </w:div>
    <w:div w:id="929701515">
      <w:bodyDiv w:val="1"/>
      <w:marLeft w:val="0"/>
      <w:marRight w:val="0"/>
      <w:marTop w:val="0"/>
      <w:marBottom w:val="0"/>
      <w:divBdr>
        <w:top w:val="none" w:sz="0" w:space="0" w:color="auto"/>
        <w:left w:val="none" w:sz="0" w:space="0" w:color="auto"/>
        <w:bottom w:val="none" w:sz="0" w:space="0" w:color="auto"/>
        <w:right w:val="none" w:sz="0" w:space="0" w:color="auto"/>
      </w:divBdr>
    </w:div>
    <w:div w:id="942883784">
      <w:bodyDiv w:val="1"/>
      <w:marLeft w:val="0"/>
      <w:marRight w:val="0"/>
      <w:marTop w:val="0"/>
      <w:marBottom w:val="0"/>
      <w:divBdr>
        <w:top w:val="none" w:sz="0" w:space="0" w:color="auto"/>
        <w:left w:val="none" w:sz="0" w:space="0" w:color="auto"/>
        <w:bottom w:val="none" w:sz="0" w:space="0" w:color="auto"/>
        <w:right w:val="none" w:sz="0" w:space="0" w:color="auto"/>
      </w:divBdr>
    </w:div>
    <w:div w:id="993946624">
      <w:bodyDiv w:val="1"/>
      <w:marLeft w:val="0"/>
      <w:marRight w:val="0"/>
      <w:marTop w:val="0"/>
      <w:marBottom w:val="0"/>
      <w:divBdr>
        <w:top w:val="none" w:sz="0" w:space="0" w:color="auto"/>
        <w:left w:val="none" w:sz="0" w:space="0" w:color="auto"/>
        <w:bottom w:val="none" w:sz="0" w:space="0" w:color="auto"/>
        <w:right w:val="none" w:sz="0" w:space="0" w:color="auto"/>
      </w:divBdr>
    </w:div>
    <w:div w:id="997804779">
      <w:bodyDiv w:val="1"/>
      <w:marLeft w:val="0"/>
      <w:marRight w:val="0"/>
      <w:marTop w:val="0"/>
      <w:marBottom w:val="0"/>
      <w:divBdr>
        <w:top w:val="none" w:sz="0" w:space="0" w:color="auto"/>
        <w:left w:val="none" w:sz="0" w:space="0" w:color="auto"/>
        <w:bottom w:val="none" w:sz="0" w:space="0" w:color="auto"/>
        <w:right w:val="none" w:sz="0" w:space="0" w:color="auto"/>
      </w:divBdr>
    </w:div>
    <w:div w:id="1046946898">
      <w:bodyDiv w:val="1"/>
      <w:marLeft w:val="0"/>
      <w:marRight w:val="0"/>
      <w:marTop w:val="0"/>
      <w:marBottom w:val="0"/>
      <w:divBdr>
        <w:top w:val="none" w:sz="0" w:space="0" w:color="auto"/>
        <w:left w:val="none" w:sz="0" w:space="0" w:color="auto"/>
        <w:bottom w:val="none" w:sz="0" w:space="0" w:color="auto"/>
        <w:right w:val="none" w:sz="0" w:space="0" w:color="auto"/>
      </w:divBdr>
    </w:div>
    <w:div w:id="1073550753">
      <w:bodyDiv w:val="1"/>
      <w:marLeft w:val="0"/>
      <w:marRight w:val="0"/>
      <w:marTop w:val="0"/>
      <w:marBottom w:val="0"/>
      <w:divBdr>
        <w:top w:val="none" w:sz="0" w:space="0" w:color="auto"/>
        <w:left w:val="none" w:sz="0" w:space="0" w:color="auto"/>
        <w:bottom w:val="none" w:sz="0" w:space="0" w:color="auto"/>
        <w:right w:val="none" w:sz="0" w:space="0" w:color="auto"/>
      </w:divBdr>
    </w:div>
    <w:div w:id="1210528119">
      <w:bodyDiv w:val="1"/>
      <w:marLeft w:val="0"/>
      <w:marRight w:val="0"/>
      <w:marTop w:val="0"/>
      <w:marBottom w:val="0"/>
      <w:divBdr>
        <w:top w:val="none" w:sz="0" w:space="0" w:color="auto"/>
        <w:left w:val="none" w:sz="0" w:space="0" w:color="auto"/>
        <w:bottom w:val="none" w:sz="0" w:space="0" w:color="auto"/>
        <w:right w:val="none" w:sz="0" w:space="0" w:color="auto"/>
      </w:divBdr>
    </w:div>
    <w:div w:id="1255557513">
      <w:bodyDiv w:val="1"/>
      <w:marLeft w:val="0"/>
      <w:marRight w:val="0"/>
      <w:marTop w:val="0"/>
      <w:marBottom w:val="0"/>
      <w:divBdr>
        <w:top w:val="none" w:sz="0" w:space="0" w:color="auto"/>
        <w:left w:val="none" w:sz="0" w:space="0" w:color="auto"/>
        <w:bottom w:val="none" w:sz="0" w:space="0" w:color="auto"/>
        <w:right w:val="none" w:sz="0" w:space="0" w:color="auto"/>
      </w:divBdr>
    </w:div>
    <w:div w:id="1278415903">
      <w:bodyDiv w:val="1"/>
      <w:marLeft w:val="0"/>
      <w:marRight w:val="0"/>
      <w:marTop w:val="0"/>
      <w:marBottom w:val="0"/>
      <w:divBdr>
        <w:top w:val="none" w:sz="0" w:space="0" w:color="auto"/>
        <w:left w:val="none" w:sz="0" w:space="0" w:color="auto"/>
        <w:bottom w:val="none" w:sz="0" w:space="0" w:color="auto"/>
        <w:right w:val="none" w:sz="0" w:space="0" w:color="auto"/>
      </w:divBdr>
    </w:div>
    <w:div w:id="1284844886">
      <w:bodyDiv w:val="1"/>
      <w:marLeft w:val="0"/>
      <w:marRight w:val="0"/>
      <w:marTop w:val="0"/>
      <w:marBottom w:val="0"/>
      <w:divBdr>
        <w:top w:val="none" w:sz="0" w:space="0" w:color="auto"/>
        <w:left w:val="none" w:sz="0" w:space="0" w:color="auto"/>
        <w:bottom w:val="none" w:sz="0" w:space="0" w:color="auto"/>
        <w:right w:val="none" w:sz="0" w:space="0" w:color="auto"/>
      </w:divBdr>
    </w:div>
    <w:div w:id="1371224071">
      <w:bodyDiv w:val="1"/>
      <w:marLeft w:val="0"/>
      <w:marRight w:val="0"/>
      <w:marTop w:val="0"/>
      <w:marBottom w:val="0"/>
      <w:divBdr>
        <w:top w:val="none" w:sz="0" w:space="0" w:color="auto"/>
        <w:left w:val="none" w:sz="0" w:space="0" w:color="auto"/>
        <w:bottom w:val="none" w:sz="0" w:space="0" w:color="auto"/>
        <w:right w:val="none" w:sz="0" w:space="0" w:color="auto"/>
      </w:divBdr>
    </w:div>
    <w:div w:id="1402363522">
      <w:bodyDiv w:val="1"/>
      <w:marLeft w:val="0"/>
      <w:marRight w:val="0"/>
      <w:marTop w:val="0"/>
      <w:marBottom w:val="0"/>
      <w:divBdr>
        <w:top w:val="none" w:sz="0" w:space="0" w:color="auto"/>
        <w:left w:val="none" w:sz="0" w:space="0" w:color="auto"/>
        <w:bottom w:val="none" w:sz="0" w:space="0" w:color="auto"/>
        <w:right w:val="none" w:sz="0" w:space="0" w:color="auto"/>
      </w:divBdr>
    </w:div>
    <w:div w:id="1408454420">
      <w:bodyDiv w:val="1"/>
      <w:marLeft w:val="0"/>
      <w:marRight w:val="0"/>
      <w:marTop w:val="0"/>
      <w:marBottom w:val="0"/>
      <w:divBdr>
        <w:top w:val="none" w:sz="0" w:space="0" w:color="auto"/>
        <w:left w:val="none" w:sz="0" w:space="0" w:color="auto"/>
        <w:bottom w:val="none" w:sz="0" w:space="0" w:color="auto"/>
        <w:right w:val="none" w:sz="0" w:space="0" w:color="auto"/>
      </w:divBdr>
    </w:div>
    <w:div w:id="1563365374">
      <w:bodyDiv w:val="1"/>
      <w:marLeft w:val="0"/>
      <w:marRight w:val="0"/>
      <w:marTop w:val="0"/>
      <w:marBottom w:val="0"/>
      <w:divBdr>
        <w:top w:val="none" w:sz="0" w:space="0" w:color="auto"/>
        <w:left w:val="none" w:sz="0" w:space="0" w:color="auto"/>
        <w:bottom w:val="none" w:sz="0" w:space="0" w:color="auto"/>
        <w:right w:val="none" w:sz="0" w:space="0" w:color="auto"/>
      </w:divBdr>
    </w:div>
    <w:div w:id="1619679113">
      <w:bodyDiv w:val="1"/>
      <w:marLeft w:val="0"/>
      <w:marRight w:val="0"/>
      <w:marTop w:val="0"/>
      <w:marBottom w:val="0"/>
      <w:divBdr>
        <w:top w:val="none" w:sz="0" w:space="0" w:color="auto"/>
        <w:left w:val="none" w:sz="0" w:space="0" w:color="auto"/>
        <w:bottom w:val="none" w:sz="0" w:space="0" w:color="auto"/>
        <w:right w:val="none" w:sz="0" w:space="0" w:color="auto"/>
      </w:divBdr>
    </w:div>
    <w:div w:id="1632243503">
      <w:bodyDiv w:val="1"/>
      <w:marLeft w:val="0"/>
      <w:marRight w:val="0"/>
      <w:marTop w:val="0"/>
      <w:marBottom w:val="0"/>
      <w:divBdr>
        <w:top w:val="none" w:sz="0" w:space="0" w:color="auto"/>
        <w:left w:val="none" w:sz="0" w:space="0" w:color="auto"/>
        <w:bottom w:val="none" w:sz="0" w:space="0" w:color="auto"/>
        <w:right w:val="none" w:sz="0" w:space="0" w:color="auto"/>
      </w:divBdr>
    </w:div>
    <w:div w:id="1644851775">
      <w:bodyDiv w:val="1"/>
      <w:marLeft w:val="0"/>
      <w:marRight w:val="0"/>
      <w:marTop w:val="0"/>
      <w:marBottom w:val="0"/>
      <w:divBdr>
        <w:top w:val="none" w:sz="0" w:space="0" w:color="auto"/>
        <w:left w:val="none" w:sz="0" w:space="0" w:color="auto"/>
        <w:bottom w:val="none" w:sz="0" w:space="0" w:color="auto"/>
        <w:right w:val="none" w:sz="0" w:space="0" w:color="auto"/>
      </w:divBdr>
    </w:div>
    <w:div w:id="1694576111">
      <w:bodyDiv w:val="1"/>
      <w:marLeft w:val="0"/>
      <w:marRight w:val="0"/>
      <w:marTop w:val="0"/>
      <w:marBottom w:val="0"/>
      <w:divBdr>
        <w:top w:val="none" w:sz="0" w:space="0" w:color="auto"/>
        <w:left w:val="none" w:sz="0" w:space="0" w:color="auto"/>
        <w:bottom w:val="none" w:sz="0" w:space="0" w:color="auto"/>
        <w:right w:val="none" w:sz="0" w:space="0" w:color="auto"/>
      </w:divBdr>
    </w:div>
    <w:div w:id="1752655541">
      <w:bodyDiv w:val="1"/>
      <w:marLeft w:val="0"/>
      <w:marRight w:val="0"/>
      <w:marTop w:val="0"/>
      <w:marBottom w:val="0"/>
      <w:divBdr>
        <w:top w:val="none" w:sz="0" w:space="0" w:color="auto"/>
        <w:left w:val="none" w:sz="0" w:space="0" w:color="auto"/>
        <w:bottom w:val="none" w:sz="0" w:space="0" w:color="auto"/>
        <w:right w:val="none" w:sz="0" w:space="0" w:color="auto"/>
      </w:divBdr>
    </w:div>
    <w:div w:id="1806312314">
      <w:bodyDiv w:val="1"/>
      <w:marLeft w:val="0"/>
      <w:marRight w:val="0"/>
      <w:marTop w:val="0"/>
      <w:marBottom w:val="0"/>
      <w:divBdr>
        <w:top w:val="none" w:sz="0" w:space="0" w:color="auto"/>
        <w:left w:val="none" w:sz="0" w:space="0" w:color="auto"/>
        <w:bottom w:val="none" w:sz="0" w:space="0" w:color="auto"/>
        <w:right w:val="none" w:sz="0" w:space="0" w:color="auto"/>
      </w:divBdr>
    </w:div>
    <w:div w:id="1806774910">
      <w:bodyDiv w:val="1"/>
      <w:marLeft w:val="0"/>
      <w:marRight w:val="0"/>
      <w:marTop w:val="0"/>
      <w:marBottom w:val="0"/>
      <w:divBdr>
        <w:top w:val="none" w:sz="0" w:space="0" w:color="auto"/>
        <w:left w:val="none" w:sz="0" w:space="0" w:color="auto"/>
        <w:bottom w:val="none" w:sz="0" w:space="0" w:color="auto"/>
        <w:right w:val="none" w:sz="0" w:space="0" w:color="auto"/>
      </w:divBdr>
    </w:div>
    <w:div w:id="1890258882">
      <w:bodyDiv w:val="1"/>
      <w:marLeft w:val="0"/>
      <w:marRight w:val="0"/>
      <w:marTop w:val="0"/>
      <w:marBottom w:val="0"/>
      <w:divBdr>
        <w:top w:val="none" w:sz="0" w:space="0" w:color="auto"/>
        <w:left w:val="none" w:sz="0" w:space="0" w:color="auto"/>
        <w:bottom w:val="none" w:sz="0" w:space="0" w:color="auto"/>
        <w:right w:val="none" w:sz="0" w:space="0" w:color="auto"/>
      </w:divBdr>
    </w:div>
    <w:div w:id="1900435628">
      <w:bodyDiv w:val="1"/>
      <w:marLeft w:val="0"/>
      <w:marRight w:val="0"/>
      <w:marTop w:val="0"/>
      <w:marBottom w:val="0"/>
      <w:divBdr>
        <w:top w:val="none" w:sz="0" w:space="0" w:color="auto"/>
        <w:left w:val="none" w:sz="0" w:space="0" w:color="auto"/>
        <w:bottom w:val="none" w:sz="0" w:space="0" w:color="auto"/>
        <w:right w:val="none" w:sz="0" w:space="0" w:color="auto"/>
      </w:divBdr>
    </w:div>
    <w:div w:id="1965843751">
      <w:bodyDiv w:val="1"/>
      <w:marLeft w:val="0"/>
      <w:marRight w:val="0"/>
      <w:marTop w:val="0"/>
      <w:marBottom w:val="0"/>
      <w:divBdr>
        <w:top w:val="none" w:sz="0" w:space="0" w:color="auto"/>
        <w:left w:val="none" w:sz="0" w:space="0" w:color="auto"/>
        <w:bottom w:val="none" w:sz="0" w:space="0" w:color="auto"/>
        <w:right w:val="none" w:sz="0" w:space="0" w:color="auto"/>
      </w:divBdr>
    </w:div>
    <w:div w:id="1966882272">
      <w:bodyDiv w:val="1"/>
      <w:marLeft w:val="0"/>
      <w:marRight w:val="0"/>
      <w:marTop w:val="0"/>
      <w:marBottom w:val="0"/>
      <w:divBdr>
        <w:top w:val="none" w:sz="0" w:space="0" w:color="auto"/>
        <w:left w:val="none" w:sz="0" w:space="0" w:color="auto"/>
        <w:bottom w:val="none" w:sz="0" w:space="0" w:color="auto"/>
        <w:right w:val="none" w:sz="0" w:space="0" w:color="auto"/>
      </w:divBdr>
    </w:div>
    <w:div w:id="2076009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Vor</b:Tag>
    <b:SourceType>DocumentFromInternetSite</b:SourceType>
    <b:Guid>{0FC561BF-7FA5-034F-89AD-18A93C6C4D5B}</b:Guid>
    <b:Author>
      <b:Author>
        <b:NameList>
          <b:Person>
            <b:Last>Voronkov</b:Last>
            <b:First>Andrei</b:First>
          </b:Person>
          <b:Person>
            <b:Last>Hoder</b:Last>
            <b:First>Kryštof</b:First>
          </b:Person>
        </b:NameList>
      </b:Author>
    </b:Author>
    <b:Title>Templates</b:Title>
    <b:InternetSiteTitle>Templates for proceedings</b:InternetSiteTitle>
    <b:URL>https://easychair.org/proceedings/template.cgi?a=12732737</b:URL>
    <b:ProductionCompany>EasyChair</b:ProductionCompany>
    <b:RefOrder>1</b:RefOrder>
  </b:Source>
  <b:Source>
    <b:Tag>Vor04</b:Tag>
    <b:SourceType>InternetSite</b:SourceType>
    <b:Guid>{6451F832-63DB-6B4F-AD45-312BD2F4431C}</b:Guid>
    <b:Author>
      <b:Author>
        <b:NameList>
          <b:Person>
            <b:Last>Voronkov</b:Last>
            <b:First>Andrei</b:First>
          </b:Person>
        </b:NameList>
      </b:Author>
    </b:Author>
    <b:Title>EasyChair conference system</b:Title>
    <b:Year>2004</b:Year>
    <b:URL>easychair.org</b:URL>
    <b:RefOrder>2</b:RefOrder>
  </b:Source>
  <b:Source>
    <b:Tag>Car10</b:Tag>
    <b:SourceType>InternetSite</b:SourceType>
    <b:Guid>{A5C27398-4134-F94E-8A42-B70FA523F871}</b:Guid>
    <b:Author>
      <b:Author>
        <b:NameList>
          <b:Person>
            <b:Last>Carlisle</b:Last>
            <b:First>David</b:First>
          </b:Person>
        </b:NameList>
      </b:Author>
    </b:Author>
    <b:Title>graphicx: Enhanced support for graphics.</b:Title>
    <b:URL>http://www.ctan.org/tex-archive/ help/Catalogue/entries/graphicx.html</b:URL>
    <b:Year>2010</b:Year>
    <b:Month>April</b:Month>
    <b:RefOrder>3</b:RefOrder>
  </b:Source>
  <b:Source>
    <b:Tag>Eas</b:Tag>
    <b:SourceType>DocumentFromInternetSite</b:SourceType>
    <b:Guid>{3ACE5507-6A37-BA43-83F5-6DBCC6CBEAB7}</b:Guid>
    <b:Title>EasyChair</b:Title>
    <b:InternetSiteTitle>Wikipedia</b:InternetSiteTitle>
    <b:URL>https://en.wikipedia.org/wiki/EasyChair</b:URL>
    <b:Author>
      <b:Author>
        <b:Corporate>Wikipedia</b:Corporate>
      </b:Author>
    </b:Author>
    <b:RefOrder>4</b:RefOrder>
  </b:Source>
  <b:Source>
    <b:Tag>ACM</b:Tag>
    <b:SourceType>BookSection</b:SourceType>
    <b:Guid>{5333E85E-8160-8048-B726-090B5E5F21A5}</b:Guid>
    <b:Author>
      <b:Author>
        <b:NameList>
          <b:Person>
            <b:Last>Voronkov</b:Last>
            <b:First>Andrei</b:First>
          </b:Person>
        </b:NameList>
      </b:Author>
    </b:Author>
    <b:URL>http://dl.acm.org/citation.cfm?id=2643085&amp;dl=ACM&amp;coll=DL</b:URL>
    <b:Year>2014</b:Year>
    <b:Title>Keynote talk: EasyChair</b:Title>
    <b:BookTitle>Proceeedings of the 29th ACM/IEEE International Conference on Automated Software Engineering</b:BookTitle>
    <b:Publisher>ACM</b:Publisher>
    <b:Pages>3-4</b:Pages>
    <b:RefOrder>5</b:RefOrder>
  </b:Source>
</b:Sources>
</file>

<file path=customXml/itemProps1.xml><?xml version="1.0" encoding="utf-8"?>
<ds:datastoreItem xmlns:ds="http://schemas.openxmlformats.org/officeDocument/2006/customXml" ds:itemID="{7D50BF47-B5A4-45C4-9B3B-3F045BC8E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2335</Words>
  <Characters>13315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2012-05-17T10:36:00Z</cp:lastPrinted>
  <dcterms:created xsi:type="dcterms:W3CDTF">2020-11-28T15:46:00Z</dcterms:created>
  <dcterms:modified xsi:type="dcterms:W3CDTF">2020-12-01T14:43:00Z</dcterms:modified>
</cp:coreProperties>
</file>