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A9D96" w14:textId="4BE89F66" w:rsidR="009A0487" w:rsidRPr="0016793F" w:rsidRDefault="00B110FD">
      <w:pPr>
        <w:pStyle w:val="Title"/>
      </w:pPr>
      <w:r w:rsidRPr="0016793F">
        <w:rPr>
          <w:rFonts w:ascii="Times New Roman" w:hAnsi="Times New Roman"/>
          <w:bCs/>
          <w:shd w:val="clear" w:color="auto" w:fill="FFFFFF"/>
        </w:rPr>
        <w:t>Physics undergraduate students' perceptions of online learning during the transition period to the new normal era</w:t>
      </w:r>
    </w:p>
    <w:p w14:paraId="44CC4C3F" w14:textId="6CC89430" w:rsidR="009A0487" w:rsidRPr="0016793F" w:rsidRDefault="00B110FD">
      <w:pPr>
        <w:pStyle w:val="Authors"/>
      </w:pPr>
      <w:r w:rsidRPr="0016793F">
        <w:rPr>
          <w:rFonts w:cs="Times"/>
          <w:spacing w:val="4"/>
        </w:rPr>
        <w:t>E Surahman</w:t>
      </w:r>
      <w:r w:rsidRPr="0016793F">
        <w:rPr>
          <w:rFonts w:cs="Times"/>
          <w:spacing w:val="4"/>
          <w:vertAlign w:val="superscript"/>
        </w:rPr>
        <w:t>1</w:t>
      </w:r>
      <w:r w:rsidRPr="0016793F">
        <w:rPr>
          <w:rFonts w:cs="Times"/>
          <w:spacing w:val="4"/>
        </w:rPr>
        <w:t xml:space="preserve"> and E Sujarwanto*</w:t>
      </w:r>
      <w:r w:rsidRPr="0016793F">
        <w:rPr>
          <w:rStyle w:val="FootnoteCharacters"/>
          <w:rFonts w:cs="Times"/>
          <w:spacing w:val="4"/>
          <w:lang w:val="en-US"/>
        </w:rPr>
        <w:t>1</w:t>
      </w:r>
    </w:p>
    <w:p w14:paraId="6C95F509" w14:textId="1FEB3810" w:rsidR="009A0487" w:rsidRPr="0016793F" w:rsidRDefault="00B110FD" w:rsidP="00006EA6">
      <w:pPr>
        <w:pStyle w:val="Addresses"/>
        <w:spacing w:after="0"/>
        <w:rPr>
          <w:sz w:val="24"/>
          <w:szCs w:val="24"/>
        </w:rPr>
      </w:pPr>
      <w:r w:rsidRPr="0016793F">
        <w:rPr>
          <w:rFonts w:cs="Times"/>
          <w:vertAlign w:val="superscript"/>
        </w:rPr>
        <w:t>1</w:t>
      </w:r>
      <w:r w:rsidRPr="0016793F">
        <w:rPr>
          <w:rFonts w:cs="Times"/>
        </w:rPr>
        <w:t>Physics Education, Siliwangi University, Tasikmalaya, Indonesia.</w:t>
      </w:r>
    </w:p>
    <w:p w14:paraId="4FE6468A" w14:textId="77777777" w:rsidR="00006EA6" w:rsidRPr="0016793F" w:rsidRDefault="00006EA6">
      <w:pPr>
        <w:pStyle w:val="E-mail"/>
      </w:pPr>
    </w:p>
    <w:p w14:paraId="502D081B" w14:textId="3DE0A8B3" w:rsidR="009A0487" w:rsidRPr="0016793F" w:rsidRDefault="00B110FD">
      <w:pPr>
        <w:pStyle w:val="E-mail"/>
      </w:pPr>
      <w:r w:rsidRPr="0016793F">
        <w:t>*corresponding author: eko.sujarwanto@unsil.ac.id</w:t>
      </w:r>
    </w:p>
    <w:p w14:paraId="6A9CC3D4" w14:textId="52150E32" w:rsidR="009A0487" w:rsidRPr="0016793F" w:rsidRDefault="00B110FD">
      <w:pPr>
        <w:pStyle w:val="Abstract"/>
        <w:rPr>
          <w:color w:val="auto"/>
        </w:rPr>
      </w:pPr>
      <w:r w:rsidRPr="0016793F">
        <w:rPr>
          <w:b/>
          <w:color w:val="auto"/>
        </w:rPr>
        <w:t>Abstract</w:t>
      </w:r>
      <w:r w:rsidRPr="0016793F">
        <w:rPr>
          <w:color w:val="auto"/>
        </w:rPr>
        <w:t xml:space="preserve">. </w:t>
      </w:r>
      <w:r w:rsidR="007E4F54" w:rsidRPr="00A01A91">
        <w:rPr>
          <w:rFonts w:ascii="Times New Roman" w:hAnsi="Times New Roman"/>
          <w:color w:val="auto"/>
          <w:shd w:val="clear" w:color="auto" w:fill="FFFFFF"/>
        </w:rPr>
        <w:t>The Covid-19 pandemic forced the Indonesian government to release learning from home</w:t>
      </w:r>
      <w:r w:rsidR="007E4F54" w:rsidRPr="00A01A91">
        <w:rPr>
          <w:rFonts w:ascii="Times New Roman" w:hAnsi="Times New Roman"/>
          <w:color w:val="auto"/>
          <w:shd w:val="clear" w:color="auto" w:fill="FFFFFF"/>
          <w:lang w:val="en-US"/>
        </w:rPr>
        <w:t xml:space="preserve"> policy</w:t>
      </w:r>
      <w:r w:rsidR="007E4F54" w:rsidRPr="00A01A91">
        <w:rPr>
          <w:rFonts w:ascii="Times New Roman" w:hAnsi="Times New Roman"/>
          <w:color w:val="auto"/>
          <w:shd w:val="clear" w:color="auto" w:fill="FFFFFF"/>
        </w:rPr>
        <w:t>. This policy also applies to the Physics Education of Siliwangi University. This study aims to know undergraduate students' perceptions of online learning during the transition period from face-to-face learning to online learning</w:t>
      </w:r>
      <w:r w:rsidR="00B77420">
        <w:rPr>
          <w:rFonts w:ascii="Times New Roman" w:hAnsi="Times New Roman"/>
          <w:color w:val="auto"/>
          <w:shd w:val="clear" w:color="auto" w:fill="FFFFFF"/>
        </w:rPr>
        <w:t xml:space="preserve"> in Physics context</w:t>
      </w:r>
      <w:r w:rsidR="007E4F54" w:rsidRPr="00A01A91">
        <w:rPr>
          <w:rFonts w:ascii="Times New Roman" w:hAnsi="Times New Roman"/>
          <w:color w:val="auto"/>
          <w:shd w:val="clear" w:color="auto" w:fill="FFFFFF"/>
        </w:rPr>
        <w:t xml:space="preserve">. Undergraduate students' perceptions of online learning are seen from aspects of access to technology, technology for learning, online learning readiness, and attitude towards digital technology literacy. The data is collected by an online survey method. This research shows that most undergraduate students have sufficient facilities </w:t>
      </w:r>
      <w:r w:rsidR="007E4F54" w:rsidRPr="00A01A91">
        <w:rPr>
          <w:rFonts w:ascii="Times New Roman" w:hAnsi="Times New Roman"/>
          <w:color w:val="auto"/>
          <w:shd w:val="clear" w:color="auto" w:fill="FFFFFF"/>
          <w:lang w:val="en-US"/>
        </w:rPr>
        <w:t>for online learning</w:t>
      </w:r>
      <w:r w:rsidR="007E4F54" w:rsidRPr="00A01A91">
        <w:rPr>
          <w:rFonts w:ascii="Times New Roman" w:hAnsi="Times New Roman"/>
          <w:color w:val="auto"/>
          <w:shd w:val="clear" w:color="auto" w:fill="FFFFFF"/>
        </w:rPr>
        <w:t xml:space="preserve"> and have a positive attitude towards digital technology literacy. Another finding from the study is that the majority of </w:t>
      </w:r>
      <w:r w:rsidR="007E4F54" w:rsidRPr="00A01A91">
        <w:rPr>
          <w:rFonts w:ascii="Times New Roman" w:hAnsi="Times New Roman"/>
          <w:color w:val="auto"/>
          <w:spacing w:val="4"/>
        </w:rPr>
        <w:t xml:space="preserve">undergraduate </w:t>
      </w:r>
      <w:r w:rsidR="007E4F54" w:rsidRPr="00A01A91">
        <w:rPr>
          <w:rFonts w:ascii="Times New Roman" w:hAnsi="Times New Roman"/>
          <w:color w:val="auto"/>
          <w:shd w:val="clear" w:color="auto" w:fill="FFFFFF"/>
        </w:rPr>
        <w:t>students have difficulty accessing the fast internet (83.87%)</w:t>
      </w:r>
      <w:r w:rsidR="00CD4CAF" w:rsidRPr="00A01A91">
        <w:rPr>
          <w:rFonts w:ascii="Times New Roman" w:hAnsi="Times New Roman"/>
          <w:color w:val="auto"/>
          <w:shd w:val="clear" w:color="auto" w:fill="FFFFFF"/>
        </w:rPr>
        <w:t>.</w:t>
      </w:r>
      <w:r w:rsidR="007E4F54" w:rsidRPr="00A01A91">
        <w:rPr>
          <w:rFonts w:ascii="Times New Roman" w:hAnsi="Times New Roman"/>
          <w:color w:val="auto"/>
          <w:shd w:val="clear" w:color="auto" w:fill="FFFFFF"/>
        </w:rPr>
        <w:t xml:space="preserve"> </w:t>
      </w:r>
      <w:r w:rsidR="00CD4CAF" w:rsidRPr="00A01A91">
        <w:rPr>
          <w:rFonts w:ascii="Times New Roman" w:hAnsi="Times New Roman"/>
          <w:color w:val="auto"/>
          <w:shd w:val="clear" w:color="auto" w:fill="FFFFFF"/>
        </w:rPr>
        <w:t>Undergraduate students</w:t>
      </w:r>
      <w:r w:rsidR="007E4F54" w:rsidRPr="00A01A91">
        <w:rPr>
          <w:rFonts w:ascii="Times New Roman" w:hAnsi="Times New Roman"/>
          <w:color w:val="auto"/>
          <w:shd w:val="clear" w:color="auto" w:fill="FFFFFF"/>
        </w:rPr>
        <w:t xml:space="preserve"> like a combination of online media learning and offline media learning (90</w:t>
      </w:r>
      <w:r w:rsidR="00C37F00" w:rsidRPr="00A01A91">
        <w:rPr>
          <w:rFonts w:ascii="Times New Roman" w:hAnsi="Times New Roman"/>
          <w:color w:val="auto"/>
          <w:shd w:val="clear" w:color="auto" w:fill="FFFFFF"/>
        </w:rPr>
        <w:t>.</w:t>
      </w:r>
      <w:r w:rsidR="007E4F54" w:rsidRPr="00A01A91">
        <w:rPr>
          <w:rFonts w:ascii="Times New Roman" w:hAnsi="Times New Roman"/>
          <w:color w:val="auto"/>
          <w:shd w:val="clear" w:color="auto" w:fill="FFFFFF"/>
        </w:rPr>
        <w:t>32%), but they do not like full online learning (98</w:t>
      </w:r>
      <w:r w:rsidR="00C37F00" w:rsidRPr="00A01A91">
        <w:rPr>
          <w:rFonts w:ascii="Times New Roman" w:hAnsi="Times New Roman"/>
          <w:color w:val="auto"/>
          <w:shd w:val="clear" w:color="auto" w:fill="FFFFFF"/>
        </w:rPr>
        <w:t>.</w:t>
      </w:r>
      <w:r w:rsidR="007E4F54" w:rsidRPr="00A01A91">
        <w:rPr>
          <w:rFonts w:ascii="Times New Roman" w:hAnsi="Times New Roman"/>
          <w:color w:val="auto"/>
          <w:shd w:val="clear" w:color="auto" w:fill="FFFFFF"/>
        </w:rPr>
        <w:t xml:space="preserve">06%). This research indicates that teachers should support students </w:t>
      </w:r>
      <w:r w:rsidR="00495C12" w:rsidRPr="00A01A91">
        <w:rPr>
          <w:rFonts w:ascii="Times New Roman" w:hAnsi="Times New Roman"/>
          <w:color w:val="auto"/>
          <w:shd w:val="clear" w:color="auto" w:fill="FFFFFF"/>
        </w:rPr>
        <w:t xml:space="preserve">at </w:t>
      </w:r>
      <w:r w:rsidR="007E4F54" w:rsidRPr="00A01A91">
        <w:rPr>
          <w:rFonts w:ascii="Times New Roman" w:hAnsi="Times New Roman"/>
          <w:color w:val="auto"/>
          <w:shd w:val="clear" w:color="auto" w:fill="FFFFFF"/>
        </w:rPr>
        <w:t>online</w:t>
      </w:r>
      <w:r w:rsidR="00495C12" w:rsidRPr="00A01A91">
        <w:rPr>
          <w:rFonts w:ascii="Times New Roman" w:hAnsi="Times New Roman"/>
          <w:color w:val="auto"/>
          <w:shd w:val="clear" w:color="auto" w:fill="FFFFFF"/>
        </w:rPr>
        <w:t xml:space="preserve"> learning by </w:t>
      </w:r>
      <w:r w:rsidR="007E4F54" w:rsidRPr="00A01A91">
        <w:rPr>
          <w:rFonts w:ascii="Times New Roman" w:hAnsi="Times New Roman"/>
          <w:color w:val="auto"/>
          <w:shd w:val="clear" w:color="auto" w:fill="FFFFFF"/>
        </w:rPr>
        <w:t>providing proper</w:t>
      </w:r>
      <w:r w:rsidR="00A91AEE" w:rsidRPr="00A01A91">
        <w:rPr>
          <w:rFonts w:ascii="Times New Roman" w:hAnsi="Times New Roman"/>
          <w:color w:val="auto"/>
          <w:shd w:val="clear" w:color="auto" w:fill="FFFFFF"/>
        </w:rPr>
        <w:t xml:space="preserve"> Physics</w:t>
      </w:r>
      <w:r w:rsidR="007E4F54" w:rsidRPr="00A01A91">
        <w:rPr>
          <w:rFonts w:ascii="Times New Roman" w:hAnsi="Times New Roman"/>
          <w:color w:val="auto"/>
          <w:shd w:val="clear" w:color="auto" w:fill="FFFFFF"/>
        </w:rPr>
        <w:t xml:space="preserve"> learning material and media. This research is expected to suggest better online learning</w:t>
      </w:r>
      <w:r w:rsidR="00D550DF" w:rsidRPr="00A01A91">
        <w:rPr>
          <w:rFonts w:ascii="Times New Roman" w:hAnsi="Times New Roman"/>
          <w:color w:val="auto"/>
          <w:shd w:val="clear" w:color="auto" w:fill="FFFFFF"/>
        </w:rPr>
        <w:t xml:space="preserve"> and literacy technology </w:t>
      </w:r>
      <w:r w:rsidR="00750BB1" w:rsidRPr="00A01A91">
        <w:rPr>
          <w:rFonts w:ascii="Times New Roman" w:hAnsi="Times New Roman"/>
          <w:color w:val="auto"/>
          <w:shd w:val="clear" w:color="auto" w:fill="FFFFFF"/>
        </w:rPr>
        <w:t>in Physics context</w:t>
      </w:r>
      <w:r w:rsidR="00D550DF" w:rsidRPr="00A01A91">
        <w:rPr>
          <w:rFonts w:ascii="Times New Roman" w:hAnsi="Times New Roman"/>
          <w:color w:val="auto"/>
          <w:shd w:val="clear" w:color="auto" w:fill="FFFFFF"/>
        </w:rPr>
        <w:t xml:space="preserve"> </w:t>
      </w:r>
      <w:r w:rsidR="007E4F54" w:rsidRPr="00A01A91">
        <w:rPr>
          <w:rFonts w:ascii="Times New Roman" w:hAnsi="Times New Roman"/>
          <w:color w:val="auto"/>
          <w:shd w:val="clear" w:color="auto" w:fill="FFFFFF"/>
        </w:rPr>
        <w:t>in the new normal era.</w:t>
      </w:r>
    </w:p>
    <w:p w14:paraId="1B119BEC" w14:textId="3E3C240F" w:rsidR="009A0487" w:rsidRPr="0016793F" w:rsidRDefault="00B110FD">
      <w:pPr>
        <w:pStyle w:val="Section"/>
        <w:rPr>
          <w:color w:val="auto"/>
        </w:rPr>
      </w:pPr>
      <w:r w:rsidRPr="0016793F">
        <w:rPr>
          <w:rFonts w:ascii="Times New Roman" w:hAnsi="Times New Roman"/>
          <w:bCs/>
          <w:color w:val="auto"/>
          <w:lang w:val="en-US"/>
        </w:rPr>
        <w:t>Introduction</w:t>
      </w:r>
    </w:p>
    <w:p w14:paraId="0D976289" w14:textId="5B31A0EC" w:rsidR="009A0487" w:rsidRPr="0016793F" w:rsidRDefault="00B110FD">
      <w:pPr>
        <w:pStyle w:val="Bodytext"/>
        <w:rPr>
          <w:color w:val="auto"/>
        </w:rPr>
      </w:pPr>
      <w:r w:rsidRPr="0016793F">
        <w:rPr>
          <w:rFonts w:ascii="Times New Roman" w:hAnsi="Times New Roman"/>
          <w:color w:val="auto"/>
        </w:rPr>
        <w:t>The Covid-19 pandemic poses significant challenges to human life globally. The prevention of the spread of the Covid-19 Pandemic is trying to be overcome by implementing the PSBB policy and implementing health protocols. PSBB and lockdown have had a significant impact on the education sector</w:t>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author":[{"dropping-particle":"","family":"Reimers","given":"F.M.","non-dropping-particle":"","parse-names":false,"suffix":""},{"dropping-particle":"","family":"Schleicher","given":"A.","non-dropping-particle":"","parse-names":false,"suffix":""},{"dropping-particle":"","family":"Ansah","given":"G.A","non-dropping-particle":"","parse-names":false,"suffix":""}],"id":"ITEM-1","issued":{"date-parts":[["2020"]]},"title":"Schooling Disrupted, Schooling Rethought: How the Covid-19 Pandemic is Changing Education","type":"report"},"uris":["http://www.mendeley.com/documents/?uuid=75adf619-150a-487a-a745-36288be18f3c"]}],"mendeley":{"formattedCitation":"[1]","plainTextFormattedCitation":"[1]","previouslyFormattedCitation":"[1]"},"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[1]</w:t>
      </w:r>
      <w:r w:rsidRPr="0016793F">
        <w:rPr>
          <w:rFonts w:ascii="Times New Roman" w:hAnsi="Times New Roman"/>
          <w:color w:val="auto"/>
        </w:rPr>
        <w:fldChar w:fldCharType="end"/>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[2]</w:t>
      </w:r>
      <w:r w:rsidRPr="0016793F">
        <w:rPr>
          <w:rFonts w:ascii="Times New Roman" w:hAnsi="Times New Roman"/>
          <w:color w:val="auto"/>
        </w:rPr>
        <w:fldChar w:fldCharType="end"/>
      </w:r>
      <w:r w:rsidRPr="0016793F">
        <w:rPr>
          <w:rFonts w:ascii="Times New Roman" w:hAnsi="Times New Roman"/>
          <w:color w:val="auto"/>
        </w:rPr>
        <w:t xml:space="preserve">. The impact on </w:t>
      </w:r>
      <w:r w:rsidR="00F65382">
        <w:rPr>
          <w:rFonts w:ascii="Times New Roman" w:hAnsi="Times New Roman"/>
          <w:color w:val="auto"/>
        </w:rPr>
        <w:t xml:space="preserve">Indonesia’s </w:t>
      </w:r>
      <w:r w:rsidRPr="0016793F">
        <w:rPr>
          <w:rFonts w:ascii="Times New Roman" w:hAnsi="Times New Roman"/>
          <w:color w:val="auto"/>
        </w:rPr>
        <w:t xml:space="preserve">education sector includes eliminating the National Examination and the temporary closure of schools and </w:t>
      </w:r>
      <w:r w:rsidR="003D00E3">
        <w:rPr>
          <w:rFonts w:ascii="Times New Roman" w:hAnsi="Times New Roman"/>
          <w:color w:val="auto"/>
        </w:rPr>
        <w:t>universities</w:t>
      </w:r>
      <w:r w:rsidRPr="0016793F">
        <w:rPr>
          <w:rFonts w:ascii="Times New Roman" w:hAnsi="Times New Roman"/>
          <w:color w:val="auto"/>
        </w:rPr>
        <w:t>. The community certainly needs to adapt as soon as possible to face this situation. Community adaptation to face the Covid-19 Pandemic is called a new normal. New normal is as a way of life in the Covid-19 Pandemic situation. New normal is a community effort to keep running life by implementing health protocols. One of the new normal behavior is keeping physical distance. Keeping physical distancing has an impact on the learning system in the form of learning from home policy. Learning from home policy also applies to higher education in Indonesia, with most learning online</w:t>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plainTextFormattedCitation":"[3]","previouslyFormattedCitation":"[3]"},"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[3]</w:t>
      </w:r>
      <w:r w:rsidRPr="0016793F">
        <w:rPr>
          <w:rFonts w:ascii="Times New Roman" w:hAnsi="Times New Roman"/>
          <w:color w:val="auto"/>
        </w:rPr>
        <w:fldChar w:fldCharType="end"/>
      </w:r>
      <w:r w:rsidRPr="0016793F">
        <w:rPr>
          <w:rFonts w:ascii="Times New Roman" w:hAnsi="Times New Roman"/>
          <w:color w:val="auto"/>
        </w:rPr>
        <w:t>.</w:t>
      </w:r>
    </w:p>
    <w:p w14:paraId="0CCE314B" w14:textId="7C8A228A" w:rsidR="007E4F54" w:rsidRPr="0016793F" w:rsidRDefault="00B110FD" w:rsidP="007E4F54">
      <w:pPr>
        <w:ind w:firstLine="284"/>
        <w:jc w:val="both"/>
        <w:rPr>
          <w:rFonts w:ascii="Times New Roman" w:eastAsia="Calibri" w:hAnsi="Times New Roman"/>
          <w:lang w:val="en-US"/>
        </w:rPr>
      </w:pPr>
      <w:r w:rsidRPr="0016793F">
        <w:rPr>
          <w:rFonts w:ascii="Times New Roman" w:hAnsi="Times New Roman"/>
          <w:lang w:val="en-US"/>
        </w:rPr>
        <w:t xml:space="preserve">For students, online learning requires students to have a higher level of independence, discipline, responsibility, self-regulated learning, and technology literacy. </w:t>
      </w:r>
      <w:r w:rsidRPr="0016793F">
        <w:rPr>
          <w:rFonts w:ascii="Times New Roman" w:eastAsia="Calibri" w:hAnsi="Times New Roman"/>
          <w:lang w:val="en-US"/>
        </w:rPr>
        <w:t>Technological literacy is needed to face the 21st century and the 4.0 industrial revolution. Fundamental opinions that serve as references for technology studies and technological literacy include the works of Mitcham and Pearson &amp; Young</w:t>
      </w:r>
      <w:r w:rsidRPr="0016793F">
        <w:rPr>
          <w:rFonts w:ascii="Times New Roman" w:hAnsi="Times New Roman"/>
        </w:rPr>
        <w:t xml:space="preserve"> </w:t>
      </w:r>
      <w:r w:rsidRPr="0016793F">
        <w:rPr>
          <w:rFonts w:ascii="Times New Roman" w:hAnsi="Times New Roman"/>
        </w:rPr>
        <w:fldChar w:fldCharType="begin" w:fldLock="1"/>
      </w:r>
      <w:r w:rsidR="004F290B">
        <w:rPr>
          <w:rFonts w:ascii="Times New Roman" w:hAnsi="Times New Roman"/>
        </w:rPr>
        <w:instrText>ADDIN CSL_CITATION {"citationItems":[{"id":"ITEM-1","itemData":{"DOI":"10.1186/s40594-016-0046-z","ISSN":"21967822","abstract":"The global urgency to improve STEM education may be driven by environmental and social impacts of the twenty-first century which in turn jeopardizes global security and economic stability. The complexity of these global factors reach beyond just helping students achieve high scores in math and science assessments. Friedman (The world is flat: A brief history of the twenty-first century, 2005) helped illustrate the complexity of a global society, and educators must help students prepare for this global shift. In response to these challenges, the USA experienced massive STEM educational reforms in the last two decades. In practice, STEM educators lack cohesive understanding of STEM education. Therefore, they could benefit from a STEM education conceptual framework. The process of integrating science, technology, engineering, and mathematics in authentic contexts can be as complex as the global challenges that demand a new generation of STEM experts. Educational researchers indicate that teachers struggle to make connections across the STEM disciplines. Consequently, students are often disinterested in science and math when they learn in an isolated and disjoined manner missing connections to crosscutting concepts and real-world applications. The following paper will operationalize STEM education key concepts and blend learning theories to build an integrated STEM education framework to assist in further researching integrated STEM education.","author":[{"dropping-particle":"","family":"Kelley","given":"Todd R.","non-dropping-particle":"","parse-names":false,"suffix":""},{"dropping-particle":"","family":"Knowles","given":"J. Geoff","non-dropping-particle":"","parse-names":false,"suffix":""}],"container-title":"International Journal of STEM Education","id":"ITEM-1","issue":"1","issued":{"date-parts":[["2016"]]},"page":"1-11","publisher":"International Journal of STEM Education","title":"A conceptual framework for integrated STEM education","type":"article-journal","volume":"3"},"uris":["http://www.mendeley.com/documents/?uuid=f6a6c399-9eac-480e-83c0-73d2a79fe0e3"]}],"mendeley":{"formattedCitation":"[4]","plainTextFormattedCitation":"[4]","previouslyFormattedCitation":"[4]"},"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[4]</w:t>
      </w:r>
      <w:r w:rsidRPr="0016793F">
        <w:rPr>
          <w:rFonts w:ascii="Times New Roman" w:hAnsi="Times New Roman"/>
        </w:rPr>
        <w:fldChar w:fldCharType="end"/>
      </w:r>
      <w:r w:rsidRPr="0016793F">
        <w:rPr>
          <w:rFonts w:ascii="Times New Roman" w:hAnsi="Times New Roman"/>
        </w:rPr>
        <w:fldChar w:fldCharType="begin" w:fldLock="1"/>
      </w:r>
      <w:r w:rsidR="004F290B">
        <w:rPr>
          <w:rFonts w:ascii="Times New Roman" w:hAnsi="Times New Roman"/>
        </w:rPr>
        <w:instrText>ADDIN CSL_CITATION {"citationItems":[{"id":"ITEM-1","itemData":{"DOI":"10.21061/jots.v37i1.a.4","ISSN":"1541-9258","abstract":"The article presents information on technological literacy in higher education. A study was conducted on 256 students to determine the attitudes of knowledge gained from a general studies technological literacy course. A course was designed that expose students to different technologies. The study found that it was the first time that about 64% of the students studied technology. The study also noted that students gained improved understandings of technology's effect such as working knowledge of technology as well as technology and careers.","author":[{"dropping-particle":"","family":"Ritz","given":"John M.","non-dropping-particle":"","parse-names":false,"suffix":""}],"container-title":"The Journal of Technology Studies","id":"ITEM-1","issue":"1","issued":{"date-parts":[["2011"]]},"page":"31-40","title":"A Focus on Technological Literacy in Higher Education","type":"article-journal","volume":"37"},"uris":["http://www.mendeley.com/documents/?uuid=d7a37f75-340e-4fbb-8532-983a502ce552"]}],"mendeley":{"formattedCitation":"[5]","plainTextFormattedCitation":"[5]","previouslyFormattedCitation":"[5]"},"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[5]</w:t>
      </w:r>
      <w:r w:rsidRPr="0016793F">
        <w:rPr>
          <w:rFonts w:ascii="Times New Roman" w:hAnsi="Times New Roman"/>
        </w:rPr>
        <w:fldChar w:fldCharType="end"/>
      </w:r>
      <w:r w:rsidRPr="0016793F">
        <w:rPr>
          <w:rFonts w:ascii="Times New Roman" w:hAnsi="Times New Roman"/>
        </w:rPr>
        <w:fldChar w:fldCharType="begin" w:fldLock="1"/>
      </w:r>
      <w:r w:rsidR="004F290B">
        <w:rPr>
          <w:rFonts w:ascii="Times New Roman" w:hAnsi="Times New Roman"/>
        </w:rPr>
        <w:instrText>ADDIN CSL_CITATION {"citationItems":[{"id":"ITEM-1","itemData":{"DOI":"10.1007/978-3-319-44687-5_45","ISBN":"9783319388892","author":[{"dropping-particle":"","family":"France","given":"Bev","non-dropping-particle":"","parse-names":false,"suffix":""}],"id":"ITEM-1","issued":{"date-parts":[["2018"]]},"page":"611-621","title":"Modeling in Technology Education: A Route to Technological Literacy","type":"article-journal"},"uris":["http://www.mendeley.com/documents/?uuid=6431bd6d-83b0-4422-8062-b3531391845c"]}],"mendeley":{"formattedCitation":"[6]","plainTextFormattedCitation":"[6]","previouslyFormattedCitation":"[6]"},"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[6]</w:t>
      </w:r>
      <w:r w:rsidRPr="0016793F">
        <w:rPr>
          <w:rFonts w:ascii="Times New Roman" w:hAnsi="Times New Roman"/>
        </w:rPr>
        <w:fldChar w:fldCharType="end"/>
      </w:r>
      <w:r w:rsidRPr="0016793F">
        <w:rPr>
          <w:rFonts w:ascii="Times New Roman" w:hAnsi="Times New Roman"/>
        </w:rPr>
        <w:fldChar w:fldCharType="begin" w:fldLock="1"/>
      </w:r>
      <w:r w:rsidR="004F290B">
        <w:rPr>
          <w:rFonts w:ascii="Times New Roman" w:hAnsi="Times New Roman"/>
        </w:rPr>
        <w:instrText>ADDIN CSL_CITATION {"citationItems":[{"id":"ITEM-1","itemData":{"DOI":"10.21061/jots.v40i2.a.2","ISSN":"1541-9258","abstract":"The goal of this study was to determine to what extent technological literacy courses were required in K-12 teacher education. A documents review of the appropriate course catalogs for initial teacher preparation was conducted. The documents review identified general education requirements and options for technological literacy courses, as well as requirements and options for these courses for English, social studies, mathematics, and science education majors. For this study, technological literacy was defined as \"the ability to use, manage, assess, and understand technology\" (ITEA, 2000/2002/2007, p. 9). This definition of literacy is broader than technology literacy associated with computer use and instructional technology, as well as courses limited to the history or philosophy of technology. A finding from this study is that there is very little exposure to technological literacy courses for prospective K-12 teachers. This may be due in part to the confusion between instructional technology literacy and technological literacy. [ABSTRACT FROM AUTHOR]","author":[{"dropping-particle":"","family":"Skophammer","given":"Roger","non-dropping-particle":"","parse-names":false,"suffix":""},{"dropping-particle":"","family":"Reed","given":"Philip A.","non-dropping-particle":"","parse-names":false,"suffix":""}],"container-title":"The Journal of Technology Studies","id":"ITEM-1","issue":"2","issued":{"date-parts":[["2014"]]},"page":"68-80","title":"Technological Literacy Courses in Pre-Service Teacher Education","type":"article-journal","volume":"40"},"uris":["http://www.mendeley.com/documents/?uuid=f404c329-e454-4a3c-9ef2-fd4ba775399a"]}],"mendeley":{"formattedCitation":"[7]","plainTextFormattedCitation":"[7]","previouslyFormattedCitation":"[7]"},"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[7]</w:t>
      </w:r>
      <w:r w:rsidRPr="0016793F">
        <w:rPr>
          <w:rFonts w:ascii="Times New Roman" w:hAnsi="Times New Roman"/>
        </w:rPr>
        <w:fldChar w:fldCharType="end"/>
      </w:r>
      <w:r w:rsidRPr="0016793F">
        <w:rPr>
          <w:rFonts w:ascii="Times New Roman" w:hAnsi="Times New Roman"/>
        </w:rPr>
        <w:t xml:space="preserve">. The technology consists of objects, knowledge, activities, and will </w:t>
      </w:r>
      <w:r w:rsidRPr="0016793F">
        <w:rPr>
          <w:rFonts w:ascii="Times New Roman" w:hAnsi="Times New Roman"/>
        </w:rPr>
        <w:fldChar w:fldCharType="begin" w:fldLock="1"/>
      </w:r>
      <w:r w:rsidR="004F290B">
        <w:rPr>
          <w:rFonts w:ascii="Times New Roman" w:hAnsi="Times New Roman"/>
        </w:rPr>
        <w:instrText>ADDIN CSL_CITATION {"citationItems":[{"id":"ITEM-1","itemData":{"author":[{"dropping-particle":"","family":"C. Mitcham","given":"","non-dropping-particle":"","parse-names":false,"suffix":""}],"id":"ITEM-1","issued":{"date-parts":[["1994"]]},"publisher":"University of Chicago Press","publisher-place":"Chicago","title":"Thinking through Technology: The Path between Engineering and Philosophy","type":"book"},"uris":["http://www.mendeley.com/documents/?uuid=67045eab-4bf9-46c1-9ec2-4bc2657f5b25"]}],"mendeley":{"formattedCitation":"[8]","plainTextFormattedCitation":"[8]","previouslyFormattedCitation":"[8]"},"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[8]</w:t>
      </w:r>
      <w:r w:rsidRPr="0016793F">
        <w:rPr>
          <w:rFonts w:ascii="Times New Roman" w:hAnsi="Times New Roman"/>
        </w:rPr>
        <w:fldChar w:fldCharType="end"/>
      </w:r>
      <w:r w:rsidRPr="0016793F">
        <w:rPr>
          <w:rFonts w:ascii="Times New Roman" w:hAnsi="Times New Roman"/>
        </w:rPr>
        <w:t xml:space="preserve">. Meanwhile, technological literacy is an understanding of the nature and history of technology, basic hands-on </w:t>
      </w:r>
      <w:r w:rsidRPr="0016793F">
        <w:rPr>
          <w:rFonts w:ascii="Times New Roman" w:hAnsi="Times New Roman"/>
        </w:rPr>
        <w:lastRenderedPageBreak/>
        <w:t xml:space="preserve">technology abilities, and the ability to think critically about technological developments </w:t>
      </w:r>
      <w:r w:rsidRPr="0016793F">
        <w:rPr>
          <w:rFonts w:ascii="Times New Roman" w:hAnsi="Times New Roman"/>
        </w:rPr>
        <w:fldChar w:fldCharType="begin" w:fldLock="1"/>
      </w:r>
      <w:r w:rsidR="004F290B">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[9]","plainTextFormattedCitation":"[9]","previouslyFormattedCitation":"[9]"},"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[9]</w:t>
      </w:r>
      <w:r w:rsidRPr="0016793F">
        <w:rPr>
          <w:rFonts w:ascii="Times New Roman" w:hAnsi="Times New Roman"/>
        </w:rPr>
        <w:fldChar w:fldCharType="end"/>
      </w:r>
      <w:r w:rsidRPr="0016793F">
        <w:rPr>
          <w:rFonts w:ascii="Times New Roman" w:hAnsi="Times New Roman"/>
        </w:rPr>
        <w:t xml:space="preserve">. This definition leads to the domain of technological literacy, namely knowledge, thinking, and acting patterns, skills </w:t>
      </w:r>
      <w:r w:rsidRPr="0016793F">
        <w:rPr>
          <w:rFonts w:ascii="Times New Roman" w:hAnsi="Times New Roman"/>
        </w:rPr>
        <w:fldChar w:fldCharType="begin" w:fldLock="1"/>
      </w:r>
      <w:r w:rsidR="004F290B">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[9]","plainTextFormattedCitation":"[9]","previouslyFormattedCitation":"[9]"},"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[9]</w:t>
      </w:r>
      <w:r w:rsidRPr="0016793F">
        <w:rPr>
          <w:rFonts w:ascii="Times New Roman" w:hAnsi="Times New Roman"/>
        </w:rPr>
        <w:fldChar w:fldCharType="end"/>
      </w:r>
      <w:r w:rsidRPr="0016793F">
        <w:rPr>
          <w:rFonts w:ascii="Times New Roman" w:hAnsi="Times New Roman"/>
        </w:rPr>
        <w:t>.</w:t>
      </w:r>
      <w:r w:rsidRPr="0016793F">
        <w:rPr>
          <w:rFonts w:ascii="Times New Roman" w:hAnsi="Times New Roman"/>
          <w:lang w:val="en-US"/>
        </w:rPr>
        <w:t xml:space="preserve"> Technology literacy is </w:t>
      </w:r>
      <w:r w:rsidR="00E703E1">
        <w:rPr>
          <w:rFonts w:ascii="Times New Roman" w:hAnsi="Times New Roman"/>
          <w:lang w:val="en-US"/>
        </w:rPr>
        <w:t>crucial</w:t>
      </w:r>
      <w:r w:rsidRPr="0016793F">
        <w:rPr>
          <w:rFonts w:ascii="Times New Roman" w:hAnsi="Times New Roman"/>
          <w:lang w:val="en-US"/>
        </w:rPr>
        <w:t xml:space="preserve"> during online learning. </w:t>
      </w:r>
    </w:p>
    <w:p w14:paraId="5D45CBCF" w14:textId="169F64BA" w:rsidR="007E4F54" w:rsidRPr="0016793F" w:rsidRDefault="00B110FD" w:rsidP="007E4F54">
      <w:pPr>
        <w:ind w:firstLine="284"/>
        <w:jc w:val="both"/>
        <w:rPr>
          <w:rFonts w:ascii="Times New Roman" w:hAnsi="Times New Roman"/>
          <w:lang w:val="en-US" w:eastAsia="id-ID"/>
        </w:rPr>
      </w:pPr>
      <w:r w:rsidRPr="0016793F">
        <w:rPr>
          <w:rFonts w:ascii="Times New Roman" w:hAnsi="Times New Roman"/>
          <w:lang w:val="en-US" w:eastAsia="id-ID"/>
        </w:rPr>
        <w:t>An amount of research reported about the COVID-19 pandemic related to the implementation in higher education. Crawford et al. reported that there are universities that are still conducting offline lectures by implementing physical distancing. Some universities are implementing online learning in full, and some are implementing blended learning</w:t>
      </w:r>
      <w:r w:rsidRPr="0016793F">
        <w:rPr>
          <w:rFonts w:ascii="Times New Roman" w:hAnsi="Times New Roman"/>
          <w:i/>
          <w:iCs/>
          <w:lang w:val="en-US" w:eastAsia="id-ID"/>
        </w:rPr>
        <w:fldChar w:fldCharType="begin" w:fldLock="1"/>
      </w:r>
      <w:r w:rsidR="004D2E7F">
        <w:rPr>
          <w:rFonts w:ascii="Times New Roman" w:hAnsi="Times New Roman"/>
          <w:i/>
          <w:iCs/>
          <w:lang w:val="en-US" w:eastAsia="id-ID"/>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Crawford,","type":"article-journal","volume":"3"},"uris":["http://www.mendeley.com/documents/?uuid=49c1aa6f-d91d-496e-a8dd-3944e0902710"]}],"mendeley":{"formattedCitation":"[3]","manualFormatting":" [3]","plainTextFormattedCitation":"[3]","previouslyFormattedCitation":"[3]"},"properties":{"noteIndex":0},"schema":"https://github.com/citation-style-language/schema/raw/master/csl-citation.json"}</w:instrText>
      </w:r>
      <w:r w:rsidRPr="0016793F">
        <w:rPr>
          <w:rFonts w:ascii="Times New Roman" w:hAnsi="Times New Roman"/>
          <w:i/>
          <w:iCs/>
          <w:lang w:val="en-US" w:eastAsia="id-ID"/>
        </w:rPr>
        <w:fldChar w:fldCharType="separate"/>
      </w:r>
      <w:r w:rsidRPr="0016793F">
        <w:rPr>
          <w:rFonts w:ascii="Times New Roman" w:hAnsi="Times New Roman"/>
          <w:iCs/>
          <w:noProof/>
          <w:lang w:val="en-US" w:eastAsia="id-ID"/>
        </w:rPr>
        <w:t xml:space="preserve"> [3]</w:t>
      </w:r>
      <w:r w:rsidRPr="0016793F">
        <w:rPr>
          <w:rFonts w:ascii="Times New Roman" w:hAnsi="Times New Roman"/>
          <w:i/>
          <w:iCs/>
          <w:lang w:val="en-US" w:eastAsia="id-ID"/>
        </w:rPr>
        <w:fldChar w:fldCharType="end"/>
      </w:r>
      <w:r w:rsidRPr="0016793F">
        <w:rPr>
          <w:rFonts w:ascii="Times New Roman" w:hAnsi="Times New Roman"/>
          <w:lang w:val="en-US" w:eastAsia="id-ID"/>
        </w:rPr>
        <w:t xml:space="preserve">. Bao reports a case study of students who have difficulty </w:t>
      </w:r>
      <w:r w:rsidR="005A524E">
        <w:rPr>
          <w:rFonts w:ascii="Times New Roman" w:hAnsi="Times New Roman"/>
          <w:lang w:val="en-US" w:eastAsia="id-ID"/>
        </w:rPr>
        <w:t>on online learning</w:t>
      </w:r>
      <w:r w:rsidRPr="0016793F">
        <w:rPr>
          <w:rFonts w:ascii="Times New Roman" w:hAnsi="Times New Roman"/>
          <w:lang w:val="en-US" w:eastAsia="id-ID"/>
        </w:rPr>
        <w:t xml:space="preserve"> due to a lack of adequate learning attitudes, lack of discipline, lack of appropriate teaching materials, and the right learning environment</w:t>
      </w:r>
      <w:r w:rsidRPr="0016793F">
        <w:rPr>
          <w:rFonts w:ascii="Times New Roman" w:hAnsi="Times New Roman"/>
          <w:lang w:val="en-US" w:eastAsia="id-ID"/>
        </w:rPr>
        <w:fldChar w:fldCharType="begin" w:fldLock="1"/>
      </w:r>
      <w:r w:rsidRPr="0016793F">
        <w:rPr>
          <w:rFonts w:ascii="Times New Roman" w:hAnsi="Times New Roman"/>
          <w:lang w:val="en-US"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rFonts w:ascii="Times New Roman" w:hAnsi="Times New Roman"/>
          <w:lang w:val="en-US" w:eastAsia="id-ID"/>
        </w:rPr>
        <w:fldChar w:fldCharType="separate"/>
      </w:r>
      <w:r w:rsidRPr="0016793F">
        <w:rPr>
          <w:rFonts w:ascii="Times New Roman" w:hAnsi="Times New Roman"/>
          <w:noProof/>
          <w:lang w:val="en-US" w:eastAsia="id-ID"/>
        </w:rPr>
        <w:t>[2]</w:t>
      </w:r>
      <w:r w:rsidRPr="0016793F">
        <w:rPr>
          <w:rFonts w:ascii="Times New Roman" w:hAnsi="Times New Roman"/>
          <w:lang w:val="en-US" w:eastAsia="id-ID"/>
        </w:rPr>
        <w:fldChar w:fldCharType="end"/>
      </w:r>
      <w:r w:rsidRPr="0016793F">
        <w:rPr>
          <w:rFonts w:ascii="Times New Roman" w:hAnsi="Times New Roman"/>
          <w:lang w:val="en-US" w:eastAsia="id-ID"/>
        </w:rPr>
        <w:t>. Reimers et al. added that education needs to be innovative and flexible with technology mediation in the New Normal era</w:t>
      </w:r>
      <w:r w:rsidRPr="0016793F">
        <w:rPr>
          <w:rFonts w:ascii="Times New Roman" w:hAnsi="Times New Roman"/>
          <w:lang w:val="en-US" w:eastAsia="id-ID"/>
        </w:rPr>
        <w:fldChar w:fldCharType="begin" w:fldLock="1"/>
      </w:r>
      <w:r w:rsidRPr="0016793F">
        <w:rPr>
          <w:rFonts w:ascii="Times New Roman" w:hAnsi="Times New Roman"/>
          <w:lang w:val="en-US" w:eastAsia="id-ID"/>
        </w:rPr>
        <w:instrText>ADDIN CSL_CITATION {"citationItems":[{"id":"ITEM-1","itemData":{"author":[{"dropping-particle":"","family":"Reimers","given":"F.M.","non-dropping-particle":"","parse-names":false,"suffix":""},{"dropping-particle":"","family":"Schleicher","given":"A.","non-dropping-particle":"","parse-names":false,"suffix":""},{"dropping-particle":"","family":"Ansah","given":"G.A","non-dropping-particle":"","parse-names":false,"suffix":""}],"id":"ITEM-1","issued":{"date-parts":[["2020"]]},"title":"Schooling Disrupted, Schooling Rethought: How the Covid-19 Pandemic is Changing Education","type":"report"},"uris":["http://www.mendeley.com/documents/?uuid=75adf619-150a-487a-a745-36288be18f3c"]}],"mendeley":{"formattedCitation":"[1]","plainTextFormattedCitation":"[1]","previouslyFormattedCitation":"[1]"},"properties":{"noteIndex":0},"schema":"https://github.com/citation-style-language/schema/raw/master/csl-citation.json"}</w:instrText>
      </w:r>
      <w:r w:rsidRPr="0016793F">
        <w:rPr>
          <w:rFonts w:ascii="Times New Roman" w:hAnsi="Times New Roman"/>
          <w:lang w:val="en-US" w:eastAsia="id-ID"/>
        </w:rPr>
        <w:fldChar w:fldCharType="separate"/>
      </w:r>
      <w:r w:rsidRPr="0016793F">
        <w:rPr>
          <w:rFonts w:ascii="Times New Roman" w:hAnsi="Times New Roman"/>
          <w:noProof/>
          <w:lang w:val="en-US" w:eastAsia="id-ID"/>
        </w:rPr>
        <w:t>[1]</w:t>
      </w:r>
      <w:r w:rsidRPr="0016793F">
        <w:rPr>
          <w:rFonts w:ascii="Times New Roman" w:hAnsi="Times New Roman"/>
          <w:lang w:val="en-US" w:eastAsia="id-ID"/>
        </w:rPr>
        <w:fldChar w:fldCharType="end"/>
      </w:r>
      <w:r w:rsidRPr="0016793F">
        <w:rPr>
          <w:rFonts w:ascii="Times New Roman" w:hAnsi="Times New Roman"/>
          <w:lang w:val="en-US" w:eastAsia="id-ID"/>
        </w:rPr>
        <w:t xml:space="preserve">. </w:t>
      </w:r>
      <w:r w:rsidR="00C61001">
        <w:rPr>
          <w:rFonts w:ascii="Times New Roman" w:hAnsi="Times New Roman"/>
          <w:lang w:val="en-US" w:eastAsia="id-ID"/>
        </w:rPr>
        <w:t>Th</w:t>
      </w:r>
      <w:r w:rsidR="00E62B2E">
        <w:rPr>
          <w:rFonts w:ascii="Times New Roman" w:hAnsi="Times New Roman"/>
          <w:lang w:val="en-US" w:eastAsia="id-ID"/>
        </w:rPr>
        <w:t>o</w:t>
      </w:r>
      <w:r w:rsidR="00C61001">
        <w:rPr>
          <w:rFonts w:ascii="Times New Roman" w:hAnsi="Times New Roman"/>
          <w:lang w:val="en-US" w:eastAsia="id-ID"/>
        </w:rPr>
        <w:t xml:space="preserve">se research </w:t>
      </w:r>
      <w:r w:rsidR="00E62B2E" w:rsidRPr="00E62B2E">
        <w:rPr>
          <w:rFonts w:ascii="Times New Roman" w:hAnsi="Times New Roman"/>
          <w:lang w:val="en-US" w:eastAsia="id-ID"/>
        </w:rPr>
        <w:t>have not examined online learning in terms of technological literacy</w:t>
      </w:r>
      <w:r w:rsidR="00C600AD">
        <w:rPr>
          <w:rFonts w:ascii="Times New Roman" w:hAnsi="Times New Roman"/>
          <w:lang w:val="en-US" w:eastAsia="id-ID"/>
        </w:rPr>
        <w:t xml:space="preserve"> and in term</w:t>
      </w:r>
      <w:r w:rsidR="003D00E3">
        <w:rPr>
          <w:rFonts w:ascii="Times New Roman" w:hAnsi="Times New Roman"/>
          <w:lang w:val="en-US" w:eastAsia="id-ID"/>
        </w:rPr>
        <w:t>s</w:t>
      </w:r>
      <w:r w:rsidR="00C600AD">
        <w:rPr>
          <w:rFonts w:ascii="Times New Roman" w:hAnsi="Times New Roman"/>
          <w:lang w:val="en-US" w:eastAsia="id-ID"/>
        </w:rPr>
        <w:t xml:space="preserve"> of </w:t>
      </w:r>
      <w:r w:rsidR="003D00E3">
        <w:rPr>
          <w:rFonts w:ascii="Times New Roman" w:hAnsi="Times New Roman"/>
          <w:lang w:val="en-US" w:eastAsia="id-ID"/>
        </w:rPr>
        <w:t>P</w:t>
      </w:r>
      <w:r w:rsidR="00C600AD">
        <w:rPr>
          <w:rFonts w:ascii="Times New Roman" w:hAnsi="Times New Roman"/>
          <w:lang w:val="en-US" w:eastAsia="id-ID"/>
        </w:rPr>
        <w:t>hysics context.</w:t>
      </w:r>
      <w:r w:rsidR="00C61001">
        <w:rPr>
          <w:rFonts w:ascii="Times New Roman" w:hAnsi="Times New Roman"/>
          <w:lang w:val="en-US" w:eastAsia="id-ID"/>
        </w:rPr>
        <w:t xml:space="preserve"> </w:t>
      </w:r>
    </w:p>
    <w:p w14:paraId="03ABE549" w14:textId="0775B1D0" w:rsidR="009A0487" w:rsidRPr="0016793F" w:rsidRDefault="00B110FD" w:rsidP="007E4F54">
      <w:pPr>
        <w:pStyle w:val="BodytextIndented"/>
        <w:rPr>
          <w:color w:val="auto"/>
        </w:rPr>
      </w:pPr>
      <w:r w:rsidRPr="0016793F">
        <w:rPr>
          <w:rFonts w:ascii="Times New Roman" w:hAnsi="Times New Roman"/>
          <w:color w:val="auto"/>
          <w:lang w:eastAsia="id-ID"/>
        </w:rPr>
        <w:t xml:space="preserve">Online learning is new to the majority of students. Students at this time are still in a transition period to online learning. Then, they need to be well prepared. Thus, it is necessary to study students' readiness in online learning and attitudes towards technological literacy during the transition to the new normal era. This study aims to </w:t>
      </w:r>
      <w:r w:rsidR="003A03E8">
        <w:rPr>
          <w:rFonts w:ascii="Times New Roman" w:hAnsi="Times New Roman"/>
          <w:color w:val="auto"/>
          <w:lang w:eastAsia="id-ID"/>
        </w:rPr>
        <w:t>know</w:t>
      </w:r>
      <w:r w:rsidRPr="0016793F">
        <w:rPr>
          <w:rFonts w:ascii="Times New Roman" w:hAnsi="Times New Roman"/>
          <w:color w:val="auto"/>
          <w:lang w:eastAsia="id-ID"/>
        </w:rPr>
        <w:t xml:space="preserve"> the response of students of physics education at Siliwangi University to online learning. Besides, this study aims to analyze online learning from a technological literacy perspective.</w:t>
      </w:r>
    </w:p>
    <w:p w14:paraId="7487C7E1" w14:textId="05845D76" w:rsidR="009A0487" w:rsidRPr="0016793F" w:rsidRDefault="00B110FD">
      <w:pPr>
        <w:pStyle w:val="Section"/>
        <w:rPr>
          <w:color w:val="auto"/>
        </w:rPr>
      </w:pPr>
      <w:r w:rsidRPr="0016793F">
        <w:rPr>
          <w:rFonts w:ascii="Times New Roman" w:hAnsi="Times New Roman"/>
          <w:bCs/>
          <w:color w:val="auto"/>
          <w:lang w:val="en-US" w:eastAsia="id-ID"/>
        </w:rPr>
        <w:t>Methods</w:t>
      </w:r>
    </w:p>
    <w:p w14:paraId="1FD9A94D" w14:textId="710387E4" w:rsidR="009A0487" w:rsidRPr="0016793F" w:rsidRDefault="00B110FD" w:rsidP="007E4F54">
      <w:pPr>
        <w:pStyle w:val="Bodytext"/>
        <w:rPr>
          <w:rFonts w:ascii="Times New Roman" w:hAnsi="Times New Roman"/>
          <w:color w:val="auto"/>
          <w:lang w:eastAsia="id-ID"/>
        </w:rPr>
      </w:pPr>
      <w:r w:rsidRPr="0016793F">
        <w:rPr>
          <w:rFonts w:ascii="Times New Roman" w:hAnsi="Times New Roman"/>
          <w:color w:val="auto"/>
          <w:lang w:eastAsia="id-ID"/>
        </w:rPr>
        <w:t xml:space="preserve">This research uses a survey method. Respondents are 155 students of Physics Education at Siliwangi University consist of 75 first-year students, 60 second-year students, and 20 third-year students. The survey was conducted online using a questionnaire in May 2020. The survey was conducted online using </w:t>
      </w:r>
      <w:r w:rsidR="00CC6308">
        <w:rPr>
          <w:rFonts w:ascii="Times New Roman" w:hAnsi="Times New Roman"/>
          <w:color w:val="auto"/>
          <w:lang w:eastAsia="id-ID"/>
        </w:rPr>
        <w:t>Microsoft</w:t>
      </w:r>
      <w:r w:rsidRPr="0016793F">
        <w:rPr>
          <w:rFonts w:ascii="Times New Roman" w:hAnsi="Times New Roman"/>
          <w:color w:val="auto"/>
          <w:lang w:eastAsia="id-ID"/>
        </w:rPr>
        <w:t xml:space="preserve"> Form. </w:t>
      </w:r>
      <w:r w:rsidR="00D57E73" w:rsidRPr="0016793F">
        <w:rPr>
          <w:rFonts w:ascii="Times New Roman" w:hAnsi="Times New Roman"/>
          <w:color w:val="auto"/>
          <w:lang w:eastAsia="id-ID"/>
        </w:rPr>
        <w:t xml:space="preserve">Questionnaire </w:t>
      </w:r>
      <w:r w:rsidR="00D57E73">
        <w:rPr>
          <w:rFonts w:ascii="Times New Roman" w:hAnsi="Times New Roman"/>
          <w:color w:val="auto"/>
          <w:lang w:eastAsia="id-ID"/>
        </w:rPr>
        <w:t>focus on</w:t>
      </w:r>
      <w:r w:rsidRPr="0016793F">
        <w:rPr>
          <w:rFonts w:ascii="Times New Roman" w:hAnsi="Times New Roman"/>
          <w:color w:val="auto"/>
          <w:lang w:eastAsia="id-ID"/>
        </w:rPr>
        <w:t xml:space="preserve"> categories “access to technology”, “application of technology for learning”, “online learning readiness”, and “attitudes towards digital technology literacy”. The survey results were processed qualitatively descriptively using percentages.</w:t>
      </w:r>
    </w:p>
    <w:p w14:paraId="52AA58AB" w14:textId="35B41DB0" w:rsidR="007E4F54" w:rsidRPr="0016793F" w:rsidRDefault="00B110FD" w:rsidP="007E4F54">
      <w:pPr>
        <w:pStyle w:val="Section"/>
        <w:rPr>
          <w:color w:val="auto"/>
          <w:lang w:eastAsia="id-ID"/>
        </w:rPr>
      </w:pPr>
      <w:r w:rsidRPr="0016793F">
        <w:rPr>
          <w:color w:val="auto"/>
          <w:lang w:eastAsia="id-ID"/>
        </w:rPr>
        <w:t>Result and Discussion</w:t>
      </w:r>
    </w:p>
    <w:p w14:paraId="59E3B763" w14:textId="2D5ADB20" w:rsidR="007E4F54" w:rsidRPr="0016793F" w:rsidRDefault="00B110FD" w:rsidP="007C7488">
      <w:pPr>
        <w:pStyle w:val="Subsection"/>
        <w:spacing w:before="0"/>
        <w:rPr>
          <w:color w:val="auto"/>
          <w:lang w:eastAsia="id-ID"/>
        </w:rPr>
      </w:pPr>
      <w:r w:rsidRPr="0016793F">
        <w:rPr>
          <w:i/>
          <w:iCs w:val="0"/>
          <w:color w:val="auto"/>
          <w:lang w:eastAsia="id-ID"/>
        </w:rPr>
        <w:t>Access to Technology</w:t>
      </w:r>
    </w:p>
    <w:p w14:paraId="338CDB98" w14:textId="29CC6E16" w:rsidR="00BE50E8" w:rsidRPr="0016793F" w:rsidRDefault="00B110FD" w:rsidP="00BE50E8">
      <w:pPr>
        <w:pStyle w:val="Section"/>
        <w:numPr>
          <w:ilvl w:val="0"/>
          <w:numId w:val="0"/>
        </w:numPr>
        <w:spacing w:before="0"/>
        <w:jc w:val="both"/>
        <w:rPr>
          <w:b w:val="0"/>
          <w:bCs/>
          <w:color w:val="auto"/>
          <w:lang w:val="en-US" w:eastAsia="id-ID"/>
        </w:rPr>
      </w:pPr>
      <w:r w:rsidRPr="0016793F">
        <w:rPr>
          <w:b w:val="0"/>
          <w:bCs/>
          <w:color w:val="auto"/>
          <w:lang w:val="en-US" w:eastAsia="id-ID"/>
        </w:rPr>
        <w:t xml:space="preserve">There are five items to reveal aspects of access to technology. </w:t>
      </w:r>
      <w:r w:rsidR="005E65A8" w:rsidRPr="0016793F">
        <w:rPr>
          <w:b w:val="0"/>
          <w:bCs/>
          <w:color w:val="auto"/>
          <w:lang w:val="en-US" w:eastAsia="id-ID"/>
        </w:rPr>
        <w:t xml:space="preserve">Access </w:t>
      </w:r>
      <w:r w:rsidRPr="0016793F">
        <w:rPr>
          <w:b w:val="0"/>
          <w:bCs/>
          <w:color w:val="auto"/>
          <w:lang w:val="en-US" w:eastAsia="id-ID"/>
        </w:rPr>
        <w:t xml:space="preserve">to technology shows the availability of smartphones, the availability of notebooks or computers, the availability of an operating system that can support online learning, and the </w:t>
      </w:r>
      <w:r w:rsidR="009247E0">
        <w:rPr>
          <w:b w:val="0"/>
          <w:bCs/>
          <w:color w:val="auto"/>
          <w:lang w:val="en-US" w:eastAsia="id-ID"/>
        </w:rPr>
        <w:t>quick</w:t>
      </w:r>
      <w:r w:rsidRPr="0016793F">
        <w:rPr>
          <w:b w:val="0"/>
          <w:bCs/>
          <w:color w:val="auto"/>
          <w:lang w:val="en-US" w:eastAsia="id-ID"/>
        </w:rPr>
        <w:t>ness of the internet for accessing information using devices (smartphones/computers, laptops).</w:t>
      </w:r>
    </w:p>
    <w:p w14:paraId="1CA66734" w14:textId="68EA040E" w:rsidR="00BE50E8" w:rsidRPr="0016793F" w:rsidRDefault="00B110FD" w:rsidP="00BE50E8">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Items related to smartphone availability reveal that 94.84% (147) of respondents own and can use smartphones for online learning. Furthermore, seven students use ordinary cellphones and smartphones. There is one student who feels no need to use a smartphone. There were 75.48% (117) students who had their laptop or computer, 19.35% (30) took turns with family or friends, there were even 5.16% (8) respondents who did not have a notebook or computers. Furthermore, as many as 83.87% (130) of respondents stated that they could use a notebook or computer equipped with an operating system for learning. There is 9.67% (15) of respondents ask for help from family or friends to access a notebook or computers for studying, and the rest still do not use it but feel the need to have access to an operating system to be used in learning.</w:t>
      </w:r>
    </w:p>
    <w:p w14:paraId="0707AC29" w14:textId="652C6B5B" w:rsidR="00F66D2E" w:rsidRPr="0016793F" w:rsidRDefault="00B110FD" w:rsidP="00BE50E8">
      <w:pPr>
        <w:pStyle w:val="Section"/>
        <w:numPr>
          <w:ilvl w:val="0"/>
          <w:numId w:val="0"/>
        </w:numPr>
        <w:spacing w:before="0"/>
        <w:ind w:firstLine="284"/>
        <w:jc w:val="both"/>
        <w:rPr>
          <w:b w:val="0"/>
          <w:bCs/>
          <w:color w:val="auto"/>
          <w:lang w:eastAsia="id-ID"/>
        </w:rPr>
      </w:pPr>
      <w:r w:rsidRPr="0016793F">
        <w:rPr>
          <w:b w:val="0"/>
          <w:bCs/>
          <w:color w:val="auto"/>
          <w:lang w:eastAsia="id-ID"/>
        </w:rPr>
        <w:t>As many as 78.06% (121) of respondents state that they can use a smartphone to access information, and 21.94% (34) of respondents can sometimes use smartphone</w:t>
      </w:r>
      <w:r w:rsidR="0051184F">
        <w:rPr>
          <w:b w:val="0"/>
          <w:bCs/>
          <w:color w:val="auto"/>
          <w:lang w:eastAsia="id-ID"/>
        </w:rPr>
        <w:t>s</w:t>
      </w:r>
      <w:r w:rsidRPr="0016793F">
        <w:rPr>
          <w:b w:val="0"/>
          <w:bCs/>
          <w:color w:val="auto"/>
          <w:lang w:eastAsia="id-ID"/>
        </w:rPr>
        <w:t>/computer</w:t>
      </w:r>
      <w:r w:rsidR="0051184F">
        <w:rPr>
          <w:b w:val="0"/>
          <w:bCs/>
          <w:color w:val="auto"/>
          <w:lang w:eastAsia="id-ID"/>
        </w:rPr>
        <w:t>s</w:t>
      </w:r>
      <w:r w:rsidRPr="0016793F">
        <w:rPr>
          <w:b w:val="0"/>
          <w:bCs/>
          <w:color w:val="auto"/>
          <w:lang w:eastAsia="id-ID"/>
        </w:rPr>
        <w:t xml:space="preserve"> to access information. One of the constraints in accessing information using a smartphone is the internet problem that is not </w:t>
      </w:r>
      <w:r w:rsidR="009247E0">
        <w:rPr>
          <w:b w:val="0"/>
          <w:bCs/>
          <w:color w:val="auto"/>
          <w:lang w:eastAsia="id-ID"/>
        </w:rPr>
        <w:t>fast</w:t>
      </w:r>
      <w:r w:rsidRPr="0016793F">
        <w:rPr>
          <w:b w:val="0"/>
          <w:bCs/>
          <w:color w:val="auto"/>
          <w:lang w:eastAsia="id-ID"/>
        </w:rPr>
        <w:t xml:space="preserve">. Only 16.13% (25) of respondents state that they could access the internet </w:t>
      </w:r>
      <w:r w:rsidR="009247E0">
        <w:rPr>
          <w:b w:val="0"/>
          <w:bCs/>
          <w:color w:val="auto"/>
          <w:lang w:eastAsia="id-ID"/>
        </w:rPr>
        <w:t>fastl</w:t>
      </w:r>
      <w:r w:rsidRPr="0016793F">
        <w:rPr>
          <w:b w:val="0"/>
          <w:bCs/>
          <w:color w:val="auto"/>
          <w:lang w:eastAsia="id-ID"/>
        </w:rPr>
        <w:t>y. Even 6.45% (10) state that they could not access the internet when they were in their domicile area and 77.42% (120) of respondents state that they had a reasonably slow internet network.</w:t>
      </w:r>
      <w:r w:rsidR="002D32BF" w:rsidRPr="0016793F">
        <w:rPr>
          <w:b w:val="0"/>
          <w:bCs/>
          <w:color w:val="auto"/>
          <w:lang w:eastAsia="id-ID"/>
        </w:rPr>
        <w:t xml:space="preserve"> Then, there are 83.87% (130) of respondents could not access the internet properly.</w:t>
      </w:r>
    </w:p>
    <w:p w14:paraId="11952B2D" w14:textId="76B0D119" w:rsidR="00BE50E8" w:rsidRPr="0016793F" w:rsidRDefault="00B110FD" w:rsidP="00BE50E8">
      <w:pPr>
        <w:pStyle w:val="Section"/>
        <w:numPr>
          <w:ilvl w:val="0"/>
          <w:numId w:val="0"/>
        </w:numPr>
        <w:spacing w:before="0"/>
        <w:ind w:firstLine="284"/>
        <w:jc w:val="both"/>
        <w:rPr>
          <w:b w:val="0"/>
          <w:bCs/>
          <w:color w:val="auto"/>
          <w:lang w:eastAsia="id-ID"/>
        </w:rPr>
      </w:pPr>
      <w:r w:rsidRPr="0016793F">
        <w:rPr>
          <w:b w:val="0"/>
          <w:bCs/>
          <w:color w:val="auto"/>
          <w:lang w:eastAsia="id-ID"/>
        </w:rPr>
        <w:t xml:space="preserve">Access to technology is an essential aspect of online learning. Based on the results related to aspects of access to technology, the critical point obtained is that most students have been able to </w:t>
      </w:r>
      <w:r w:rsidRPr="0016793F">
        <w:rPr>
          <w:b w:val="0"/>
          <w:bCs/>
          <w:color w:val="auto"/>
          <w:lang w:eastAsia="id-ID"/>
        </w:rPr>
        <w:lastRenderedPageBreak/>
        <w:t xml:space="preserve">access online learning facilities in the form of laptops/computers or smartphones and can search using these devices to find information and learn. Technology and information have developed rapidly, then smartphones or laptops are no longer a luxury for most people. Devices have become very important in the era of online learning. However, there are still respondents who do not have support in laptops/computers for studying. Besides, a </w:t>
      </w:r>
      <w:r w:rsidR="009247E0">
        <w:rPr>
          <w:b w:val="0"/>
          <w:bCs/>
          <w:color w:val="auto"/>
          <w:lang w:eastAsia="id-ID"/>
        </w:rPr>
        <w:t>fast</w:t>
      </w:r>
      <w:r w:rsidRPr="0016793F">
        <w:rPr>
          <w:b w:val="0"/>
          <w:bCs/>
          <w:color w:val="auto"/>
          <w:lang w:eastAsia="id-ID"/>
        </w:rPr>
        <w:t xml:space="preserve"> internet network can only be accessed by a minority of respondents. </w:t>
      </w:r>
      <w:r w:rsidR="00F66D2E" w:rsidRPr="0016793F">
        <w:rPr>
          <w:b w:val="0"/>
          <w:bCs/>
          <w:color w:val="auto"/>
          <w:lang w:eastAsia="id-ID"/>
        </w:rPr>
        <w:t xml:space="preserve">The same thing was reported by </w:t>
      </w:r>
      <w:r w:rsidR="00911EFA">
        <w:rPr>
          <w:b w:val="0"/>
          <w:bCs/>
          <w:color w:val="auto"/>
          <w:lang w:eastAsia="id-ID"/>
        </w:rPr>
        <w:t>Kapasia</w:t>
      </w:r>
      <w:r w:rsidR="00F66D2E" w:rsidRPr="0016793F">
        <w:rPr>
          <w:b w:val="0"/>
          <w:bCs/>
          <w:color w:val="auto"/>
          <w:lang w:eastAsia="id-ID"/>
        </w:rPr>
        <w:t xml:space="preserve"> et al. </w:t>
      </w:r>
      <w:r w:rsidR="00C37F00" w:rsidRPr="0016793F">
        <w:rPr>
          <w:b w:val="0"/>
          <w:bCs/>
          <w:color w:val="auto"/>
          <w:lang w:eastAsia="id-ID"/>
        </w:rPr>
        <w:t xml:space="preserve">and Khalil et al., </w:t>
      </w:r>
      <w:r w:rsidR="00F66D2E" w:rsidRPr="0016793F">
        <w:rPr>
          <w:b w:val="0"/>
          <w:bCs/>
          <w:color w:val="auto"/>
          <w:lang w:eastAsia="id-ID"/>
        </w:rPr>
        <w:t>who stated that students who undergo online learning experience serious problems related to the internet network</w:t>
      </w:r>
      <w:r w:rsidR="00021B1E" w:rsidRPr="0016793F">
        <w:rPr>
          <w:b w:val="0"/>
          <w:bCs/>
          <w:color w:val="auto"/>
          <w:lang w:eastAsia="id-ID"/>
        </w:rPr>
        <w:fldChar w:fldCharType="begin" w:fldLock="1"/>
      </w:r>
      <w:r w:rsidR="004F290B">
        <w:rPr>
          <w:b w:val="0"/>
          <w:bCs/>
          <w:color w:val="auto"/>
          <w:lang w:eastAsia="id-ID"/>
        </w:rPr>
        <w:instrText>ADDIN CSL_CITATION {"citationItems":[{"id":"ITEM-1","itemData":{"DOI":"10.1016/j.childyouth.2020.105194","ISSN":"0190-7409","author":[{"dropping-particle":"","family":"Kapasia","given":"Nanigopal","non-dropping-particle":"","parse-names":false,"suffix":""},{"dropping-particle":"","family":"Paul","given":"Pintu","non-dropping-particle":"","parse-names":false,"suffix":""},{"dropping-particle":"","family":"Roy","given":"Avijit","non-dropping-particle":"","parse-names":false,"suffix":""},{"dropping-particle":"","family":"Saha","given":"Jay","non-dropping-particle":"","parse-names":false,"suffix":""},{"dropping-particle":"","family":"Zaveri","given":"Ankita","non-dropping-particle":"","parse-names":false,"suffix":""},{"dropping-particle":"","family":"Mallick","given":"Rahul","non-dropping-particle":"","parse-names":false,"suffix":""}],"container-title":"Children and Youth Services Review","id":"ITEM-1","issue":"June","issued":{"date-parts":[["2020"]]},"page":"1-5","publisher":"Elsevier","title":"Impact of lockdown on learning status of undergraduate and postgraduate students during COVID-19 pandemic in West Bengal , India","type":"article-journal","volume":"116"},"uris":["http://www.mendeley.com/documents/?uuid=5cba0fea-5dad-4292-9679-9c5c78ece6a4"]}],"mendeley":{"formattedCitation":"[10]","manualFormatting":"'s fast running [12]","plainTextFormattedCitation":"[10]","previouslyFormattedCitation":"[10]"},"properties":{"noteIndex":0},"schema":"https://github.com/citation-style-language/schema/raw/master/csl-citation.json"}</w:instrText>
      </w:r>
      <w:r w:rsidR="00021B1E" w:rsidRPr="0016793F">
        <w:rPr>
          <w:b w:val="0"/>
          <w:bCs/>
          <w:color w:val="auto"/>
          <w:lang w:eastAsia="id-ID"/>
        </w:rPr>
        <w:fldChar w:fldCharType="separate"/>
      </w:r>
      <w:r w:rsidR="00021B1E" w:rsidRPr="0016793F">
        <w:rPr>
          <w:b w:val="0"/>
          <w:bCs/>
          <w:noProof/>
          <w:color w:val="auto"/>
          <w:lang w:eastAsia="id-ID"/>
        </w:rPr>
        <w:t xml:space="preserve">'s </w:t>
      </w:r>
      <w:r w:rsidR="009247E0">
        <w:rPr>
          <w:b w:val="0"/>
          <w:bCs/>
          <w:noProof/>
          <w:color w:val="auto"/>
          <w:lang w:eastAsia="id-ID"/>
        </w:rPr>
        <w:t>fast</w:t>
      </w:r>
      <w:r w:rsidR="00021B1E" w:rsidRPr="0016793F">
        <w:rPr>
          <w:b w:val="0"/>
          <w:bCs/>
          <w:noProof/>
          <w:color w:val="auto"/>
          <w:lang w:eastAsia="id-ID"/>
        </w:rPr>
        <w:t xml:space="preserve"> running [12]</w:t>
      </w:r>
      <w:r w:rsidR="00021B1E" w:rsidRPr="0016793F">
        <w:rPr>
          <w:b w:val="0"/>
          <w:bCs/>
          <w:color w:val="auto"/>
          <w:lang w:eastAsia="id-ID"/>
        </w:rPr>
        <w:fldChar w:fldCharType="end"/>
      </w:r>
      <w:r w:rsidR="00C37F00" w:rsidRPr="0016793F">
        <w:rPr>
          <w:b w:val="0"/>
          <w:bCs/>
          <w:color w:val="auto"/>
          <w:lang w:eastAsia="id-ID"/>
        </w:rPr>
        <w:fldChar w:fldCharType="begin" w:fldLock="1"/>
      </w:r>
      <w:r w:rsidR="004F290B">
        <w:rPr>
          <w:b w:val="0"/>
          <w:bCs/>
          <w:color w:val="auto"/>
          <w:lang w:eastAsia="id-ID"/>
        </w:rPr>
        <w:instrText>ADDIN CSL_CITATION {"citationItems":[{"id":"ITEM-1","itemData":{"author":[{"dropping-particle":"","family":"Khalil","given":"Rehana","non-dropping-particle":"","parse-names":false,"suffix":""},{"dropping-particle":"","family":"Mansour","given":"Ali E","non-dropping-particle":"","parse-names":false,"suffix":""},{"dropping-particle":"","family":"Fadda","given":"Walaa A","non-dropping-particle":"","parse-names":false,"suffix":""},{"dropping-particle":"","family":"Almisnid","given":"Khaled","non-dropping-particle":"","parse-names":false,"suffix":""},{"dropping-particle":"","family":"Aldamegh","given":"Mohammed","non-dropping-particle":"","parse-names":false,"suffix":""},{"dropping-particle":"","family":"Al-nafeesah","given":"Abdullah","non-dropping-particle":"","parse-names":false,"suffix":""},{"dropping-particle":"","family":"Alkhalifah","given":"Azzam","non-dropping-particle":"","parse-names":false,"suffix":""},{"dropping-particle":"","family":"Al-wutayd","given":"Osama","non-dropping-particle":"","parse-names":false,"suffix":""}],"container-title":"BMC Medical Education","id":"ITEM-1","issue":"285","issued":{"date-parts":[["2020"]]},"page":"1-10","publisher":"BMC Medical Education","title":"The sudden transition to synchronized online learning during the COVID-19 pandemic in Saudi Arabia : a qualitative study exploring medical students ’ perspectives","type":"article-journal","volume":"20"},"uris":["http://www.mendeley.com/documents/?uuid=3efce2f4-6159-48f1-b201-d782a53661c8"]}],"mendeley":{"formattedCitation":"[11]","plainTextFormattedCitation":"[11]","previouslyFormattedCitation":"[11]"},"properties":{"noteIndex":0},"schema":"https://github.com/citation-style-language/schema/raw/master/csl-citation.json"}</w:instrText>
      </w:r>
      <w:r w:rsidR="00C37F00" w:rsidRPr="0016793F">
        <w:rPr>
          <w:b w:val="0"/>
          <w:bCs/>
          <w:color w:val="auto"/>
          <w:lang w:eastAsia="id-ID"/>
        </w:rPr>
        <w:fldChar w:fldCharType="separate"/>
      </w:r>
      <w:r w:rsidR="004D2E7F" w:rsidRPr="004D2E7F">
        <w:rPr>
          <w:b w:val="0"/>
          <w:bCs/>
          <w:noProof/>
          <w:color w:val="auto"/>
          <w:lang w:eastAsia="id-ID"/>
        </w:rPr>
        <w:t>[11]</w:t>
      </w:r>
      <w:r w:rsidR="00C37F00" w:rsidRPr="0016793F">
        <w:rPr>
          <w:b w:val="0"/>
          <w:bCs/>
          <w:color w:val="auto"/>
          <w:lang w:eastAsia="id-ID"/>
        </w:rPr>
        <w:fldChar w:fldCharType="end"/>
      </w:r>
      <w:r w:rsidR="00F66D2E" w:rsidRPr="0016793F">
        <w:rPr>
          <w:b w:val="0"/>
          <w:bCs/>
          <w:color w:val="auto"/>
          <w:lang w:eastAsia="id-ID"/>
        </w:rPr>
        <w:t xml:space="preserve">. </w:t>
      </w:r>
      <w:r w:rsidRPr="0016793F">
        <w:rPr>
          <w:b w:val="0"/>
          <w:bCs/>
          <w:color w:val="auto"/>
          <w:lang w:eastAsia="id-ID"/>
        </w:rPr>
        <w:t>Apart from devices, internet networks are the central infrastructure in online learning. Bao stated that we need to ensure that students are actively and effectively involved in online learning</w:t>
      </w:r>
      <w:r w:rsidRPr="0016793F">
        <w:rPr>
          <w:b w:val="0"/>
          <w:bCs/>
          <w:color w:val="auto"/>
          <w:lang w:eastAsia="id-ID"/>
        </w:rPr>
        <w:fldChar w:fldCharType="begin" w:fldLock="1"/>
      </w:r>
      <w:r w:rsidRPr="0016793F">
        <w:rPr>
          <w:b w:val="0"/>
          <w:bCs/>
          <w:color w:val="auto"/>
          <w:lang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b w:val="0"/>
          <w:bCs/>
          <w:color w:val="auto"/>
          <w:lang w:eastAsia="id-ID"/>
        </w:rPr>
        <w:fldChar w:fldCharType="separate"/>
      </w:r>
      <w:r w:rsidRPr="0016793F">
        <w:rPr>
          <w:b w:val="0"/>
          <w:bCs/>
          <w:noProof/>
          <w:color w:val="auto"/>
          <w:lang w:eastAsia="id-ID"/>
        </w:rPr>
        <w:t>[2]</w:t>
      </w:r>
      <w:r w:rsidRPr="0016793F">
        <w:rPr>
          <w:b w:val="0"/>
          <w:bCs/>
          <w:color w:val="auto"/>
          <w:lang w:eastAsia="id-ID"/>
        </w:rPr>
        <w:fldChar w:fldCharType="end"/>
      </w:r>
      <w:r w:rsidRPr="0016793F">
        <w:rPr>
          <w:b w:val="0"/>
          <w:bCs/>
          <w:color w:val="auto"/>
          <w:lang w:eastAsia="id-ID"/>
        </w:rPr>
        <w:t xml:space="preserve">. Then, teachers must reduce obstacles related to access to technology.  It can be reduced by giving more time to work on assignments and studying material independently, providing independent assignments that can train students to find information on the website, providing teaching materials earlier than lecture </w:t>
      </w:r>
      <w:r w:rsidR="00444760">
        <w:rPr>
          <w:b w:val="0"/>
          <w:bCs/>
          <w:color w:val="auto"/>
          <w:lang w:eastAsia="id-ID"/>
        </w:rPr>
        <w:t>schedule</w:t>
      </w:r>
      <w:r w:rsidRPr="0016793F">
        <w:rPr>
          <w:b w:val="0"/>
          <w:bCs/>
          <w:color w:val="auto"/>
          <w:lang w:eastAsia="id-ID"/>
        </w:rPr>
        <w:t>, and changing file sizes.</w:t>
      </w:r>
    </w:p>
    <w:p w14:paraId="644B6E05" w14:textId="0503C539" w:rsidR="00BE50E8" w:rsidRPr="0016793F" w:rsidRDefault="00B110FD" w:rsidP="002F5C2B">
      <w:pPr>
        <w:pStyle w:val="Subsection"/>
        <w:rPr>
          <w:rFonts w:ascii="Times New Roman" w:hAnsi="Times New Roman"/>
          <w:color w:val="auto"/>
        </w:rPr>
      </w:pPr>
      <w:r w:rsidRPr="0016793F">
        <w:rPr>
          <w:i/>
          <w:iCs w:val="0"/>
          <w:color w:val="auto"/>
          <w:lang w:eastAsia="id-ID"/>
        </w:rPr>
        <w:t>Application</w:t>
      </w:r>
      <w:r w:rsidRPr="0016793F">
        <w:rPr>
          <w:rFonts w:ascii="Times New Roman" w:hAnsi="Times New Roman"/>
          <w:b/>
          <w:bCs/>
          <w:color w:val="auto"/>
        </w:rPr>
        <w:t xml:space="preserve"> </w:t>
      </w:r>
      <w:r w:rsidRPr="0016793F">
        <w:rPr>
          <w:rFonts w:ascii="Times New Roman" w:hAnsi="Times New Roman"/>
          <w:i/>
          <w:iCs w:val="0"/>
          <w:color w:val="auto"/>
        </w:rPr>
        <w:t>of Technology for Learning</w:t>
      </w:r>
    </w:p>
    <w:p w14:paraId="032480A0" w14:textId="77777777" w:rsidR="002F5C2B" w:rsidRPr="0016793F" w:rsidRDefault="00B110FD" w:rsidP="007E4D0A">
      <w:pPr>
        <w:pStyle w:val="Section"/>
        <w:numPr>
          <w:ilvl w:val="0"/>
          <w:numId w:val="0"/>
        </w:numPr>
        <w:spacing w:before="0"/>
        <w:jc w:val="both"/>
        <w:rPr>
          <w:b w:val="0"/>
          <w:bCs/>
          <w:color w:val="auto"/>
          <w:lang w:val="en-US" w:eastAsia="id-ID"/>
        </w:rPr>
      </w:pPr>
      <w:r w:rsidRPr="0016793F">
        <w:rPr>
          <w:b w:val="0"/>
          <w:bCs/>
          <w:color w:val="auto"/>
          <w:lang w:val="en-US" w:eastAsia="id-ID"/>
        </w:rPr>
        <w:t>The aspect of applying technology to learning consists of 5 items. Aspects of applying technology to learning are related to storing paperless files, using email to communicate, and using software to do assignments. Besides, applying technology to learning also reveals perceptions of the urgency of using devices in online learning and perceptions of the technology used to complete tasks.</w:t>
      </w:r>
    </w:p>
    <w:p w14:paraId="2A67259B" w14:textId="3A4A5421" w:rsidR="002F5C2B" w:rsidRPr="0016793F" w:rsidRDefault="005E65A8"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 xml:space="preserve">Applying </w:t>
      </w:r>
      <w:r w:rsidR="00B110FD" w:rsidRPr="0016793F">
        <w:rPr>
          <w:b w:val="0"/>
          <w:bCs/>
          <w:color w:val="auto"/>
          <w:lang w:val="en-US" w:eastAsia="id-ID"/>
        </w:rPr>
        <w:t>technology to learning is related to the use of online storage media. This relationship is because the material and the assignments' results need to be stored in the soft-file form. As many as 61.29% (95) of respondents still use offline storage media, namely print outs, hard disks, and USB drives. Meanwhile, 38.71% (60) of respondents have used online storage media.</w:t>
      </w:r>
    </w:p>
    <w:p w14:paraId="521A646D" w14:textId="77777777" w:rsidR="002F5C2B" w:rsidRPr="0016793F" w:rsidRDefault="00B110FD"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 xml:space="preserve">Using email and using software are the most basic ways to communicate in the digital age and online learning era. The majority of respondents used email as a medium of communication, as many as 104 students (67.10%). Furthermore, 30.32% (47) of respondents state that they always use specific software to study and do assignments. Meanwhile, 60.65% (94) of respondents state that they often use specific software to do assignments and study and 9.03% (14) respondents state that they only occasionally use specific software to study and do assignments. </w:t>
      </w:r>
    </w:p>
    <w:p w14:paraId="598B7BF1" w14:textId="77777777" w:rsidR="002F5C2B" w:rsidRPr="0016793F" w:rsidRDefault="00B110FD"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Another thing that was revealed in applying technology for learning was the perception of the urgency of using devices in online learning and the perception of the technology used to complete tasks. As many as 94.19% (146) respondents believe that devices are essential in online learning, and 5.81% (9) think that devices are not always crucial in online learning. Another aspect of applying technology for learning is related to the perception of technology for task completion. As many as 39.35% (61) of respondents stated, technology was not related and even hindered the collection of assignments. Meanwhile, 60.65% (94) of respondents thought that technology made the task easier.</w:t>
      </w:r>
    </w:p>
    <w:p w14:paraId="7CB1DFF7" w14:textId="4FC8E6A6" w:rsidR="002F5C2B" w:rsidRPr="0016793F" w:rsidRDefault="00B110FD" w:rsidP="007E4D0A">
      <w:pPr>
        <w:pStyle w:val="Section"/>
        <w:numPr>
          <w:ilvl w:val="0"/>
          <w:numId w:val="0"/>
        </w:numPr>
        <w:spacing w:before="0"/>
        <w:ind w:firstLine="284"/>
        <w:jc w:val="both"/>
        <w:rPr>
          <w:b w:val="0"/>
          <w:bCs/>
          <w:color w:val="auto"/>
          <w:lang w:eastAsia="id-ID"/>
        </w:rPr>
      </w:pPr>
      <w:r w:rsidRPr="0016793F">
        <w:rPr>
          <w:b w:val="0"/>
          <w:bCs/>
          <w:color w:val="auto"/>
          <w:lang w:eastAsia="id-ID"/>
        </w:rPr>
        <w:t xml:space="preserve">Students need to take advantage of the rapid development of information technology </w:t>
      </w:r>
      <w:r w:rsidR="001372F3">
        <w:rPr>
          <w:b w:val="0"/>
          <w:bCs/>
          <w:color w:val="auto"/>
          <w:lang w:eastAsia="id-ID"/>
        </w:rPr>
        <w:t xml:space="preserve">to </w:t>
      </w:r>
      <w:r w:rsidRPr="0016793F">
        <w:rPr>
          <w:b w:val="0"/>
          <w:bCs/>
          <w:color w:val="auto"/>
          <w:lang w:eastAsia="id-ID"/>
        </w:rPr>
        <w:t>study</w:t>
      </w:r>
      <w:r w:rsidR="001372F3">
        <w:rPr>
          <w:b w:val="0"/>
          <w:bCs/>
          <w:color w:val="auto"/>
          <w:lang w:eastAsia="id-ID"/>
        </w:rPr>
        <w:t xml:space="preserve"> </w:t>
      </w:r>
      <w:r w:rsidR="003130D6">
        <w:rPr>
          <w:b w:val="0"/>
          <w:bCs/>
          <w:color w:val="auto"/>
          <w:lang w:eastAsia="id-ID"/>
        </w:rPr>
        <w:t>physics concept</w:t>
      </w:r>
      <w:r w:rsidR="001372F3">
        <w:rPr>
          <w:b w:val="0"/>
          <w:bCs/>
          <w:color w:val="auto"/>
          <w:lang w:eastAsia="id-ID"/>
        </w:rPr>
        <w:t>s</w:t>
      </w:r>
      <w:r w:rsidR="003130D6">
        <w:rPr>
          <w:b w:val="0"/>
          <w:bCs/>
          <w:color w:val="auto"/>
          <w:lang w:eastAsia="id-ID"/>
        </w:rPr>
        <w:t xml:space="preserve"> </w:t>
      </w:r>
      <w:r w:rsidRPr="0016793F">
        <w:rPr>
          <w:b w:val="0"/>
          <w:bCs/>
          <w:color w:val="auto"/>
          <w:lang w:eastAsia="id-ID"/>
        </w:rPr>
        <w:t>independently</w:t>
      </w:r>
      <w:r w:rsidR="004F290B">
        <w:rPr>
          <w:b w:val="0"/>
          <w:bCs/>
          <w:color w:val="auto"/>
          <w:lang w:eastAsia="id-ID"/>
        </w:rPr>
        <w:fldChar w:fldCharType="begin" w:fldLock="1"/>
      </w:r>
      <w:r w:rsidR="007B59E4">
        <w:rPr>
          <w:b w:val="0"/>
          <w:bCs/>
          <w:color w:val="auto"/>
          <w:lang w:eastAsia="id-ID"/>
        </w:rPr>
        <w:instrText>ADDIN CSL_CITATION {"citationItems":[{"id":"ITEM-1","itemData":{"DOI":"10.1103/PhysRevPhysEducRes.16.010126","ISSN":"2469-9896","author":[{"dropping-particle":"","family":"Devore","given":"Seth","non-dropping-particle":"","parse-names":false,"suffix":""},{"dropping-particle":"","family":"Singh","given":"Chandralekha","non-dropping-particle":"","parse-names":false,"suffix":""}],"container-title":"Physical Review Physics Education Research","id":"ITEM-1","issue":"1","issued":{"date-parts":[["2020"]]},"page":"10126","publisher":"American Physical Society","title":"Interactive learning tutorial on quantum key distribution","type":"article-journal","volume":"16"},"uris":["http://www.mendeley.com/documents/?uuid=863cbf14-e1eb-45a6-af0a-2a328219f9a1"]}],"mendeley":{"formattedCitation":"[12]","plainTextFormattedCitation":"[12]","previouslyFormattedCitation":"[12]"},"properties":{"noteIndex":0},"schema":"https://github.com/citation-style-language/schema/raw/master/csl-citation.json"}</w:instrText>
      </w:r>
      <w:r w:rsidR="004F290B">
        <w:rPr>
          <w:b w:val="0"/>
          <w:bCs/>
          <w:color w:val="auto"/>
          <w:lang w:eastAsia="id-ID"/>
        </w:rPr>
        <w:fldChar w:fldCharType="separate"/>
      </w:r>
      <w:r w:rsidR="004F290B" w:rsidRPr="004F290B">
        <w:rPr>
          <w:b w:val="0"/>
          <w:bCs/>
          <w:noProof/>
          <w:color w:val="auto"/>
          <w:lang w:eastAsia="id-ID"/>
        </w:rPr>
        <w:t>[12]</w:t>
      </w:r>
      <w:r w:rsidR="004F290B">
        <w:rPr>
          <w:b w:val="0"/>
          <w:bCs/>
          <w:color w:val="auto"/>
          <w:lang w:eastAsia="id-ID"/>
        </w:rPr>
        <w:fldChar w:fldCharType="end"/>
      </w:r>
      <w:r w:rsidRPr="0016793F">
        <w:rPr>
          <w:b w:val="0"/>
          <w:bCs/>
          <w:color w:val="auto"/>
          <w:lang w:eastAsia="id-ID"/>
        </w:rPr>
        <w:t>. It can be started by taking advantage of things like saving the results of doing assignments and books in soft files and then storing them online and offline and using specific software to complete the task. This behavior can provide benefits to students in online learning that demands more studying independently.</w:t>
      </w:r>
    </w:p>
    <w:p w14:paraId="7E7F1279" w14:textId="67337BB1" w:rsidR="00144FCE" w:rsidRPr="0016793F" w:rsidRDefault="00B110FD" w:rsidP="00144FCE">
      <w:pPr>
        <w:pStyle w:val="Subsection"/>
        <w:rPr>
          <w:rFonts w:ascii="Times New Roman" w:hAnsi="Times New Roman"/>
          <w:color w:val="auto"/>
        </w:rPr>
      </w:pPr>
      <w:r w:rsidRPr="0016793F">
        <w:rPr>
          <w:i/>
          <w:iCs w:val="0"/>
          <w:color w:val="auto"/>
          <w:lang w:eastAsia="id-ID"/>
        </w:rPr>
        <w:t>Online</w:t>
      </w:r>
      <w:r w:rsidRPr="0016793F">
        <w:rPr>
          <w:rFonts w:ascii="Times New Roman" w:hAnsi="Times New Roman"/>
          <w:color w:val="auto"/>
        </w:rPr>
        <w:t xml:space="preserve"> </w:t>
      </w:r>
      <w:r w:rsidRPr="0016793F">
        <w:rPr>
          <w:rFonts w:ascii="Times New Roman" w:hAnsi="Times New Roman"/>
          <w:i/>
          <w:iCs w:val="0"/>
          <w:color w:val="auto"/>
        </w:rPr>
        <w:t>Learning Readiness</w:t>
      </w:r>
    </w:p>
    <w:p w14:paraId="2F5DFE4B" w14:textId="3C7656E8" w:rsidR="00626CDA" w:rsidRPr="0016793F" w:rsidRDefault="00B110FD" w:rsidP="00540311">
      <w:pPr>
        <w:pStyle w:val="Section"/>
        <w:numPr>
          <w:ilvl w:val="0"/>
          <w:numId w:val="0"/>
        </w:numPr>
        <w:spacing w:before="0"/>
        <w:jc w:val="both"/>
        <w:rPr>
          <w:b w:val="0"/>
          <w:bCs/>
          <w:color w:val="auto"/>
          <w:lang w:val="en-US" w:eastAsia="id-ID"/>
        </w:rPr>
      </w:pPr>
      <w:r w:rsidRPr="0016793F">
        <w:rPr>
          <w:b w:val="0"/>
          <w:bCs/>
          <w:color w:val="auto"/>
          <w:lang w:val="en-US" w:eastAsia="id-ID"/>
        </w:rPr>
        <w:t xml:space="preserve">Students' online learning readiness needs to be supported by the University. Support from universities in online learning is providing </w:t>
      </w:r>
      <w:r w:rsidR="000F2188" w:rsidRPr="0016793F">
        <w:rPr>
          <w:b w:val="0"/>
          <w:bCs/>
          <w:color w:val="auto"/>
          <w:lang w:val="en-US" w:eastAsia="id-ID"/>
        </w:rPr>
        <w:t>free internet quota</w:t>
      </w:r>
      <w:r w:rsidRPr="0016793F">
        <w:rPr>
          <w:b w:val="0"/>
          <w:bCs/>
          <w:color w:val="auto"/>
          <w:lang w:val="en-US" w:eastAsia="id-ID"/>
        </w:rPr>
        <w:t xml:space="preserve"> and providing a learning application system. Besides, students need to understand the consequences of online</w:t>
      </w:r>
      <w:r w:rsidR="005A524E">
        <w:rPr>
          <w:b w:val="0"/>
          <w:bCs/>
          <w:color w:val="auto"/>
          <w:lang w:val="en-US" w:eastAsia="id-ID"/>
        </w:rPr>
        <w:t xml:space="preserve"> learning</w:t>
      </w:r>
      <w:r w:rsidRPr="0016793F">
        <w:rPr>
          <w:b w:val="0"/>
          <w:bCs/>
          <w:color w:val="auto"/>
          <w:lang w:val="en-US" w:eastAsia="id-ID"/>
        </w:rPr>
        <w:t>. As many as 50.97% (79) of respondents stated that they understood the consequences of learning online. Almost half of the respondents (45.81%) still do not understand the consequences of learning online</w:t>
      </w:r>
      <w:r w:rsidR="00467F2B">
        <w:rPr>
          <w:b w:val="0"/>
          <w:bCs/>
          <w:color w:val="auto"/>
          <w:lang w:val="en-US" w:eastAsia="id-ID"/>
        </w:rPr>
        <w:t>, and the rest</w:t>
      </w:r>
      <w:r w:rsidRPr="0016793F">
        <w:rPr>
          <w:b w:val="0"/>
          <w:bCs/>
          <w:color w:val="auto"/>
          <w:lang w:val="en-US" w:eastAsia="id-ID"/>
        </w:rPr>
        <w:t xml:space="preserve"> do not understand the consequences of learning online (3.23%).</w:t>
      </w:r>
      <w:r w:rsidR="0039244B" w:rsidRPr="0016793F">
        <w:rPr>
          <w:b w:val="0"/>
          <w:bCs/>
          <w:color w:val="auto"/>
          <w:lang w:val="en-US" w:eastAsia="id-ID"/>
        </w:rPr>
        <w:t xml:space="preserve"> </w:t>
      </w:r>
      <w:r w:rsidR="001B066A" w:rsidRPr="0016793F">
        <w:rPr>
          <w:b w:val="0"/>
          <w:bCs/>
          <w:color w:val="auto"/>
          <w:lang w:val="en-US" w:eastAsia="id-ID"/>
        </w:rPr>
        <w:t>Understanding the consequences of online</w:t>
      </w:r>
      <w:r w:rsidR="00D06A0E" w:rsidRPr="0016793F">
        <w:rPr>
          <w:b w:val="0"/>
          <w:bCs/>
          <w:color w:val="auto"/>
          <w:lang w:val="en-US" w:eastAsia="id-ID"/>
        </w:rPr>
        <w:t xml:space="preserve"> </w:t>
      </w:r>
      <w:r w:rsidR="0026586B">
        <w:rPr>
          <w:b w:val="0"/>
          <w:bCs/>
          <w:color w:val="auto"/>
          <w:lang w:val="en-US" w:eastAsia="id-ID"/>
        </w:rPr>
        <w:t xml:space="preserve">learning </w:t>
      </w:r>
      <w:r w:rsidR="00D06A0E" w:rsidRPr="0016793F">
        <w:rPr>
          <w:b w:val="0"/>
          <w:bCs/>
          <w:color w:val="auto"/>
          <w:lang w:val="en-US" w:eastAsia="id-ID"/>
        </w:rPr>
        <w:t xml:space="preserve">is essential </w:t>
      </w:r>
      <w:r w:rsidR="0026586B">
        <w:rPr>
          <w:b w:val="0"/>
          <w:bCs/>
          <w:color w:val="auto"/>
          <w:lang w:val="en-US" w:eastAsia="id-ID"/>
        </w:rPr>
        <w:t>to</w:t>
      </w:r>
      <w:r w:rsidR="00DB281B" w:rsidRPr="0016793F">
        <w:rPr>
          <w:b w:val="0"/>
          <w:bCs/>
          <w:color w:val="auto"/>
          <w:lang w:val="en-US" w:eastAsia="id-ID"/>
        </w:rPr>
        <w:t xml:space="preserve"> make the right decision about </w:t>
      </w:r>
      <w:r w:rsidR="0026586B">
        <w:rPr>
          <w:b w:val="0"/>
          <w:bCs/>
          <w:color w:val="auto"/>
          <w:lang w:val="en-US" w:eastAsia="id-ID"/>
        </w:rPr>
        <w:t>student</w:t>
      </w:r>
      <w:r w:rsidR="00DB281B" w:rsidRPr="0016793F">
        <w:rPr>
          <w:b w:val="0"/>
          <w:bCs/>
          <w:color w:val="auto"/>
          <w:lang w:val="en-US" w:eastAsia="id-ID"/>
        </w:rPr>
        <w:t xml:space="preserve"> online learning habits.</w:t>
      </w:r>
    </w:p>
    <w:p w14:paraId="6F494D6E" w14:textId="6FC8673B" w:rsidR="00626CDA" w:rsidRDefault="00B110FD" w:rsidP="00626CD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lastRenderedPageBreak/>
        <w:t>Furthermore, only 1.94% (3) respondents are interested in online learning as a whole</w:t>
      </w:r>
      <w:r w:rsidR="00C37F00" w:rsidRPr="0016793F">
        <w:rPr>
          <w:b w:val="0"/>
          <w:bCs/>
          <w:color w:val="auto"/>
          <w:lang w:val="en-US" w:eastAsia="id-ID"/>
        </w:rPr>
        <w:t>, and the rest (</w:t>
      </w:r>
      <w:r w:rsidR="00C37F00" w:rsidRPr="0016793F">
        <w:rPr>
          <w:rFonts w:cs="Times"/>
          <w:b w:val="0"/>
          <w:bCs/>
          <w:color w:val="auto"/>
          <w:shd w:val="clear" w:color="auto" w:fill="FFFFFF"/>
        </w:rPr>
        <w:t>98.06%) do not like full online learning</w:t>
      </w:r>
      <w:r w:rsidRPr="0016793F">
        <w:rPr>
          <w:b w:val="0"/>
          <w:bCs/>
          <w:color w:val="auto"/>
          <w:lang w:val="en-US" w:eastAsia="id-ID"/>
        </w:rPr>
        <w:t>. When learning online, as many as 90.32% (140) of respondents liked learning media in a variety of print and digital formats, 3.23% (5) of respondents stated that online learning sources were sufficient, and 6.45% (10) of respondents did not like various learning resources in digital and online formats. The perception of the comparison between the convenience of online learning systems and face-to-face learning shows that 11.61% (18) of respondents stated that online learning is more straightforward than face-to-face learning. Meanwhile, 16.77% (26) of respondents stated that learning online and face-to-face learning are the same, and 58.06% (90) stated that online learning is more complicated than face-to-face learning. Even 13.55% (21) stated that online learning systems could not replace face-to-face learning.</w:t>
      </w:r>
      <w:r w:rsidR="00F04FA9">
        <w:rPr>
          <w:b w:val="0"/>
          <w:bCs/>
          <w:color w:val="auto"/>
          <w:lang w:val="en-US" w:eastAsia="id-ID"/>
        </w:rPr>
        <w:t xml:space="preserve"> </w:t>
      </w:r>
      <w:r w:rsidRPr="0016793F">
        <w:rPr>
          <w:b w:val="0"/>
          <w:bCs/>
          <w:color w:val="auto"/>
          <w:lang w:val="en-US" w:eastAsia="id-ID"/>
        </w:rPr>
        <w:t xml:space="preserve">Convenience in browsing websites means that a person knows how to find information on a website, use search engines, and know which websites need to be visited to find information. The survey results showed that 52.90% (82) of respondents stated that they were comfortable in searching for </w:t>
      </w:r>
      <w:r w:rsidR="00B82A05">
        <w:rPr>
          <w:b w:val="0"/>
          <w:bCs/>
          <w:color w:val="auto"/>
          <w:lang w:val="en-US" w:eastAsia="id-ID"/>
        </w:rPr>
        <w:t xml:space="preserve">scientific </w:t>
      </w:r>
      <w:r w:rsidRPr="0016793F">
        <w:rPr>
          <w:b w:val="0"/>
          <w:bCs/>
          <w:color w:val="auto"/>
          <w:lang w:val="en-US" w:eastAsia="id-ID"/>
        </w:rPr>
        <w:t>information through the website, 37.42% (58) of respondents were not comfortable yet, and 9.68% (15) of respondents often felt worried.</w:t>
      </w:r>
    </w:p>
    <w:p w14:paraId="5B6BDBC0" w14:textId="5282F0AB" w:rsidR="00540311" w:rsidRPr="0016793F" w:rsidRDefault="00547533" w:rsidP="00540311">
      <w:pPr>
        <w:pStyle w:val="Section"/>
        <w:numPr>
          <w:ilvl w:val="0"/>
          <w:numId w:val="0"/>
        </w:numPr>
        <w:spacing w:before="0"/>
        <w:ind w:firstLine="284"/>
        <w:jc w:val="both"/>
        <w:rPr>
          <w:b w:val="0"/>
          <w:bCs/>
          <w:color w:val="auto"/>
          <w:lang w:val="en-US" w:eastAsia="id-ID"/>
        </w:rPr>
      </w:pPr>
      <w:r>
        <w:rPr>
          <w:b w:val="0"/>
          <w:bCs/>
          <w:color w:val="auto"/>
          <w:lang w:val="en-US" w:eastAsia="id-ID"/>
        </w:rPr>
        <w:t xml:space="preserve">The </w:t>
      </w:r>
      <w:r w:rsidRPr="00664192">
        <w:rPr>
          <w:b w:val="0"/>
          <w:bCs/>
          <w:color w:val="auto"/>
          <w:lang w:val="en-US" w:eastAsia="id-ID"/>
        </w:rPr>
        <w:t>researc</w:t>
      </w:r>
      <w:r>
        <w:rPr>
          <w:b w:val="0"/>
          <w:bCs/>
          <w:color w:val="auto"/>
          <w:lang w:val="en-US" w:eastAsia="id-ID"/>
        </w:rPr>
        <w:t xml:space="preserve">h </w:t>
      </w:r>
      <w:r>
        <w:rPr>
          <w:b w:val="0"/>
          <w:bCs/>
          <w:color w:val="auto"/>
          <w:lang w:val="en-US" w:eastAsia="id-ID"/>
        </w:rPr>
        <w:t>by</w:t>
      </w:r>
      <w:r w:rsidRPr="00664192">
        <w:rPr>
          <w:b w:val="0"/>
          <w:bCs/>
          <w:color w:val="auto"/>
          <w:lang w:val="en-US" w:eastAsia="id-ID"/>
        </w:rPr>
        <w:t xml:space="preserve"> Kapasia </w:t>
      </w:r>
      <w:r>
        <w:rPr>
          <w:b w:val="0"/>
          <w:bCs/>
          <w:color w:val="auto"/>
          <w:lang w:val="en-US" w:eastAsia="id-ID"/>
        </w:rPr>
        <w:t xml:space="preserve">et al. </w:t>
      </w:r>
      <w:r w:rsidRPr="00664192">
        <w:rPr>
          <w:b w:val="0"/>
          <w:bCs/>
          <w:color w:val="auto"/>
          <w:lang w:val="en-US" w:eastAsia="id-ID"/>
        </w:rPr>
        <w:t>and Khalil</w:t>
      </w:r>
      <w:r>
        <w:rPr>
          <w:b w:val="0"/>
          <w:bCs/>
          <w:color w:val="auto"/>
          <w:lang w:val="en-US" w:eastAsia="id-ID"/>
        </w:rPr>
        <w:t xml:space="preserve"> et al.</w:t>
      </w:r>
      <w:r>
        <w:rPr>
          <w:b w:val="0"/>
          <w:bCs/>
          <w:color w:val="auto"/>
          <w:lang w:val="en-US" w:eastAsia="id-ID"/>
        </w:rPr>
        <w:t xml:space="preserve"> on</w:t>
      </w:r>
      <w:r w:rsidR="00B110FD" w:rsidRPr="00664192">
        <w:rPr>
          <w:b w:val="0"/>
          <w:bCs/>
          <w:color w:val="auto"/>
          <w:lang w:val="en-US" w:eastAsia="id-ID"/>
        </w:rPr>
        <w:t xml:space="preserve"> online learning readiness </w:t>
      </w:r>
      <w:r>
        <w:rPr>
          <w:b w:val="0"/>
          <w:bCs/>
          <w:color w:val="auto"/>
          <w:lang w:val="en-US" w:eastAsia="id-ID"/>
        </w:rPr>
        <w:t>revealed</w:t>
      </w:r>
      <w:r w:rsidR="00B110FD" w:rsidRPr="00664192">
        <w:rPr>
          <w:b w:val="0"/>
          <w:bCs/>
          <w:color w:val="auto"/>
          <w:lang w:val="en-US" w:eastAsia="id-ID"/>
        </w:rPr>
        <w:t xml:space="preserve"> that online learning causes boredom, anxiety, and frustration</w:t>
      </w:r>
      <w:r w:rsidR="00A16072">
        <w:rPr>
          <w:b w:val="0"/>
          <w:bCs/>
          <w:color w:val="auto"/>
          <w:lang w:val="en-US" w:eastAsia="id-ID"/>
        </w:rPr>
        <w:fldChar w:fldCharType="begin" w:fldLock="1"/>
      </w:r>
      <w:r w:rsidR="004F290B">
        <w:rPr>
          <w:b w:val="0"/>
          <w:bCs/>
          <w:color w:val="auto"/>
          <w:lang w:val="en-US" w:eastAsia="id-ID"/>
        </w:rPr>
        <w:instrText>ADDIN CSL_CITATION {"citationItems":[{"id":"ITEM-1","itemData":{"author":[{"dropping-particle":"","family":"Khalil","given":"Rehana","non-dropping-particle":"","parse-names":false,"suffix":""},{"dropping-particle":"","family":"Mansour","given":"Ali E","non-dropping-particle":"","parse-names":false,"suffix":""},{"dropping-particle":"","family":"Fadda","given":"Walaa A","non-dropping-particle":"","parse-names":false,"suffix":""},{"dropping-particle":"","family":"Almisnid","given":"Khaled","non-dropping-particle":"","parse-names":false,"suffix":""},{"dropping-particle":"","family":"Aldamegh","given":"Mohammed","non-dropping-particle":"","parse-names":false,"suffix":""},{"dropping-particle":"","family":"Al-nafeesah","given":"Abdullah","non-dropping-particle":"","parse-names":false,"suffix":""},{"dropping-particle":"","family":"Alkhalifah","given":"Azzam","non-dropping-particle":"","parse-names":false,"suffix":""},{"dropping-particle":"","family":"Al-wutayd","given":"Osama","non-dropping-particle":"","parse-names":false,"suffix":""}],"container-title":"BMC Medical Education","id":"ITEM-1","issue":"285","issued":{"date-parts":[["2020"]]},"page":"1-10","publisher":"BMC Medical Education","title":"The sudden transition to synchronized online learning during the COVID-19 pandemic in Saudi Arabia : a qualitative study exploring medical students ’ perspectives","type":"article-journal","volume":"20"},"uris":["http://www.mendeley.com/documents/?uuid=3efce2f4-6159-48f1-b201-d782a53661c8"]}],"mendeley":{"formattedCitation":"[11]","plainTextFormattedCitation":"[11]","previouslyFormattedCitation":"[11]"},"properties":{"noteIndex":0},"schema":"https://github.com/citation-style-language/schema/raw/master/csl-citation.json"}</w:instrText>
      </w:r>
      <w:r w:rsidR="00A16072">
        <w:rPr>
          <w:b w:val="0"/>
          <w:bCs/>
          <w:color w:val="auto"/>
          <w:lang w:val="en-US" w:eastAsia="id-ID"/>
        </w:rPr>
        <w:fldChar w:fldCharType="separate"/>
      </w:r>
      <w:r w:rsidR="004D2E7F" w:rsidRPr="004D2E7F">
        <w:rPr>
          <w:b w:val="0"/>
          <w:bCs/>
          <w:noProof/>
          <w:color w:val="auto"/>
          <w:lang w:val="en-US" w:eastAsia="id-ID"/>
        </w:rPr>
        <w:t>[11]</w:t>
      </w:r>
      <w:r w:rsidR="00A16072">
        <w:rPr>
          <w:b w:val="0"/>
          <w:bCs/>
          <w:color w:val="auto"/>
          <w:lang w:val="en-US" w:eastAsia="id-ID"/>
        </w:rPr>
        <w:fldChar w:fldCharType="end"/>
      </w:r>
      <w:r w:rsidR="00A16072">
        <w:rPr>
          <w:b w:val="0"/>
          <w:bCs/>
          <w:color w:val="auto"/>
          <w:lang w:val="en-US" w:eastAsia="id-ID"/>
        </w:rPr>
        <w:fldChar w:fldCharType="begin" w:fldLock="1"/>
      </w:r>
      <w:r w:rsidR="004F290B">
        <w:rPr>
          <w:b w:val="0"/>
          <w:bCs/>
          <w:color w:val="auto"/>
          <w:lang w:val="en-US" w:eastAsia="id-ID"/>
        </w:rPr>
        <w:instrText>ADDIN CSL_CITATION {"citationItems":[{"id":"ITEM-1","itemData":{"DOI":"10.1016/j.childyouth.2020.105194","ISSN":"0190-7409","author":[{"dropping-particle":"","family":"Kapasia","given":"Nanigopal","non-dropping-particle":"","parse-names":false,"suffix":""},{"dropping-particle":"","family":"Paul","given":"Pintu","non-dropping-particle":"","parse-names":false,"suffix":""},{"dropping-particle":"","family":"Roy","given":"Avijit","non-dropping-particle":"","parse-names":false,"suffix":""},{"dropping-particle":"","family":"Saha","given":"Jay","non-dropping-particle":"","parse-names":false,"suffix":""},{"dropping-particle":"","family":"Zaveri","given":"Ankita","non-dropping-particle":"","parse-names":false,"suffix":""},{"dropping-particle":"","family":"Mallick","given":"Rahul","non-dropping-particle":"","parse-names":false,"suffix":""}],"container-title":"Children and Youth Services Review","id":"ITEM-1","issue":"June","issued":{"date-parts":[["2020"]]},"page":"1-5","publisher":"Elsevier","title":"Impact of lockdown on learning status of undergraduate and postgraduate students during COVID-19 pandemic in West Bengal , India","type":"article-journal","volume":"116"},"uris":["http://www.mendeley.com/documents/?uuid=5cba0fea-5dad-4292-9679-9c5c78ece6a4"]}],"mendeley":{"formattedCitation":"[10]","plainTextFormattedCitation":"[10]","previouslyFormattedCitation":"[10]"},"properties":{"noteIndex":0},"schema":"https://github.com/citation-style-language/schema/raw/master/csl-citation.json"}</w:instrText>
      </w:r>
      <w:r w:rsidR="00A16072">
        <w:rPr>
          <w:b w:val="0"/>
          <w:bCs/>
          <w:color w:val="auto"/>
          <w:lang w:val="en-US" w:eastAsia="id-ID"/>
        </w:rPr>
        <w:fldChar w:fldCharType="separate"/>
      </w:r>
      <w:r w:rsidR="004D2E7F" w:rsidRPr="004D2E7F">
        <w:rPr>
          <w:b w:val="0"/>
          <w:bCs/>
          <w:noProof/>
          <w:color w:val="auto"/>
          <w:lang w:val="en-US" w:eastAsia="id-ID"/>
        </w:rPr>
        <w:t>[10]</w:t>
      </w:r>
      <w:r w:rsidR="00A16072">
        <w:rPr>
          <w:b w:val="0"/>
          <w:bCs/>
          <w:color w:val="auto"/>
          <w:lang w:val="en-US" w:eastAsia="id-ID"/>
        </w:rPr>
        <w:fldChar w:fldCharType="end"/>
      </w:r>
      <w:r w:rsidR="00B110FD" w:rsidRPr="00664192">
        <w:rPr>
          <w:b w:val="0"/>
          <w:bCs/>
          <w:color w:val="auto"/>
          <w:lang w:val="en-US" w:eastAsia="id-ID"/>
        </w:rPr>
        <w:t>.</w:t>
      </w:r>
      <w:r w:rsidR="00B110FD" w:rsidRPr="00540311">
        <w:rPr>
          <w:b w:val="0"/>
          <w:bCs/>
          <w:color w:val="auto"/>
          <w:lang w:val="en-US" w:eastAsia="id-ID"/>
        </w:rPr>
        <w:t xml:space="preserve"> </w:t>
      </w:r>
      <w:r w:rsidR="00E4361A">
        <w:rPr>
          <w:b w:val="0"/>
          <w:bCs/>
          <w:color w:val="auto"/>
          <w:lang w:val="en-US" w:eastAsia="id-ID"/>
        </w:rPr>
        <w:t>T</w:t>
      </w:r>
      <w:r w:rsidR="00B110FD" w:rsidRPr="00540311">
        <w:rPr>
          <w:b w:val="0"/>
          <w:bCs/>
          <w:color w:val="auto"/>
          <w:lang w:val="en-US" w:eastAsia="id-ID"/>
        </w:rPr>
        <w:t>h</w:t>
      </w:r>
      <w:r w:rsidR="00B919AB">
        <w:rPr>
          <w:b w:val="0"/>
          <w:bCs/>
          <w:color w:val="auto"/>
          <w:lang w:val="en-US" w:eastAsia="id-ID"/>
        </w:rPr>
        <w:t>ose</w:t>
      </w:r>
      <w:r w:rsidR="00B110FD" w:rsidRPr="00540311">
        <w:rPr>
          <w:b w:val="0"/>
          <w:bCs/>
          <w:color w:val="auto"/>
          <w:lang w:val="en-US" w:eastAsia="id-ID"/>
        </w:rPr>
        <w:t xml:space="preserve"> discomfort of online </w:t>
      </w:r>
      <w:r w:rsidR="003E4C66">
        <w:rPr>
          <w:b w:val="0"/>
          <w:bCs/>
          <w:color w:val="auto"/>
          <w:lang w:val="en-US" w:eastAsia="id-ID"/>
        </w:rPr>
        <w:t xml:space="preserve">learning </w:t>
      </w:r>
      <w:r w:rsidR="00866C38">
        <w:rPr>
          <w:b w:val="0"/>
          <w:bCs/>
          <w:color w:val="auto"/>
          <w:lang w:val="en-US" w:eastAsia="id-ID"/>
        </w:rPr>
        <w:t xml:space="preserve">because </w:t>
      </w:r>
      <w:r w:rsidR="0094557D" w:rsidRPr="0094557D">
        <w:rPr>
          <w:b w:val="0"/>
          <w:bCs/>
          <w:color w:val="auto"/>
          <w:lang w:val="en-US" w:eastAsia="id-ID"/>
        </w:rPr>
        <w:t>students cannot do</w:t>
      </w:r>
      <w:r>
        <w:rPr>
          <w:b w:val="0"/>
          <w:bCs/>
          <w:color w:val="auto"/>
          <w:lang w:val="en-US" w:eastAsia="id-ID"/>
        </w:rPr>
        <w:t xml:space="preserve"> a</w:t>
      </w:r>
      <w:r w:rsidR="0094557D" w:rsidRPr="0094557D">
        <w:rPr>
          <w:b w:val="0"/>
          <w:bCs/>
          <w:color w:val="auto"/>
          <w:lang w:val="en-US" w:eastAsia="id-ID"/>
        </w:rPr>
        <w:t xml:space="preserve"> practicum, have difficulty understanding complex mathematical formulations, and </w:t>
      </w:r>
      <w:r>
        <w:rPr>
          <w:b w:val="0"/>
          <w:bCs/>
          <w:color w:val="auto"/>
          <w:lang w:val="en-US" w:eastAsia="id-ID"/>
        </w:rPr>
        <w:t>challenging</w:t>
      </w:r>
      <w:r w:rsidR="0094557D" w:rsidRPr="0094557D">
        <w:rPr>
          <w:b w:val="0"/>
          <w:bCs/>
          <w:color w:val="auto"/>
          <w:lang w:val="en-US" w:eastAsia="id-ID"/>
        </w:rPr>
        <w:t xml:space="preserve"> </w:t>
      </w:r>
      <w:r w:rsidR="007E3492">
        <w:rPr>
          <w:b w:val="0"/>
          <w:bCs/>
          <w:color w:val="auto"/>
          <w:lang w:val="en-US" w:eastAsia="id-ID"/>
        </w:rPr>
        <w:t>to improve</w:t>
      </w:r>
      <w:r w:rsidR="0094557D" w:rsidRPr="0094557D">
        <w:rPr>
          <w:b w:val="0"/>
          <w:bCs/>
          <w:color w:val="auto"/>
          <w:lang w:val="en-US" w:eastAsia="id-ID"/>
        </w:rPr>
        <w:t xml:space="preserve"> science process skills</w:t>
      </w:r>
      <w:r w:rsidR="00B110FD" w:rsidRPr="00540311">
        <w:rPr>
          <w:b w:val="0"/>
          <w:bCs/>
          <w:color w:val="auto"/>
          <w:lang w:val="en-US" w:eastAsia="id-ID"/>
        </w:rPr>
        <w:t>.</w:t>
      </w:r>
      <w:r w:rsidR="003E4C66">
        <w:rPr>
          <w:b w:val="0"/>
          <w:bCs/>
          <w:color w:val="auto"/>
          <w:lang w:val="en-US" w:eastAsia="id-ID"/>
        </w:rPr>
        <w:t xml:space="preserve"> </w:t>
      </w:r>
      <w:r w:rsidR="00F30F35">
        <w:rPr>
          <w:b w:val="0"/>
          <w:bCs/>
          <w:color w:val="auto"/>
          <w:lang w:val="en-US" w:eastAsia="id-ID"/>
        </w:rPr>
        <w:t>Even though</w:t>
      </w:r>
      <w:r>
        <w:rPr>
          <w:b w:val="0"/>
          <w:bCs/>
          <w:color w:val="auto"/>
          <w:lang w:val="en-US" w:eastAsia="id-ID"/>
        </w:rPr>
        <w:t>,</w:t>
      </w:r>
      <w:r w:rsidR="00F30F35">
        <w:rPr>
          <w:b w:val="0"/>
          <w:bCs/>
          <w:color w:val="auto"/>
          <w:lang w:val="en-US" w:eastAsia="id-ID"/>
        </w:rPr>
        <w:t xml:space="preserve"> </w:t>
      </w:r>
      <w:r w:rsidR="00F30F35" w:rsidRPr="0094557D">
        <w:rPr>
          <w:b w:val="0"/>
          <w:bCs/>
          <w:color w:val="auto"/>
          <w:lang w:val="en-US" w:eastAsia="id-ID"/>
        </w:rPr>
        <w:t>science process skills</w:t>
      </w:r>
      <w:r w:rsidR="00F30F35">
        <w:rPr>
          <w:b w:val="0"/>
          <w:bCs/>
          <w:color w:val="auto"/>
          <w:lang w:val="en-US" w:eastAsia="id-ID"/>
        </w:rPr>
        <w:t xml:space="preserve"> </w:t>
      </w:r>
      <w:r w:rsidR="00B83BD3">
        <w:rPr>
          <w:b w:val="0"/>
          <w:bCs/>
          <w:color w:val="auto"/>
          <w:lang w:val="en-US" w:eastAsia="id-ID"/>
        </w:rPr>
        <w:t>are</w:t>
      </w:r>
      <w:r w:rsidR="00F30F35">
        <w:rPr>
          <w:b w:val="0"/>
          <w:bCs/>
          <w:color w:val="auto"/>
          <w:lang w:val="en-US" w:eastAsia="id-ID"/>
        </w:rPr>
        <w:t xml:space="preserve"> </w:t>
      </w:r>
      <w:r>
        <w:rPr>
          <w:b w:val="0"/>
          <w:bCs/>
          <w:color w:val="auto"/>
          <w:lang w:val="en-US" w:eastAsia="id-ID"/>
        </w:rPr>
        <w:t xml:space="preserve">a </w:t>
      </w:r>
      <w:r w:rsidR="00F30F35">
        <w:rPr>
          <w:b w:val="0"/>
          <w:bCs/>
          <w:color w:val="auto"/>
          <w:lang w:val="en-US" w:eastAsia="id-ID"/>
        </w:rPr>
        <w:t>critical for undergraduate physics students</w:t>
      </w:r>
      <w:r w:rsidR="00B83BD3">
        <w:rPr>
          <w:b w:val="0"/>
          <w:bCs/>
          <w:color w:val="auto"/>
          <w:lang w:val="en-US" w:eastAsia="id-ID"/>
        </w:rPr>
        <w:fldChar w:fldCharType="begin" w:fldLock="1"/>
      </w:r>
      <w:r w:rsidR="00B62129">
        <w:rPr>
          <w:b w:val="0"/>
          <w:bCs/>
          <w:color w:val="auto"/>
          <w:lang w:val="en-US" w:eastAsia="id-ID"/>
        </w:rPr>
        <w:instrText>ADDIN CSL_CITATION {"citationItems":[{"id":"ITEM-1","itemData":{"DOI":"10.21067/mpej.v2i2.2726","ISSN":"2548-9127","abstract":"Abstract: Science arises and develops by including roles between theory and experiment. Physics, as part of science, is seen as a process, product, and attitude that is called the nature of science (Nature of Science / NOS). Learners obtain and construct science products in physics learning should pay attention to the NOS through Science Process Skills (SPS). This study aims to determine the level of students' understanding of integrated SPS, namely identifying and controlling variables, hypothesizing, operationally defining, graphing and interpreting data, and designing experiments. The research conducted was descriptive quantitative research with survey methods. The research subjects were students of physics teacher candidates at the University of KH. A. Wahab Hasbullah. The results showed that the integrated SPS student physics teacher candidates were still low with an average of 60.20. This shows that students have not yet reached the level of formal operational cognitive development and have not been strong in basic SPS. Students have the highest ability in the aspect of formulating hypotheses while the lowest aspects are operationally defined. An integrated effort needs to be made to increase SPS for students. Abstrak: Sains muncul dan berkembang dengan menyertakan peran antara teori dan eksperimen. Fisika, sebagai bagian dari sains, dipandang sebagai proses, produk, dan sikap yang disebut sebagai hakikat sains (Nature of Science/NOS). Peserta didik memperoleh dan mengkonstruk produk sains di pembelajaran fisika seharusnya memperhatikan NOS melalui Keterampilan Proses Sains (KPS). Penelitian ini bertujuan mengetahui tingkat pemahaman mahasiswa terhadap KPS terintegrasi yaitu mengidentifikasi dan mengontrol variabel, berhipotesis, mendefinisikan secara operasional, membuat grafik dan menginterpretasikan data, serta mendesain eksperimen. Penelitian yang dilakukan adalah penelitian kuantitatif deskriptif dengan metode survei. Subjek penelitian adalah mahasiswa calon guru fisika di Universitas KH. A. Wahab Hasbullah. Hasil penelitian menunjukkan KPS terintegrasi mahasiswa calon guru fisika masih rendah dengan rata-rata 60,20. Hal ini menunjukkan bahwa mahasiswa belum sampai pada tingkat perkembangan kognitif operasional formal dan belum kuat pada KPS dasar. Mahasiswa memiliki kemampuan paling tinggi pada aspek merumuskan hipotesis sedangkan paling rendah aspek mendefinisikan secara operasional. Usaha terpadu perlu dilakukan untuk meningkatkan KPS pada…","author":[{"dropping-particle":"","family":"Sujarwanto","given":"Eko","non-dropping-particle":"","parse-names":false,"suffix":""},{"dropping-particle":"","family":"Putra","given":"Ino Angga","non-dropping-particle":"","parse-names":false,"suffix":""}],"container-title":"Momentum: Physics Education Journal","id":"ITEM-1","issue":"2","issued":{"date-parts":[["2018","12","30"]]},"page":"79-85","publisher":"University of Kanjuruhan Malang","title":"Investigasi keterampilan proses sains terintegrasi mahasiswa pendidikan fisika Universitas KH. A. Wahab Hasbullah","type":"article-journal","volume":"2"},"uris":["http://www.mendeley.com/documents/?uuid=e0982fa3-05e5-3255-baff-765a26c7b1fe"]}],"mendeley":{"formattedCitation":"[13]","plainTextFormattedCitation":"[13]","previouslyFormattedCitation":"[13]"},"properties":{"noteIndex":0},"schema":"https://github.com/citation-style-language/schema/raw/master/csl-citation.json"}</w:instrText>
      </w:r>
      <w:r w:rsidR="00B83BD3">
        <w:rPr>
          <w:b w:val="0"/>
          <w:bCs/>
          <w:color w:val="auto"/>
          <w:lang w:val="en-US" w:eastAsia="id-ID"/>
        </w:rPr>
        <w:fldChar w:fldCharType="separate"/>
      </w:r>
      <w:r w:rsidR="00B83BD3" w:rsidRPr="00B83BD3">
        <w:rPr>
          <w:b w:val="0"/>
          <w:bCs/>
          <w:noProof/>
          <w:color w:val="auto"/>
          <w:lang w:val="en-US" w:eastAsia="id-ID"/>
        </w:rPr>
        <w:t>[13]</w:t>
      </w:r>
      <w:r w:rsidR="00B83BD3">
        <w:rPr>
          <w:b w:val="0"/>
          <w:bCs/>
          <w:color w:val="auto"/>
          <w:lang w:val="en-US" w:eastAsia="id-ID"/>
        </w:rPr>
        <w:fldChar w:fldCharType="end"/>
      </w:r>
      <w:r w:rsidR="00F53553">
        <w:rPr>
          <w:b w:val="0"/>
          <w:bCs/>
          <w:color w:val="auto"/>
          <w:lang w:val="en-US" w:eastAsia="id-ID"/>
        </w:rPr>
        <w:fldChar w:fldCharType="begin" w:fldLock="1"/>
      </w:r>
      <w:r w:rsidR="00840FA8">
        <w:rPr>
          <w:b w:val="0"/>
          <w:bCs/>
          <w:color w:val="auto"/>
          <w:lang w:val="en-US" w:eastAsia="id-ID"/>
        </w:rPr>
        <w:instrText>ADDIN CSL_CITATION {"citationItems":[{"id":"ITEM-1","itemData":{"DOI":"10.21067/mpej.v1i2.2013","ISSN":"2548-9127","author":[{"dropping-particle":"","family":"Putra","given":"Ino Angga","non-dropping-particle":"","parse-names":false,"suffix":""},{"dropping-particle":"","family":"Sujarwanto","given":"Eko","non-dropping-particle":"","parse-names":false,"suffix":""}],"container-title":"Momentum: Physics Education Journal","id":"ITEM-1","issue":"2","issued":{"date-parts":[["2017","10","25"]]},"page":"91-102","publisher":"University of Kanjuruhan Malang","title":"Analisis Keterampilan Proses Sains Peserta Didik Melalui Bahan Ajar Multimedia Interaktif Alat Ukur dan Pengukuran dengan Pendekatan Behavioristik","type":"article-journal","volume":"1"},"uris":["http://www.mendeley.com/documents/?uuid=8c52349f-d164-3acf-8d72-a0fd2cc6c9b2"]}],"mendeley":{"formattedCitation":"[14]","plainTextFormattedCitation":"[14]","previouslyFormattedCitation":"[14]"},"properties":{"noteIndex":0},"schema":"https://github.com/citation-style-language/schema/raw/master/csl-citation.json"}</w:instrText>
      </w:r>
      <w:r w:rsidR="00F53553">
        <w:rPr>
          <w:b w:val="0"/>
          <w:bCs/>
          <w:color w:val="auto"/>
          <w:lang w:val="en-US" w:eastAsia="id-ID"/>
        </w:rPr>
        <w:fldChar w:fldCharType="separate"/>
      </w:r>
      <w:r w:rsidR="00F53553" w:rsidRPr="00F53553">
        <w:rPr>
          <w:b w:val="0"/>
          <w:bCs/>
          <w:noProof/>
          <w:color w:val="auto"/>
          <w:lang w:val="en-US" w:eastAsia="id-ID"/>
        </w:rPr>
        <w:t>[14]</w:t>
      </w:r>
      <w:r w:rsidR="00F53553">
        <w:rPr>
          <w:b w:val="0"/>
          <w:bCs/>
          <w:color w:val="auto"/>
          <w:lang w:val="en-US" w:eastAsia="id-ID"/>
        </w:rPr>
        <w:fldChar w:fldCharType="end"/>
      </w:r>
      <w:r w:rsidR="00F30F35">
        <w:rPr>
          <w:b w:val="0"/>
          <w:bCs/>
          <w:color w:val="auto"/>
          <w:lang w:val="en-US" w:eastAsia="id-ID"/>
        </w:rPr>
        <w:t>.</w:t>
      </w:r>
      <w:r w:rsidR="00563D6D">
        <w:rPr>
          <w:b w:val="0"/>
          <w:bCs/>
          <w:color w:val="auto"/>
          <w:lang w:val="en-US" w:eastAsia="id-ID"/>
        </w:rPr>
        <w:t xml:space="preserve"> </w:t>
      </w:r>
      <w:r w:rsidR="00563D6D">
        <w:rPr>
          <w:b w:val="0"/>
          <w:bCs/>
          <w:color w:val="auto"/>
          <w:lang w:val="en-US" w:eastAsia="id-ID"/>
        </w:rPr>
        <w:t>T</w:t>
      </w:r>
      <w:r w:rsidR="00563D6D" w:rsidRPr="0016793F">
        <w:rPr>
          <w:b w:val="0"/>
          <w:bCs/>
          <w:color w:val="auto"/>
          <w:lang w:val="en-US" w:eastAsia="id-ID"/>
        </w:rPr>
        <w:t xml:space="preserve">he </w:t>
      </w:r>
      <w:r w:rsidR="00563D6D">
        <w:rPr>
          <w:b w:val="0"/>
          <w:bCs/>
          <w:color w:val="auto"/>
          <w:lang w:val="en-US" w:eastAsia="id-ID"/>
        </w:rPr>
        <w:t>discomfort of online learning</w:t>
      </w:r>
      <w:r w:rsidR="00563D6D" w:rsidRPr="00540311">
        <w:rPr>
          <w:b w:val="0"/>
          <w:bCs/>
          <w:color w:val="auto"/>
          <w:lang w:val="en-US" w:eastAsia="id-ID"/>
        </w:rPr>
        <w:t xml:space="preserve"> </w:t>
      </w:r>
      <w:r w:rsidR="00563D6D">
        <w:rPr>
          <w:b w:val="0"/>
          <w:bCs/>
          <w:color w:val="auto"/>
          <w:lang w:val="en-US" w:eastAsia="id-ID"/>
        </w:rPr>
        <w:t>should</w:t>
      </w:r>
      <w:r w:rsidR="00563D6D" w:rsidRPr="00540311">
        <w:rPr>
          <w:b w:val="0"/>
          <w:bCs/>
          <w:color w:val="auto"/>
          <w:lang w:val="en-US" w:eastAsia="id-ID"/>
        </w:rPr>
        <w:t xml:space="preserve"> be </w:t>
      </w:r>
      <w:r w:rsidR="00563D6D">
        <w:rPr>
          <w:b w:val="0"/>
          <w:bCs/>
          <w:color w:val="auto"/>
          <w:lang w:val="en-US" w:eastAsia="id-ID"/>
        </w:rPr>
        <w:t>reduced.</w:t>
      </w:r>
      <w:r w:rsidR="00563D6D" w:rsidRPr="00540311">
        <w:rPr>
          <w:b w:val="0"/>
          <w:bCs/>
          <w:color w:val="auto"/>
          <w:lang w:val="en-US" w:eastAsia="id-ID"/>
        </w:rPr>
        <w:t xml:space="preserve"> This</w:t>
      </w:r>
      <w:r>
        <w:rPr>
          <w:b w:val="0"/>
          <w:bCs/>
          <w:color w:val="auto"/>
          <w:lang w:val="en-US" w:eastAsia="id-ID"/>
        </w:rPr>
        <w:t xml:space="preserve"> discomfort</w:t>
      </w:r>
      <w:r w:rsidR="00563D6D" w:rsidRPr="00540311">
        <w:rPr>
          <w:b w:val="0"/>
          <w:bCs/>
          <w:color w:val="auto"/>
          <w:lang w:val="en-US" w:eastAsia="id-ID"/>
        </w:rPr>
        <w:t xml:space="preserve"> can be </w:t>
      </w:r>
      <w:r w:rsidR="00563D6D">
        <w:rPr>
          <w:b w:val="0"/>
          <w:bCs/>
          <w:color w:val="auto"/>
          <w:lang w:val="en-US" w:eastAsia="id-ID"/>
        </w:rPr>
        <w:t>done</w:t>
      </w:r>
      <w:r w:rsidR="00563D6D" w:rsidRPr="00540311">
        <w:rPr>
          <w:b w:val="0"/>
          <w:bCs/>
          <w:color w:val="auto"/>
          <w:lang w:val="en-US" w:eastAsia="id-ID"/>
        </w:rPr>
        <w:t xml:space="preserve"> by using a combination of online-offline media and involving the surrounding environment as a learning medi</w:t>
      </w:r>
      <w:r w:rsidR="00563D6D">
        <w:rPr>
          <w:b w:val="0"/>
          <w:bCs/>
          <w:color w:val="auto"/>
          <w:lang w:val="en-US" w:eastAsia="id-ID"/>
        </w:rPr>
        <w:t>a.</w:t>
      </w:r>
      <w:r w:rsidR="00F30F35">
        <w:rPr>
          <w:b w:val="0"/>
          <w:bCs/>
          <w:color w:val="auto"/>
          <w:lang w:val="en-US" w:eastAsia="id-ID"/>
        </w:rPr>
        <w:t xml:space="preserve"> </w:t>
      </w:r>
      <w:r w:rsidR="003E4C66">
        <w:rPr>
          <w:b w:val="0"/>
          <w:bCs/>
          <w:color w:val="auto"/>
          <w:lang w:val="en-US" w:eastAsia="id-ID"/>
        </w:rPr>
        <w:t xml:space="preserve">In </w:t>
      </w:r>
      <w:r>
        <w:rPr>
          <w:b w:val="0"/>
          <w:bCs/>
          <w:color w:val="auto"/>
          <w:lang w:val="en-US" w:eastAsia="id-ID"/>
        </w:rPr>
        <w:t xml:space="preserve">the </w:t>
      </w:r>
      <w:r w:rsidR="003E4C66">
        <w:rPr>
          <w:b w:val="0"/>
          <w:bCs/>
          <w:color w:val="auto"/>
          <w:lang w:val="en-US" w:eastAsia="id-ID"/>
        </w:rPr>
        <w:t>physics context, o</w:t>
      </w:r>
      <w:r w:rsidR="003E4C66" w:rsidRPr="003E4C66">
        <w:rPr>
          <w:b w:val="0"/>
          <w:bCs/>
          <w:color w:val="auto"/>
          <w:lang w:val="en-US" w:eastAsia="id-ID"/>
        </w:rPr>
        <w:t xml:space="preserve">ffline learning supports </w:t>
      </w:r>
      <w:r>
        <w:rPr>
          <w:b w:val="0"/>
          <w:bCs/>
          <w:color w:val="auto"/>
          <w:lang w:val="en-US" w:eastAsia="id-ID"/>
        </w:rPr>
        <w:t xml:space="preserve">the </w:t>
      </w:r>
      <w:r w:rsidR="003E4C66">
        <w:rPr>
          <w:b w:val="0"/>
          <w:bCs/>
          <w:color w:val="auto"/>
          <w:lang w:val="en-US" w:eastAsia="id-ID"/>
        </w:rPr>
        <w:t xml:space="preserve">quality of </w:t>
      </w:r>
      <w:r w:rsidR="007604AC">
        <w:rPr>
          <w:b w:val="0"/>
          <w:bCs/>
          <w:color w:val="auto"/>
          <w:lang w:val="en-US" w:eastAsia="id-ID"/>
        </w:rPr>
        <w:t>physics</w:t>
      </w:r>
      <w:r>
        <w:rPr>
          <w:b w:val="0"/>
          <w:bCs/>
          <w:color w:val="auto"/>
          <w:lang w:val="en-US" w:eastAsia="id-ID"/>
        </w:rPr>
        <w:t>’</w:t>
      </w:r>
      <w:r w:rsidR="007604AC">
        <w:rPr>
          <w:b w:val="0"/>
          <w:bCs/>
          <w:color w:val="auto"/>
          <w:lang w:val="en-US" w:eastAsia="id-ID"/>
        </w:rPr>
        <w:t xml:space="preserve"> </w:t>
      </w:r>
      <w:r w:rsidR="003E4C66" w:rsidRPr="003E4C66">
        <w:rPr>
          <w:b w:val="0"/>
          <w:bCs/>
          <w:color w:val="auto"/>
          <w:lang w:val="en-US" w:eastAsia="id-ID"/>
        </w:rPr>
        <w:t>hands-on activity</w:t>
      </w:r>
      <w:r w:rsidR="003E4C66">
        <w:rPr>
          <w:b w:val="0"/>
          <w:bCs/>
          <w:color w:val="auto"/>
          <w:lang w:val="en-US" w:eastAsia="id-ID"/>
        </w:rPr>
        <w:t xml:space="preserve">, </w:t>
      </w:r>
      <w:r w:rsidR="003E4C66" w:rsidRPr="003E4C66">
        <w:rPr>
          <w:b w:val="0"/>
          <w:bCs/>
          <w:color w:val="auto"/>
          <w:lang w:val="en-US" w:eastAsia="id-ID"/>
        </w:rPr>
        <w:t>science process skills, prevent misconception, reduce math</w:t>
      </w:r>
      <w:r w:rsidR="003E4C66">
        <w:rPr>
          <w:b w:val="0"/>
          <w:bCs/>
          <w:color w:val="auto"/>
          <w:lang w:val="en-US" w:eastAsia="id-ID"/>
        </w:rPr>
        <w:t>ematics</w:t>
      </w:r>
      <w:r w:rsidR="003E4C66" w:rsidRPr="003E4C66">
        <w:rPr>
          <w:b w:val="0"/>
          <w:bCs/>
          <w:color w:val="auto"/>
          <w:lang w:val="en-US" w:eastAsia="id-ID"/>
        </w:rPr>
        <w:t xml:space="preserve"> anxiety. </w:t>
      </w:r>
      <w:r>
        <w:rPr>
          <w:b w:val="0"/>
          <w:bCs/>
          <w:color w:val="auto"/>
          <w:lang w:val="en-US" w:eastAsia="id-ID"/>
        </w:rPr>
        <w:t>O</w:t>
      </w:r>
      <w:r w:rsidR="003E4C66">
        <w:rPr>
          <w:b w:val="0"/>
          <w:bCs/>
          <w:color w:val="auto"/>
          <w:lang w:val="en-US" w:eastAsia="id-ID"/>
        </w:rPr>
        <w:t>n the other</w:t>
      </w:r>
      <w:r>
        <w:rPr>
          <w:b w:val="0"/>
          <w:bCs/>
          <w:color w:val="auto"/>
          <w:lang w:val="en-US" w:eastAsia="id-ID"/>
        </w:rPr>
        <w:t xml:space="preserve"> </w:t>
      </w:r>
      <w:r w:rsidR="003E4C66">
        <w:rPr>
          <w:b w:val="0"/>
          <w:bCs/>
          <w:color w:val="auto"/>
          <w:lang w:val="en-US" w:eastAsia="id-ID"/>
        </w:rPr>
        <w:t>hand, o</w:t>
      </w:r>
      <w:r w:rsidR="003E4C66" w:rsidRPr="003E4C66">
        <w:rPr>
          <w:b w:val="0"/>
          <w:bCs/>
          <w:color w:val="auto"/>
          <w:lang w:val="en-US" w:eastAsia="id-ID"/>
        </w:rPr>
        <w:t>nline learning supports technology literacy</w:t>
      </w:r>
      <w:r w:rsidR="009E07CC">
        <w:rPr>
          <w:b w:val="0"/>
          <w:bCs/>
          <w:color w:val="auto"/>
          <w:lang w:val="en-US" w:eastAsia="id-ID"/>
        </w:rPr>
        <w:t>,</w:t>
      </w:r>
      <w:r w:rsidR="003E4C66" w:rsidRPr="003E4C66">
        <w:rPr>
          <w:b w:val="0"/>
          <w:bCs/>
          <w:color w:val="auto"/>
          <w:lang w:val="en-US" w:eastAsia="id-ID"/>
        </w:rPr>
        <w:t xml:space="preserve"> </w:t>
      </w:r>
      <w:r w:rsidR="003E4C66">
        <w:rPr>
          <w:b w:val="0"/>
          <w:bCs/>
          <w:color w:val="auto"/>
          <w:lang w:val="en-US" w:eastAsia="id-ID"/>
        </w:rPr>
        <w:t xml:space="preserve">as an </w:t>
      </w:r>
      <w:r w:rsidR="003E4C66" w:rsidRPr="003E4C66">
        <w:rPr>
          <w:b w:val="0"/>
          <w:bCs/>
          <w:color w:val="auto"/>
          <w:lang w:val="en-US" w:eastAsia="id-ID"/>
        </w:rPr>
        <w:t xml:space="preserve">alternative media to deliver </w:t>
      </w:r>
      <w:r w:rsidR="003E4C66">
        <w:rPr>
          <w:b w:val="0"/>
          <w:bCs/>
          <w:color w:val="auto"/>
          <w:lang w:val="en-US" w:eastAsia="id-ID"/>
        </w:rPr>
        <w:t xml:space="preserve">more </w:t>
      </w:r>
      <w:r w:rsidR="003E4C66" w:rsidRPr="003E4C66">
        <w:rPr>
          <w:b w:val="0"/>
          <w:bCs/>
          <w:color w:val="auto"/>
          <w:lang w:val="en-US" w:eastAsia="id-ID"/>
        </w:rPr>
        <w:t>complicated concept</w:t>
      </w:r>
      <w:r>
        <w:rPr>
          <w:b w:val="0"/>
          <w:bCs/>
          <w:color w:val="auto"/>
          <w:lang w:val="en-US" w:eastAsia="id-ID"/>
        </w:rPr>
        <w:t>s</w:t>
      </w:r>
      <w:r w:rsidR="003E4C66">
        <w:rPr>
          <w:b w:val="0"/>
          <w:bCs/>
          <w:color w:val="auto"/>
          <w:lang w:val="en-US" w:eastAsia="id-ID"/>
        </w:rPr>
        <w:t xml:space="preserve"> in Physics, such as Quantum Mechanics</w:t>
      </w:r>
      <w:r w:rsidR="007B59E4">
        <w:rPr>
          <w:b w:val="0"/>
          <w:bCs/>
          <w:color w:val="auto"/>
          <w:lang w:val="en-US" w:eastAsia="id-ID"/>
        </w:rPr>
        <w:fldChar w:fldCharType="begin" w:fldLock="1"/>
      </w:r>
      <w:r w:rsidR="00B83BD3">
        <w:rPr>
          <w:b w:val="0"/>
          <w:bCs/>
          <w:color w:val="auto"/>
          <w:lang w:val="en-US" w:eastAsia="id-ID"/>
        </w:rPr>
        <w:instrText>ADDIN CSL_CITATION {"citationItems":[{"id":"ITEM-1","itemData":{"DOI":"10.1103/PhysRevPhysEducRes.16.010126","ISSN":"2469-9896","author":[{"dropping-particle":"","family":"Devore","given":"Seth","non-dropping-particle":"","parse-names":false,"suffix":""},{"dropping-particle":"","family":"Singh","given":"Chandralekha","non-dropping-particle":"","parse-names":false,"suffix":""}],"container-title":"Physical Review Physics Education Research","id":"ITEM-1","issue":"1","issued":{"date-parts":[["2020"]]},"page":"10126","publisher":"American Physical Society","title":"Interactive learning tutorial on quantum key distribution","type":"article-journal","volume":"16"},"uris":["http://www.mendeley.com/documents/?uuid=863cbf14-e1eb-45a6-af0a-2a328219f9a1"]}],"mendeley":{"formattedCitation":"[12]","plainTextFormattedCitation":"[12]","previouslyFormattedCitation":"[12]"},"properties":{"noteIndex":0},"schema":"https://github.com/citation-style-language/schema/raw/master/csl-citation.json"}</w:instrText>
      </w:r>
      <w:r w:rsidR="007B59E4">
        <w:rPr>
          <w:b w:val="0"/>
          <w:bCs/>
          <w:color w:val="auto"/>
          <w:lang w:val="en-US" w:eastAsia="id-ID"/>
        </w:rPr>
        <w:fldChar w:fldCharType="separate"/>
      </w:r>
      <w:r w:rsidR="007B59E4" w:rsidRPr="007B59E4">
        <w:rPr>
          <w:b w:val="0"/>
          <w:bCs/>
          <w:noProof/>
          <w:color w:val="auto"/>
          <w:lang w:val="en-US" w:eastAsia="id-ID"/>
        </w:rPr>
        <w:t>[12]</w:t>
      </w:r>
      <w:r w:rsidR="007B59E4">
        <w:rPr>
          <w:b w:val="0"/>
          <w:bCs/>
          <w:color w:val="auto"/>
          <w:lang w:val="en-US" w:eastAsia="id-ID"/>
        </w:rPr>
        <w:fldChar w:fldCharType="end"/>
      </w:r>
      <w:r w:rsidR="009E07CC">
        <w:rPr>
          <w:b w:val="0"/>
          <w:bCs/>
          <w:color w:val="auto"/>
          <w:lang w:val="en-US" w:eastAsia="id-ID"/>
        </w:rPr>
        <w:t>, and</w:t>
      </w:r>
      <w:r w:rsidR="00C06223">
        <w:rPr>
          <w:b w:val="0"/>
          <w:bCs/>
          <w:color w:val="auto"/>
          <w:lang w:val="en-US" w:eastAsia="id-ID"/>
        </w:rPr>
        <w:t xml:space="preserve"> as a</w:t>
      </w:r>
      <w:r w:rsidR="009E07CC">
        <w:rPr>
          <w:b w:val="0"/>
          <w:bCs/>
          <w:color w:val="auto"/>
          <w:lang w:val="en-US" w:eastAsia="id-ID"/>
        </w:rPr>
        <w:t xml:space="preserve"> </w:t>
      </w:r>
      <w:r w:rsidR="00560D11">
        <w:rPr>
          <w:b w:val="0"/>
          <w:bCs/>
          <w:color w:val="auto"/>
          <w:lang w:val="en-US" w:eastAsia="id-ID"/>
        </w:rPr>
        <w:t xml:space="preserve">physics </w:t>
      </w:r>
      <w:r w:rsidR="00BA22BC">
        <w:rPr>
          <w:b w:val="0"/>
          <w:bCs/>
          <w:color w:val="auto"/>
          <w:lang w:val="en-US" w:eastAsia="id-ID"/>
        </w:rPr>
        <w:t>web-based</w:t>
      </w:r>
      <w:r w:rsidR="000F23A3">
        <w:rPr>
          <w:b w:val="0"/>
          <w:bCs/>
          <w:color w:val="auto"/>
          <w:lang w:val="en-US" w:eastAsia="id-ID"/>
        </w:rPr>
        <w:t xml:space="preserve"> assessment</w:t>
      </w:r>
      <w:r w:rsidR="00642E46">
        <w:rPr>
          <w:b w:val="0"/>
          <w:bCs/>
          <w:color w:val="auto"/>
          <w:lang w:val="en-US" w:eastAsia="id-ID"/>
        </w:rPr>
        <w:fldChar w:fldCharType="begin" w:fldLock="1"/>
      </w:r>
      <w:r w:rsidR="00840FA8">
        <w:rPr>
          <w:b w:val="0"/>
          <w:bCs/>
          <w:color w:val="auto"/>
          <w:lang w:val="en-US" w:eastAsia="id-ID"/>
        </w:rPr>
        <w:instrText>ADDIN CSL_CITATION {"citationItems":[{"id":"ITEM-1","itemData":{"DOI":"10.1103/PhysRevPhysEducRes.15.020145","ISSN":"24699896","abstract":"Historically, the implementation of research-based assessments (RBAs) has been a driver of educational change within physics and helped motivate adoption of interactive engagement pedagogies. Until recently, RBAs were given to students exclusively on paper and in class; however, this approach has important drawbacks including decentralized data collection and the need to sacrifice class time. Recently, some RBAs have been moved to online platforms to address these limitations. Yet, online RBAs present new concerns such as student participation rates, test security, and students' use of outside resources. Here, we report on a study addressing these concerns in both upper-division and lower-division undergraduate physics courses. We gave RBAs to courses at five institutions; the RBAs were hosted online and featured embedded JavaScript code which collected information on students' behaviors (e.g., copying text, printing). With these data, we examine the prevalence of these behaviors, and their correlation with students' scores, to determine if online and paper-based RBAs are comparable. We find that browser loss of focus is the most common online behavior while copying and printing events were rarer. We found that correlations between these behaviors and student performance varied significantly between introductory and upper-division student populations, particularly with respect to the impact of students copying text in order to utilize internet resources. However, while the majority of students engaged in one or more of the targeted online behaviors, we found that, for our sample, none of these behaviors resulted in a significant change in the population's average performance that would threaten our ability to interpret this performance or compare it to paper-based implementations of the RBA.","author":[{"dropping-particle":"","family":"Wilcox","given":"Bethany R.","non-dropping-particle":"","parse-names":false,"suffix":""},{"dropping-particle":"","family":"Pollock","given":"Steven J.","non-dropping-particle":"","parse-names":false,"suffix":""}],"container-title":"Physical Review Physics Education Research","id":"ITEM-1","issue":"2","issued":{"date-parts":[["2019"]]},"page":"20145","publisher":"American Physical Society","title":"Investigating students' behavior and performance in online conceptual assessment","type":"article-journal","volume":"15"},"uris":["http://www.mendeley.com/documents/?uuid=ac89ff33-dcaf-4675-a2f4-bd525d2b3d10"]}],"mendeley":{"formattedCitation":"[15]","plainTextFormattedCitation":"[15]","previouslyFormattedCitation":"[15]"},"properties":{"noteIndex":0},"schema":"https://github.com/citation-style-language/schema/raw/master/csl-citation.json"}</w:instrText>
      </w:r>
      <w:r w:rsidR="00642E46">
        <w:rPr>
          <w:b w:val="0"/>
          <w:bCs/>
          <w:color w:val="auto"/>
          <w:lang w:val="en-US" w:eastAsia="id-ID"/>
        </w:rPr>
        <w:fldChar w:fldCharType="separate"/>
      </w:r>
      <w:r w:rsidR="00642E46" w:rsidRPr="00642E46">
        <w:rPr>
          <w:b w:val="0"/>
          <w:bCs/>
          <w:noProof/>
          <w:color w:val="auto"/>
          <w:lang w:val="en-US" w:eastAsia="id-ID"/>
        </w:rPr>
        <w:t>[15]</w:t>
      </w:r>
      <w:r w:rsidR="00642E46">
        <w:rPr>
          <w:b w:val="0"/>
          <w:bCs/>
          <w:color w:val="auto"/>
          <w:lang w:val="en-US" w:eastAsia="id-ID"/>
        </w:rPr>
        <w:fldChar w:fldCharType="end"/>
      </w:r>
      <w:r w:rsidR="00BA22BC">
        <w:rPr>
          <w:b w:val="0"/>
          <w:bCs/>
          <w:color w:val="auto"/>
          <w:lang w:val="en-US" w:eastAsia="id-ID"/>
        </w:rPr>
        <w:fldChar w:fldCharType="begin" w:fldLock="1"/>
      </w:r>
      <w:r w:rsidR="00BA22BC">
        <w:rPr>
          <w:b w:val="0"/>
          <w:bCs/>
          <w:color w:val="auto"/>
          <w:lang w:val="en-US" w:eastAsia="id-ID"/>
        </w:rPr>
        <w:instrText>ADDIN CSL_CITATION {"citationItems":[{"id":"ITEM-1","itemData":{"DOI":"10.21067/mpej.v4i1.4402","ISSN":"2548-9127","abstract":"The success of students in dealing with the globalization era of scientific literacy needs to be supported by practising skills, one of the skills that must be mastered by students in the science process skills and scientific questioning skills. This study aims to determine the implementation of the question webs based learning model of learning to improve science process skills and scientific questioning skills in grade X students at SMAN 1 Darul Imarah using a quasi-experimental method with nonequivalent control group design. The samples were taken by purposive sampling technique which was then divided into experimental and control groups. The data were collected from pretest and posttest scores which were then tested based on N-gain values. The results showed that the score of science process skills and scientific questioning skills of experimental class students obtained higher mean scores than control class mean scores. Statistically, it can be seen that testing the results of tests using the t-test 4.507 for science process skills and 29.79 for scientific questioning skills with a significant difference. The conclusion of this study shows that the question web-based learning model improve science process skills and scientific questioning skills compared to conventional models.","author":[{"dropping-particle":"","family":"Nurjannah","given":"Ammalia","non-dropping-particle":"","parse-names":false,"suffix":""},{"dropping-particle":"","family":"Gani","given":"Abdul","non-dropping-particle":"","parse-names":false,"suffix":""},{"dropping-particle":"","family":"Evendi","given":"Evendi","non-dropping-particle":"","parse-names":false,"suffix":""},{"dropping-particle":"","family":"Syukri","given":"Muhammad","non-dropping-particle":"","parse-names":false,"suffix":""},{"dropping-particle":"","family":"Elisa","given":"Elisa","non-dropping-particle":"","parse-names":false,"suffix":""}],"container-title":"Momentum: Physics Education Journal","id":"ITEM-1","issue":"1","issued":{"date-parts":[["2020"]]},"page":"38-48","title":"Question webs-based learning: Science process skills and scientific questioning skills of students on harmonic motion topic","type":"article-journal","volume":"4"},"uris":["http://www.mendeley.com/documents/?uuid=232583ea-f1ad-4100-884f-461f9c1e0c9d"]}],"mendeley":{"formattedCitation":"[16]","plainTextFormattedCitation":"[16]"},"properties":{"noteIndex":0},"schema":"https://github.com/citation-style-language/schema/raw/master/csl-citation.json"}</w:instrText>
      </w:r>
      <w:r w:rsidR="00BA22BC">
        <w:rPr>
          <w:b w:val="0"/>
          <w:bCs/>
          <w:color w:val="auto"/>
          <w:lang w:val="en-US" w:eastAsia="id-ID"/>
        </w:rPr>
        <w:fldChar w:fldCharType="separate"/>
      </w:r>
      <w:r w:rsidR="00BA22BC" w:rsidRPr="00BA22BC">
        <w:rPr>
          <w:b w:val="0"/>
          <w:bCs/>
          <w:noProof/>
          <w:color w:val="auto"/>
          <w:lang w:val="en-US" w:eastAsia="id-ID"/>
        </w:rPr>
        <w:t>[16]</w:t>
      </w:r>
      <w:r w:rsidR="00BA22BC">
        <w:rPr>
          <w:b w:val="0"/>
          <w:bCs/>
          <w:color w:val="auto"/>
          <w:lang w:val="en-US" w:eastAsia="id-ID"/>
        </w:rPr>
        <w:fldChar w:fldCharType="end"/>
      </w:r>
      <w:r w:rsidR="003E4C66" w:rsidRPr="003E4C66">
        <w:rPr>
          <w:b w:val="0"/>
          <w:bCs/>
          <w:color w:val="auto"/>
          <w:lang w:val="en-US" w:eastAsia="id-ID"/>
        </w:rPr>
        <w:t>.</w:t>
      </w:r>
      <w:r w:rsidR="00B110FD" w:rsidRPr="00540311">
        <w:rPr>
          <w:b w:val="0"/>
          <w:bCs/>
          <w:color w:val="auto"/>
          <w:lang w:val="en-US" w:eastAsia="id-ID"/>
        </w:rPr>
        <w:t xml:space="preserve"> </w:t>
      </w:r>
    </w:p>
    <w:p w14:paraId="465A8F6B" w14:textId="548F554D" w:rsidR="00ED5479" w:rsidRPr="0016793F" w:rsidRDefault="00B110FD" w:rsidP="00ED5479">
      <w:pPr>
        <w:pStyle w:val="Subsection"/>
        <w:rPr>
          <w:rFonts w:ascii="Times New Roman" w:hAnsi="Times New Roman"/>
          <w:color w:val="auto"/>
        </w:rPr>
      </w:pPr>
      <w:r w:rsidRPr="0016793F">
        <w:rPr>
          <w:i/>
          <w:iCs w:val="0"/>
          <w:color w:val="auto"/>
          <w:lang w:eastAsia="id-ID"/>
        </w:rPr>
        <w:t>Attitude</w:t>
      </w:r>
      <w:r w:rsidRPr="0016793F">
        <w:rPr>
          <w:rFonts w:ascii="Times New Roman" w:hAnsi="Times New Roman"/>
          <w:color w:val="auto"/>
        </w:rPr>
        <w:t xml:space="preserve"> </w:t>
      </w:r>
      <w:r w:rsidRPr="0016793F">
        <w:rPr>
          <w:rFonts w:ascii="Times New Roman" w:hAnsi="Times New Roman"/>
          <w:i/>
          <w:iCs w:val="0"/>
          <w:color w:val="auto"/>
        </w:rPr>
        <w:t>Towards Digital Technology Literacy</w:t>
      </w:r>
    </w:p>
    <w:p w14:paraId="19C84D22" w14:textId="516A5BAB" w:rsidR="00ED5479" w:rsidRPr="0016793F" w:rsidRDefault="00B110FD" w:rsidP="00ED5479">
      <w:pPr>
        <w:pStyle w:val="Bodytext"/>
        <w:rPr>
          <w:rFonts w:ascii="Times New Roman" w:hAnsi="Times New Roman"/>
          <w:color w:val="auto"/>
        </w:rPr>
      </w:pPr>
      <w:r w:rsidRPr="0016793F">
        <w:rPr>
          <w:rFonts w:ascii="Times New Roman" w:hAnsi="Times New Roman"/>
          <w:color w:val="auto"/>
        </w:rPr>
        <w:t>In this study, a positive attitude towards digital technology literacy is shown by identifying related digital ethics, themes that link technolog</w:t>
      </w:r>
      <w:r w:rsidR="006B0135" w:rsidRPr="0016793F">
        <w:rPr>
          <w:rFonts w:ascii="Times New Roman" w:hAnsi="Times New Roman"/>
          <w:color w:val="auto"/>
        </w:rPr>
        <w:t>y</w:t>
      </w:r>
      <w:r w:rsidRPr="0016793F">
        <w:rPr>
          <w:rFonts w:ascii="Times New Roman" w:hAnsi="Times New Roman"/>
          <w:color w:val="auto"/>
        </w:rPr>
        <w:t xml:space="preserve"> literacy and global problems</w:t>
      </w:r>
      <w:r w:rsidR="006B0135" w:rsidRPr="0016793F">
        <w:rPr>
          <w:rFonts w:ascii="Times New Roman" w:hAnsi="Times New Roman"/>
          <w:color w:val="auto"/>
        </w:rPr>
        <w:t xml:space="preserve">, </w:t>
      </w:r>
      <w:r w:rsidR="00FF250E" w:rsidRPr="0016793F">
        <w:rPr>
          <w:rFonts w:ascii="Times New Roman" w:hAnsi="Times New Roman"/>
          <w:color w:val="auto"/>
        </w:rPr>
        <w:t>and</w:t>
      </w:r>
      <w:r w:rsidR="006B0135" w:rsidRPr="0016793F">
        <w:rPr>
          <w:rFonts w:ascii="Times New Roman" w:hAnsi="Times New Roman"/>
          <w:color w:val="auto"/>
        </w:rPr>
        <w:t xml:space="preserve"> digital security</w:t>
      </w:r>
      <w:r w:rsidR="00FF250E" w:rsidRPr="0016793F">
        <w:rPr>
          <w:rFonts w:ascii="Times New Roman" w:hAnsi="Times New Roman"/>
          <w:color w:val="auto"/>
        </w:rPr>
        <w:t xml:space="preserve"> and responsibility</w:t>
      </w:r>
      <w:r w:rsidRPr="0016793F">
        <w:rPr>
          <w:rFonts w:ascii="Times New Roman" w:hAnsi="Times New Roman"/>
          <w:color w:val="auto"/>
        </w:rPr>
        <w:t>. The survey results of attitudes towards digital technology literacy are presented in table 1, table 2, and table 3.</w:t>
      </w:r>
      <w:r w:rsidR="000A2EBA" w:rsidRPr="0016793F">
        <w:rPr>
          <w:rFonts w:ascii="Times New Roman" w:hAnsi="Times New Roman"/>
          <w:color w:val="auto"/>
        </w:rPr>
        <w:t xml:space="preserve"> </w:t>
      </w:r>
    </w:p>
    <w:p w14:paraId="447150AA" w14:textId="4A3068EB" w:rsidR="00ED5479" w:rsidRPr="0016793F" w:rsidRDefault="00ED5479" w:rsidP="00ED5479">
      <w:pPr>
        <w:pStyle w:val="BodytextIndented"/>
        <w:ind w:firstLine="0"/>
        <w:rPr>
          <w:color w:val="auto"/>
          <w:lang w:val="en-GB" w:eastAsia="id-ID"/>
        </w:rPr>
      </w:pPr>
    </w:p>
    <w:p w14:paraId="2FA68EC4" w14:textId="50C26D4E" w:rsidR="005B59B5" w:rsidRPr="0016793F" w:rsidRDefault="00B110FD" w:rsidP="005B59B5">
      <w:pPr>
        <w:pStyle w:val="BodytextIndented"/>
        <w:spacing w:after="120"/>
        <w:ind w:firstLine="0"/>
        <w:rPr>
          <w:color w:val="auto"/>
          <w:lang w:val="en-GB" w:eastAsia="id-ID"/>
        </w:rPr>
      </w:pPr>
      <w:r w:rsidRPr="0016793F">
        <w:rPr>
          <w:b/>
          <w:bCs/>
          <w:color w:val="auto"/>
          <w:lang w:val="en-GB" w:eastAsia="id-ID"/>
        </w:rPr>
        <w:t>Table 1</w:t>
      </w:r>
      <w:r w:rsidRPr="0016793F">
        <w:rPr>
          <w:color w:val="auto"/>
          <w:lang w:val="en-GB" w:eastAsia="id-ID"/>
        </w:rPr>
        <w:t xml:space="preserve">. </w:t>
      </w:r>
      <w:r w:rsidR="002D74E6" w:rsidRPr="0016793F">
        <w:rPr>
          <w:color w:val="auto"/>
          <w:lang w:val="en-GB" w:eastAsia="id-ID"/>
        </w:rPr>
        <w:t>Result about digital ethics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53"/>
        <w:gridCol w:w="1267"/>
        <w:gridCol w:w="1267"/>
        <w:gridCol w:w="1294"/>
        <w:gridCol w:w="1267"/>
      </w:tblGrid>
      <w:tr w:rsidR="009C0774" w14:paraId="046ADC90" w14:textId="77777777" w:rsidTr="00D0709A">
        <w:tc>
          <w:tcPr>
            <w:tcW w:w="4253" w:type="dxa"/>
            <w:vAlign w:val="center"/>
          </w:tcPr>
          <w:p w14:paraId="08B75D28" w14:textId="42071260" w:rsidR="00ED5479" w:rsidRPr="0016793F" w:rsidRDefault="00B110FD" w:rsidP="00EF2130">
            <w:pPr>
              <w:jc w:val="center"/>
              <w:rPr>
                <w:rFonts w:ascii="Times New Roman" w:hAnsi="Times New Roman" w:cs="Times New Roman"/>
                <w:b/>
                <w:bCs/>
                <w:lang w:val="en-US"/>
              </w:rPr>
            </w:pPr>
            <w:r w:rsidRPr="0016793F">
              <w:rPr>
                <w:rFonts w:ascii="Times New Roman" w:hAnsi="Times New Roman" w:cs="Times New Roman"/>
                <w:b/>
                <w:bCs/>
                <w:lang w:val="en-US"/>
              </w:rPr>
              <w:t>Question</w:t>
            </w:r>
          </w:p>
        </w:tc>
        <w:tc>
          <w:tcPr>
            <w:tcW w:w="1267" w:type="dxa"/>
            <w:vAlign w:val="center"/>
          </w:tcPr>
          <w:p w14:paraId="53773B4B" w14:textId="627DCD63" w:rsidR="00ED5479" w:rsidRPr="0016793F" w:rsidRDefault="00B110FD" w:rsidP="00D0709A">
            <w:pPr>
              <w:jc w:val="center"/>
              <w:rPr>
                <w:rFonts w:ascii="Times New Roman" w:eastAsia="Times New Roman" w:hAnsi="Times New Roman" w:cs="Times New Roman"/>
                <w:b/>
                <w:bCs/>
                <w:lang w:val="en-US" w:eastAsia="id-ID"/>
              </w:rPr>
            </w:pPr>
            <w:r w:rsidRPr="0016793F">
              <w:rPr>
                <w:rFonts w:ascii="Times New Roman" w:eastAsia="Times New Roman" w:hAnsi="Times New Roman" w:cs="Times New Roman"/>
                <w:b/>
                <w:bCs/>
                <w:lang w:eastAsia="id-ID"/>
              </w:rPr>
              <w:t xml:space="preserve">1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2 </w:t>
            </w:r>
            <w:r w:rsidR="00FF4B7D" w:rsidRPr="0016793F">
              <w:rPr>
                <w:rFonts w:ascii="Times New Roman" w:eastAsia="Times New Roman" w:hAnsi="Times New Roman" w:cs="Times New Roman"/>
                <w:b/>
                <w:bCs/>
                <w:lang w:val="en-US" w:eastAsia="id-ID"/>
              </w:rPr>
              <w:t xml:space="preserve">is </w:t>
            </w:r>
            <w:r w:rsidR="00AC18D2" w:rsidRPr="0016793F">
              <w:rPr>
                <w:rFonts w:ascii="Times New Roman" w:eastAsia="Times New Roman" w:hAnsi="Times New Roman" w:cs="Times New Roman"/>
                <w:b/>
                <w:bCs/>
                <w:lang w:val="en-US" w:eastAsia="id-ID"/>
              </w:rPr>
              <w:t>true</w:t>
            </w:r>
          </w:p>
        </w:tc>
        <w:tc>
          <w:tcPr>
            <w:tcW w:w="1267" w:type="dxa"/>
            <w:vAlign w:val="center"/>
          </w:tcPr>
          <w:p w14:paraId="1A21CEC5" w14:textId="3FA0B2D2" w:rsidR="00ED5479" w:rsidRPr="0016793F" w:rsidRDefault="00B110FD"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val="en-US" w:eastAsia="id-ID"/>
              </w:rPr>
              <w:t>3</w:t>
            </w:r>
            <w:r w:rsidRPr="0016793F">
              <w:rPr>
                <w:rFonts w:ascii="Times New Roman" w:eastAsia="Times New Roman" w:hAnsi="Times New Roman" w:cs="Times New Roman"/>
                <w:b/>
                <w:bCs/>
                <w:lang w:eastAsia="id-ID"/>
              </w:rPr>
              <w:t xml:space="preserve">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4</w:t>
            </w:r>
            <w:r w:rsidRPr="0016793F">
              <w:rPr>
                <w:rFonts w:ascii="Times New Roman" w:eastAsia="Times New Roman" w:hAnsi="Times New Roman" w:cs="Times New Roman"/>
                <w:b/>
                <w:bCs/>
                <w:lang w:eastAsia="id-ID"/>
              </w:rPr>
              <w:t xml:space="preserve"> </w:t>
            </w:r>
            <w:r w:rsidR="00AC18D2" w:rsidRPr="0016793F">
              <w:rPr>
                <w:rFonts w:ascii="Times New Roman" w:eastAsia="Times New Roman" w:hAnsi="Times New Roman" w:cs="Times New Roman"/>
                <w:b/>
                <w:bCs/>
                <w:lang w:val="en-US" w:eastAsia="id-ID"/>
              </w:rPr>
              <w:t>is true</w:t>
            </w:r>
          </w:p>
        </w:tc>
        <w:tc>
          <w:tcPr>
            <w:tcW w:w="1294" w:type="dxa"/>
            <w:vAlign w:val="center"/>
          </w:tcPr>
          <w:p w14:paraId="6CBD8529" w14:textId="73E1FBAF" w:rsidR="00ED5479" w:rsidRPr="0016793F" w:rsidRDefault="00B110FD"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eastAsia="id-ID"/>
              </w:rPr>
              <w:t xml:space="preserve">1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5</w:t>
            </w:r>
            <w:r w:rsidRPr="0016793F">
              <w:rPr>
                <w:rFonts w:ascii="Times New Roman" w:eastAsia="Times New Roman" w:hAnsi="Times New Roman" w:cs="Times New Roman"/>
                <w:b/>
                <w:bCs/>
                <w:lang w:eastAsia="id-ID"/>
              </w:rPr>
              <w:t xml:space="preserve"> </w:t>
            </w:r>
            <w:r w:rsidR="00AC18D2" w:rsidRPr="0016793F">
              <w:rPr>
                <w:rFonts w:ascii="Times New Roman" w:eastAsia="Times New Roman" w:hAnsi="Times New Roman" w:cs="Times New Roman"/>
                <w:b/>
                <w:bCs/>
                <w:lang w:val="en-US" w:eastAsia="id-ID"/>
              </w:rPr>
              <w:t>is true</w:t>
            </w:r>
          </w:p>
        </w:tc>
        <w:tc>
          <w:tcPr>
            <w:tcW w:w="1267" w:type="dxa"/>
            <w:vAlign w:val="center"/>
          </w:tcPr>
          <w:p w14:paraId="4E8FF9B1" w14:textId="0F3D2F53" w:rsidR="00ED5479" w:rsidRPr="0016793F" w:rsidRDefault="00B110FD" w:rsidP="00D0709A">
            <w:pPr>
              <w:jc w:val="center"/>
              <w:rPr>
                <w:rFonts w:ascii="Times New Roman" w:hAnsi="Times New Roman" w:cs="Times New Roman"/>
                <w:b/>
                <w:bCs/>
                <w:lang w:val="en-US"/>
              </w:rPr>
            </w:pPr>
            <w:r w:rsidRPr="0016793F">
              <w:rPr>
                <w:rFonts w:ascii="Times New Roman" w:hAnsi="Times New Roman" w:cs="Times New Roman"/>
                <w:b/>
                <w:bCs/>
                <w:lang w:val="en-US"/>
              </w:rPr>
              <w:t xml:space="preserve">It’s all </w:t>
            </w:r>
            <w:r w:rsidR="00AC18D2" w:rsidRPr="0016793F">
              <w:rPr>
                <w:rFonts w:ascii="Times New Roman" w:eastAsia="Times New Roman" w:hAnsi="Times New Roman" w:cs="Times New Roman"/>
                <w:b/>
                <w:bCs/>
                <w:lang w:val="en-US" w:eastAsia="id-ID"/>
              </w:rPr>
              <w:t>true</w:t>
            </w:r>
          </w:p>
        </w:tc>
      </w:tr>
      <w:tr w:rsidR="009C0774" w14:paraId="346C443E" w14:textId="77777777" w:rsidTr="00A01F09">
        <w:trPr>
          <w:trHeight w:val="2730"/>
        </w:trPr>
        <w:tc>
          <w:tcPr>
            <w:tcW w:w="4253" w:type="dxa"/>
          </w:tcPr>
          <w:p w14:paraId="129C2AF3" w14:textId="6445BE22" w:rsidR="00ED5479" w:rsidRPr="0016793F" w:rsidRDefault="00B110FD" w:rsidP="00EF2130">
            <w:pPr>
              <w:rPr>
                <w:rFonts w:ascii="Times New Roman" w:eastAsia="Times New Roman" w:hAnsi="Times New Roman" w:cs="Times New Roman"/>
                <w:lang w:val="en-US" w:eastAsia="id-ID"/>
              </w:rPr>
            </w:pPr>
            <w:r w:rsidRPr="0016793F">
              <w:rPr>
                <w:rFonts w:ascii="Times New Roman" w:eastAsia="Times New Roman" w:hAnsi="Times New Roman" w:cs="Times New Roman"/>
                <w:lang w:val="en-US" w:eastAsia="id-ID"/>
              </w:rPr>
              <w:t>Which is included in Technology Literacy?</w:t>
            </w:r>
          </w:p>
          <w:p w14:paraId="7BE714D1" w14:textId="175F964E" w:rsidR="00FF4B7D" w:rsidRPr="0016793F" w:rsidRDefault="00B110F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Security in online source search</w:t>
            </w:r>
          </w:p>
          <w:p w14:paraId="6B169753" w14:textId="6C01385C" w:rsidR="00FF4B7D" w:rsidRPr="0016793F" w:rsidRDefault="00B110F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Knowing the code of ethics in online publications</w:t>
            </w:r>
          </w:p>
          <w:p w14:paraId="5CB83FAA" w14:textId="57C8C035" w:rsidR="00FF4B7D" w:rsidRPr="0016793F" w:rsidRDefault="00B110F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Understand the principles of someone's privacy</w:t>
            </w:r>
          </w:p>
          <w:p w14:paraId="236F47FB" w14:textId="23D37370" w:rsidR="00FF4B7D" w:rsidRPr="0016793F" w:rsidRDefault="00B110FD" w:rsidP="00FF4B7D">
            <w:pPr>
              <w:pStyle w:val="ListParagraph"/>
              <w:numPr>
                <w:ilvl w:val="0"/>
                <w:numId w:val="8"/>
              </w:numPr>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Understand the concept and terms of plagiarism (Plagiarism)</w:t>
            </w:r>
          </w:p>
          <w:p w14:paraId="6C29680D" w14:textId="536DDFFB" w:rsidR="00ED5479" w:rsidRPr="0016793F" w:rsidRDefault="00B110FD" w:rsidP="00FF4B7D">
            <w:pPr>
              <w:pStyle w:val="ListParagraph"/>
              <w:numPr>
                <w:ilvl w:val="0"/>
                <w:numId w:val="8"/>
              </w:numPr>
              <w:spacing w:after="0" w:line="240" w:lineRule="auto"/>
              <w:ind w:left="284"/>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Understand the terms of citation and plagiarism</w:t>
            </w:r>
          </w:p>
        </w:tc>
        <w:tc>
          <w:tcPr>
            <w:tcW w:w="1267" w:type="dxa"/>
            <w:vAlign w:val="center"/>
          </w:tcPr>
          <w:p w14:paraId="0B89A4C0"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9,68%</w:t>
            </w:r>
          </w:p>
          <w:p w14:paraId="3A820E20"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(15)</w:t>
            </w:r>
          </w:p>
        </w:tc>
        <w:tc>
          <w:tcPr>
            <w:tcW w:w="1267" w:type="dxa"/>
            <w:vAlign w:val="center"/>
          </w:tcPr>
          <w:p w14:paraId="2A64BA31"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6,45%</w:t>
            </w:r>
          </w:p>
          <w:p w14:paraId="7547B819"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(10)</w:t>
            </w:r>
          </w:p>
        </w:tc>
        <w:tc>
          <w:tcPr>
            <w:tcW w:w="1294" w:type="dxa"/>
            <w:vAlign w:val="center"/>
          </w:tcPr>
          <w:p w14:paraId="5B6E902A"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8,39%</w:t>
            </w:r>
          </w:p>
          <w:p w14:paraId="3B9D897A"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(13)</w:t>
            </w:r>
          </w:p>
        </w:tc>
        <w:tc>
          <w:tcPr>
            <w:tcW w:w="1267" w:type="dxa"/>
            <w:vAlign w:val="center"/>
          </w:tcPr>
          <w:p w14:paraId="25AFEE94"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75,48</w:t>
            </w:r>
          </w:p>
          <w:p w14:paraId="696074C3"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(117)</w:t>
            </w:r>
          </w:p>
        </w:tc>
      </w:tr>
    </w:tbl>
    <w:p w14:paraId="065065D8" w14:textId="41CCED80" w:rsidR="00872467" w:rsidRDefault="00872467" w:rsidP="005B7F0B">
      <w:pPr>
        <w:pStyle w:val="BodytextIndented"/>
        <w:spacing w:after="120"/>
        <w:ind w:firstLine="0"/>
        <w:rPr>
          <w:b/>
          <w:bCs/>
          <w:color w:val="auto"/>
          <w:lang w:val="en-GB" w:eastAsia="id-ID"/>
        </w:rPr>
      </w:pPr>
    </w:p>
    <w:p w14:paraId="6DC00F6E" w14:textId="7C1CD72F" w:rsidR="000E1E08" w:rsidRDefault="000E1E08" w:rsidP="005B7F0B">
      <w:pPr>
        <w:pStyle w:val="BodytextIndented"/>
        <w:spacing w:after="120"/>
        <w:ind w:firstLine="0"/>
        <w:rPr>
          <w:b/>
          <w:bCs/>
          <w:color w:val="auto"/>
          <w:lang w:val="en-GB" w:eastAsia="id-ID"/>
        </w:rPr>
      </w:pPr>
    </w:p>
    <w:p w14:paraId="79781963" w14:textId="77777777" w:rsidR="000E1E08" w:rsidRDefault="000E1E08" w:rsidP="005B7F0B">
      <w:pPr>
        <w:pStyle w:val="BodytextIndented"/>
        <w:spacing w:after="120"/>
        <w:ind w:firstLine="0"/>
        <w:rPr>
          <w:b/>
          <w:bCs/>
          <w:color w:val="auto"/>
          <w:lang w:val="en-GB" w:eastAsia="id-ID"/>
        </w:rPr>
      </w:pPr>
    </w:p>
    <w:p w14:paraId="5B2265A5" w14:textId="784B92EC" w:rsidR="00ED5479" w:rsidRPr="0016793F" w:rsidRDefault="00B110FD" w:rsidP="005B7F0B">
      <w:pPr>
        <w:pStyle w:val="BodytextIndented"/>
        <w:spacing w:after="120"/>
        <w:ind w:firstLine="0"/>
        <w:rPr>
          <w:color w:val="auto"/>
          <w:lang w:val="en-GB" w:eastAsia="id-ID"/>
        </w:rPr>
      </w:pPr>
      <w:r w:rsidRPr="0016793F">
        <w:rPr>
          <w:b/>
          <w:bCs/>
          <w:color w:val="auto"/>
          <w:lang w:val="en-GB" w:eastAsia="id-ID"/>
        </w:rPr>
        <w:lastRenderedPageBreak/>
        <w:t>Table 2</w:t>
      </w:r>
      <w:r w:rsidRPr="0016793F">
        <w:rPr>
          <w:color w:val="auto"/>
          <w:lang w:val="en-GB" w:eastAsia="id-ID"/>
        </w:rPr>
        <w:t>.</w:t>
      </w:r>
      <w:r w:rsidR="005F337E" w:rsidRPr="0016793F">
        <w:rPr>
          <w:color w:val="auto"/>
          <w:lang w:val="en-GB" w:eastAsia="id-ID"/>
        </w:rPr>
        <w:t xml:space="preserve"> Result about </w:t>
      </w:r>
      <w:r w:rsidR="005F337E" w:rsidRPr="0016793F">
        <w:rPr>
          <w:rFonts w:ascii="Times New Roman" w:hAnsi="Times New Roman"/>
          <w:color w:val="auto"/>
        </w:rPr>
        <w:t>themes that link technology literacy and global problems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35"/>
        <w:gridCol w:w="987"/>
        <w:gridCol w:w="989"/>
        <w:gridCol w:w="988"/>
        <w:gridCol w:w="988"/>
      </w:tblGrid>
      <w:tr w:rsidR="009C0774" w14:paraId="1D50CE52" w14:textId="77777777" w:rsidTr="00EF2130">
        <w:tc>
          <w:tcPr>
            <w:tcW w:w="5382" w:type="dxa"/>
            <w:vAlign w:val="center"/>
          </w:tcPr>
          <w:p w14:paraId="65BB3F38" w14:textId="0D14E777" w:rsidR="00ED5479" w:rsidRPr="0016793F" w:rsidRDefault="00B110FD" w:rsidP="00EF2130">
            <w:pPr>
              <w:jc w:val="center"/>
              <w:rPr>
                <w:rFonts w:ascii="Times New Roman" w:hAnsi="Times New Roman" w:cs="Times New Roman"/>
                <w:b/>
                <w:bCs/>
                <w:lang w:val="en-US"/>
              </w:rPr>
            </w:pPr>
            <w:r w:rsidRPr="0016793F">
              <w:rPr>
                <w:rFonts w:ascii="Times New Roman" w:hAnsi="Times New Roman" w:cs="Times New Roman"/>
                <w:b/>
                <w:bCs/>
                <w:lang w:val="en-US"/>
              </w:rPr>
              <w:t>Question</w:t>
            </w:r>
          </w:p>
        </w:tc>
        <w:tc>
          <w:tcPr>
            <w:tcW w:w="992" w:type="dxa"/>
          </w:tcPr>
          <w:p w14:paraId="38E589F8" w14:textId="60DFDC9D" w:rsidR="00ED5479" w:rsidRPr="0016793F" w:rsidRDefault="00B110FD" w:rsidP="00D0709A">
            <w:pPr>
              <w:jc w:val="center"/>
              <w:rPr>
                <w:rFonts w:ascii="Times New Roman" w:eastAsia="Times New Roman" w:hAnsi="Times New Roman" w:cs="Times New Roman"/>
                <w:b/>
                <w:bCs/>
                <w:lang w:val="en-US" w:eastAsia="id-ID"/>
              </w:rPr>
            </w:pPr>
            <w:r w:rsidRPr="0016793F">
              <w:rPr>
                <w:rFonts w:ascii="Times New Roman" w:eastAsia="Times New Roman" w:hAnsi="Times New Roman" w:cs="Times New Roman"/>
                <w:b/>
                <w:bCs/>
                <w:lang w:eastAsia="id-ID"/>
              </w:rPr>
              <w:t>1</w:t>
            </w:r>
            <w:r w:rsidRPr="0016793F">
              <w:rPr>
                <w:rFonts w:ascii="Times New Roman" w:eastAsia="Times New Roman" w:hAnsi="Times New Roman" w:cs="Times New Roman"/>
                <w:b/>
                <w:bCs/>
                <w:lang w:val="en-US" w:eastAsia="id-ID"/>
              </w:rPr>
              <w:t>,</w:t>
            </w:r>
            <w:r w:rsidRPr="0016793F">
              <w:rPr>
                <w:rFonts w:ascii="Times New Roman" w:eastAsia="Times New Roman" w:hAnsi="Times New Roman" w:cs="Times New Roman"/>
                <w:b/>
                <w:bCs/>
                <w:lang w:eastAsia="id-ID"/>
              </w:rPr>
              <w:t xml:space="preserve"> 2</w:t>
            </w:r>
            <w:r w:rsidRPr="0016793F">
              <w:rPr>
                <w:rFonts w:ascii="Times New Roman" w:eastAsia="Times New Roman" w:hAnsi="Times New Roman" w:cs="Times New Roman"/>
                <w:b/>
                <w:bCs/>
                <w:lang w:val="en-US" w:eastAsia="id-ID"/>
              </w:rPr>
              <w:t xml:space="preserve">,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val="en-US" w:eastAsia="id-ID"/>
              </w:rPr>
              <w:t xml:space="preserve"> 3</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2" w:type="dxa"/>
          </w:tcPr>
          <w:p w14:paraId="417ED241" w14:textId="58420E9F" w:rsidR="00ED5479" w:rsidRPr="0016793F" w:rsidRDefault="00B110FD"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eastAsia="id-ID"/>
              </w:rPr>
              <w:t xml:space="preserve">2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4</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3" w:type="dxa"/>
          </w:tcPr>
          <w:p w14:paraId="0AD8141B" w14:textId="6D5485B9" w:rsidR="00ED5479" w:rsidRPr="0016793F" w:rsidRDefault="00B110FD"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val="en-US" w:eastAsia="id-ID"/>
              </w:rPr>
              <w:t>3</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5</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1" w:type="dxa"/>
          </w:tcPr>
          <w:p w14:paraId="63C1CFE1" w14:textId="7CC8B171" w:rsidR="00ED5479" w:rsidRPr="0016793F" w:rsidRDefault="00B110FD" w:rsidP="00D0709A">
            <w:pPr>
              <w:jc w:val="center"/>
              <w:rPr>
                <w:rFonts w:ascii="Times New Roman" w:hAnsi="Times New Roman" w:cs="Times New Roman"/>
                <w:b/>
                <w:bCs/>
                <w:lang w:val="en-US"/>
              </w:rPr>
            </w:pPr>
            <w:r w:rsidRPr="0016793F">
              <w:rPr>
                <w:rFonts w:ascii="Times New Roman" w:hAnsi="Times New Roman" w:cs="Times New Roman"/>
                <w:b/>
                <w:bCs/>
                <w:lang w:val="en-US"/>
              </w:rPr>
              <w:t xml:space="preserve">It’s all </w:t>
            </w:r>
            <w:r w:rsidRPr="0016793F">
              <w:rPr>
                <w:rFonts w:ascii="Times New Roman" w:eastAsia="Times New Roman" w:hAnsi="Times New Roman" w:cs="Times New Roman"/>
                <w:b/>
                <w:bCs/>
                <w:lang w:val="en-US" w:eastAsia="id-ID"/>
              </w:rPr>
              <w:t>true</w:t>
            </w:r>
          </w:p>
        </w:tc>
      </w:tr>
      <w:tr w:rsidR="009C0774" w14:paraId="61D2FB41" w14:textId="77777777" w:rsidTr="00A01F09">
        <w:trPr>
          <w:trHeight w:val="1933"/>
        </w:trPr>
        <w:tc>
          <w:tcPr>
            <w:tcW w:w="5382" w:type="dxa"/>
          </w:tcPr>
          <w:p w14:paraId="4007E2A0" w14:textId="7DF8C2D5" w:rsidR="00ED5479" w:rsidRPr="0016793F" w:rsidRDefault="00B110FD"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Which of the following themes are relevant to 21st Century Learning:</w:t>
            </w:r>
          </w:p>
          <w:p w14:paraId="098DEEDE" w14:textId="77777777" w:rsidR="00ED5479" w:rsidRPr="0016793F" w:rsidRDefault="00B110FD"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1. Global Awareness </w:t>
            </w:r>
          </w:p>
          <w:p w14:paraId="25116CDA" w14:textId="77777777" w:rsidR="00ED5479" w:rsidRPr="0016793F" w:rsidRDefault="00B110FD"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2. Financial Literacy </w:t>
            </w:r>
          </w:p>
          <w:p w14:paraId="2889B57F" w14:textId="77777777" w:rsidR="00ED5479" w:rsidRPr="0016793F" w:rsidRDefault="00B110FD"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3. Civic Literacy </w:t>
            </w:r>
          </w:p>
          <w:p w14:paraId="46049BDC" w14:textId="77777777" w:rsidR="00ED5479" w:rsidRPr="0016793F" w:rsidRDefault="00B110FD"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4. Health Literacy </w:t>
            </w:r>
          </w:p>
          <w:p w14:paraId="39DC0EC7" w14:textId="77777777" w:rsidR="00ED5479" w:rsidRPr="0016793F" w:rsidRDefault="00B110FD" w:rsidP="00EF2130">
            <w:pPr>
              <w:rPr>
                <w:rFonts w:ascii="Times New Roman" w:hAnsi="Times New Roman" w:cs="Times New Roman"/>
                <w:lang w:val="en-US"/>
              </w:rPr>
            </w:pPr>
            <w:r w:rsidRPr="0016793F">
              <w:rPr>
                <w:rFonts w:ascii="Times New Roman" w:eastAsia="Times New Roman" w:hAnsi="Times New Roman" w:cs="Times New Roman"/>
                <w:lang w:eastAsia="id-ID"/>
              </w:rPr>
              <w:t>5. Environmental Literacy</w:t>
            </w:r>
          </w:p>
        </w:tc>
        <w:tc>
          <w:tcPr>
            <w:tcW w:w="992" w:type="dxa"/>
            <w:vAlign w:val="center"/>
          </w:tcPr>
          <w:p w14:paraId="4A2FC98D"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20%</w:t>
            </w:r>
          </w:p>
          <w:p w14:paraId="2653F739"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(31)</w:t>
            </w:r>
          </w:p>
        </w:tc>
        <w:tc>
          <w:tcPr>
            <w:tcW w:w="992" w:type="dxa"/>
            <w:vAlign w:val="center"/>
          </w:tcPr>
          <w:p w14:paraId="7E4006BE"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6,45%</w:t>
            </w:r>
          </w:p>
          <w:p w14:paraId="794F9A56"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(10)</w:t>
            </w:r>
          </w:p>
        </w:tc>
        <w:tc>
          <w:tcPr>
            <w:tcW w:w="993" w:type="dxa"/>
            <w:vAlign w:val="center"/>
          </w:tcPr>
          <w:p w14:paraId="7DE0C40F"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7,74</w:t>
            </w:r>
          </w:p>
          <w:p w14:paraId="32CE662A"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(12)</w:t>
            </w:r>
          </w:p>
        </w:tc>
        <w:tc>
          <w:tcPr>
            <w:tcW w:w="991" w:type="dxa"/>
            <w:vAlign w:val="center"/>
          </w:tcPr>
          <w:p w14:paraId="333236B2"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65,81</w:t>
            </w:r>
          </w:p>
          <w:p w14:paraId="2869118C" w14:textId="77777777" w:rsidR="00ED5479" w:rsidRPr="0016793F" w:rsidRDefault="00B110FD" w:rsidP="00EF2130">
            <w:pPr>
              <w:jc w:val="center"/>
              <w:rPr>
                <w:rFonts w:ascii="Times New Roman" w:hAnsi="Times New Roman" w:cs="Times New Roman"/>
                <w:lang w:val="en-US"/>
              </w:rPr>
            </w:pPr>
            <w:r w:rsidRPr="0016793F">
              <w:rPr>
                <w:rFonts w:ascii="Times New Roman" w:hAnsi="Times New Roman" w:cs="Times New Roman"/>
                <w:lang w:val="en-US"/>
              </w:rPr>
              <w:t>(102)</w:t>
            </w:r>
          </w:p>
        </w:tc>
      </w:tr>
    </w:tbl>
    <w:p w14:paraId="4CE39B32" w14:textId="31A37594" w:rsidR="00ED5479" w:rsidRPr="0016793F" w:rsidRDefault="00ED5479" w:rsidP="00ED5479">
      <w:pPr>
        <w:pStyle w:val="BodytextIndented"/>
        <w:ind w:firstLine="0"/>
        <w:rPr>
          <w:color w:val="auto"/>
          <w:lang w:val="en-GB" w:eastAsia="id-ID"/>
        </w:rPr>
      </w:pPr>
    </w:p>
    <w:p w14:paraId="66E26E01" w14:textId="6FC7A6A4" w:rsidR="00ED5479" w:rsidRPr="0016793F" w:rsidRDefault="00B110FD" w:rsidP="005B7F0B">
      <w:pPr>
        <w:pStyle w:val="BodytextIndented"/>
        <w:spacing w:after="120"/>
        <w:ind w:firstLine="0"/>
        <w:rPr>
          <w:color w:val="auto"/>
          <w:lang w:val="en-GB" w:eastAsia="id-ID"/>
        </w:rPr>
      </w:pPr>
      <w:r w:rsidRPr="0016793F">
        <w:rPr>
          <w:b/>
          <w:bCs/>
          <w:color w:val="auto"/>
          <w:lang w:val="en-GB" w:eastAsia="id-ID"/>
        </w:rPr>
        <w:t>Table 3</w:t>
      </w:r>
      <w:r w:rsidRPr="0016793F">
        <w:rPr>
          <w:color w:val="auto"/>
          <w:lang w:val="en-GB" w:eastAsia="id-ID"/>
        </w:rPr>
        <w:t>.</w:t>
      </w:r>
      <w:r w:rsidRPr="0016793F">
        <w:rPr>
          <w:b/>
          <w:bCs/>
          <w:color w:val="auto"/>
          <w:lang w:val="en-GB" w:eastAsia="id-ID"/>
        </w:rPr>
        <w:t xml:space="preserve"> </w:t>
      </w:r>
      <w:r w:rsidR="005F337E" w:rsidRPr="0016793F">
        <w:rPr>
          <w:color w:val="auto"/>
          <w:lang w:val="en-GB" w:eastAsia="id-ID"/>
        </w:rPr>
        <w:t>Result</w:t>
      </w:r>
      <w:r w:rsidR="005F337E" w:rsidRPr="0016793F">
        <w:rPr>
          <w:rFonts w:ascii="Times New Roman" w:hAnsi="Times New Roman"/>
          <w:color w:val="auto"/>
        </w:rPr>
        <w:t xml:space="preserve"> about digital security and responsibility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968"/>
        <w:gridCol w:w="982"/>
        <w:gridCol w:w="1157"/>
        <w:gridCol w:w="1035"/>
        <w:gridCol w:w="1145"/>
      </w:tblGrid>
      <w:tr w:rsidR="009C0774" w14:paraId="4526FC60" w14:textId="77777777" w:rsidTr="0041171F">
        <w:tc>
          <w:tcPr>
            <w:tcW w:w="5382" w:type="dxa"/>
            <w:vAlign w:val="center"/>
          </w:tcPr>
          <w:p w14:paraId="1400A8B3" w14:textId="67DE0D49" w:rsidR="00ED5479" w:rsidRPr="0016793F" w:rsidRDefault="00B110FD" w:rsidP="00EF2130">
            <w:pPr>
              <w:jc w:val="center"/>
              <w:rPr>
                <w:rFonts w:ascii="Times New Roman" w:hAnsi="Times New Roman" w:cs="Times New Roman"/>
                <w:b/>
                <w:bCs/>
                <w:lang w:val="en-US"/>
              </w:rPr>
            </w:pPr>
            <w:r w:rsidRPr="0016793F">
              <w:rPr>
                <w:rFonts w:ascii="Times New Roman" w:hAnsi="Times New Roman" w:cs="Times New Roman"/>
                <w:b/>
                <w:bCs/>
                <w:lang w:val="en-US"/>
              </w:rPr>
              <w:t xml:space="preserve">Statement </w:t>
            </w:r>
          </w:p>
        </w:tc>
        <w:tc>
          <w:tcPr>
            <w:tcW w:w="992" w:type="dxa"/>
            <w:vAlign w:val="center"/>
          </w:tcPr>
          <w:p w14:paraId="7854A966" w14:textId="071BE40F" w:rsidR="00ED5479" w:rsidRPr="0016793F" w:rsidRDefault="00B110FD"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Agree</w:t>
            </w:r>
          </w:p>
        </w:tc>
        <w:tc>
          <w:tcPr>
            <w:tcW w:w="992" w:type="dxa"/>
            <w:vAlign w:val="center"/>
          </w:tcPr>
          <w:p w14:paraId="62F3AE1B" w14:textId="3FB2D21E" w:rsidR="00ED5479" w:rsidRPr="0016793F" w:rsidRDefault="00B110FD"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Uncertain</w:t>
            </w:r>
          </w:p>
        </w:tc>
        <w:tc>
          <w:tcPr>
            <w:tcW w:w="993" w:type="dxa"/>
            <w:vAlign w:val="center"/>
          </w:tcPr>
          <w:p w14:paraId="396B2BFC" w14:textId="00BB9AAA" w:rsidR="00ED5479" w:rsidRPr="0016793F" w:rsidRDefault="00B110FD"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Disagree</w:t>
            </w:r>
          </w:p>
        </w:tc>
        <w:tc>
          <w:tcPr>
            <w:tcW w:w="991" w:type="dxa"/>
            <w:vAlign w:val="center"/>
          </w:tcPr>
          <w:p w14:paraId="5F8324C8" w14:textId="76E98FCE" w:rsidR="00ED5479" w:rsidRPr="0016793F" w:rsidRDefault="00B110FD" w:rsidP="0041171F">
            <w:pPr>
              <w:jc w:val="center"/>
              <w:rPr>
                <w:rFonts w:ascii="Times New Roman" w:hAnsi="Times New Roman" w:cs="Times New Roman"/>
                <w:b/>
                <w:bCs/>
                <w:lang w:val="en-US"/>
              </w:rPr>
            </w:pPr>
            <w:r w:rsidRPr="0016793F">
              <w:rPr>
                <w:rFonts w:ascii="Times New Roman" w:hAnsi="Times New Roman" w:cs="Times New Roman"/>
                <w:b/>
                <w:bCs/>
                <w:lang w:val="en-US"/>
              </w:rPr>
              <w:t>Not interested</w:t>
            </w:r>
          </w:p>
        </w:tc>
      </w:tr>
      <w:tr w:rsidR="009C0774" w14:paraId="5F8CE7BF" w14:textId="77777777" w:rsidTr="00A01F09">
        <w:trPr>
          <w:trHeight w:val="1365"/>
        </w:trPr>
        <w:tc>
          <w:tcPr>
            <w:tcW w:w="5382" w:type="dxa"/>
          </w:tcPr>
          <w:p w14:paraId="03ACC20D" w14:textId="751E97E9" w:rsidR="00ED5479" w:rsidRPr="0016793F" w:rsidRDefault="00B110FD" w:rsidP="00EF2130">
            <w:pPr>
              <w:rPr>
                <w:rFonts w:ascii="Times New Roman" w:hAnsi="Times New Roman" w:cs="Times New Roman"/>
                <w:lang w:val="en-US"/>
              </w:rPr>
            </w:pPr>
            <w:r w:rsidRPr="0016793F">
              <w:rPr>
                <w:rFonts w:ascii="Times New Roman" w:eastAsia="Times New Roman" w:hAnsi="Times New Roman" w:cs="Times New Roman"/>
                <w:lang w:eastAsia="id-ID"/>
              </w:rPr>
              <w:t>It is essential to understand the latest technology, and it is essential to use it for the prosperity of educational outcomes in the future. Technology integration into the lecture process is essential to do well and wisely</w:t>
            </w:r>
          </w:p>
        </w:tc>
        <w:tc>
          <w:tcPr>
            <w:tcW w:w="992" w:type="dxa"/>
            <w:vAlign w:val="center"/>
          </w:tcPr>
          <w:p w14:paraId="159D11AA" w14:textId="41D25D37"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76,77</w:t>
            </w:r>
            <w:r w:rsidR="008B6969" w:rsidRPr="0016793F">
              <w:rPr>
                <w:rFonts w:ascii="Times New Roman" w:hAnsi="Times New Roman" w:cs="Times New Roman"/>
                <w:lang w:val="en-US"/>
              </w:rPr>
              <w:t>%</w:t>
            </w:r>
          </w:p>
        </w:tc>
        <w:tc>
          <w:tcPr>
            <w:tcW w:w="992" w:type="dxa"/>
            <w:vAlign w:val="center"/>
          </w:tcPr>
          <w:p w14:paraId="45BB6F4A" w14:textId="3E4EDF06"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20,65</w:t>
            </w:r>
            <w:r w:rsidR="008B6969" w:rsidRPr="0016793F">
              <w:rPr>
                <w:rFonts w:ascii="Times New Roman" w:hAnsi="Times New Roman" w:cs="Times New Roman"/>
                <w:lang w:val="en-US"/>
              </w:rPr>
              <w:t>%</w:t>
            </w:r>
          </w:p>
        </w:tc>
        <w:tc>
          <w:tcPr>
            <w:tcW w:w="993" w:type="dxa"/>
            <w:vAlign w:val="center"/>
          </w:tcPr>
          <w:p w14:paraId="42A93D21" w14:textId="72CEAD10"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0,65</w:t>
            </w:r>
            <w:r w:rsidR="008B6969" w:rsidRPr="0016793F">
              <w:rPr>
                <w:rFonts w:ascii="Times New Roman" w:hAnsi="Times New Roman" w:cs="Times New Roman"/>
                <w:lang w:val="en-US"/>
              </w:rPr>
              <w:t>%</w:t>
            </w:r>
          </w:p>
        </w:tc>
        <w:tc>
          <w:tcPr>
            <w:tcW w:w="991" w:type="dxa"/>
            <w:vAlign w:val="center"/>
          </w:tcPr>
          <w:p w14:paraId="719AED42" w14:textId="7DD22E61"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1,94</w:t>
            </w:r>
            <w:r w:rsidR="008B6969" w:rsidRPr="0016793F">
              <w:rPr>
                <w:rFonts w:ascii="Times New Roman" w:hAnsi="Times New Roman" w:cs="Times New Roman"/>
                <w:lang w:val="en-US"/>
              </w:rPr>
              <w:t>%</w:t>
            </w:r>
          </w:p>
        </w:tc>
      </w:tr>
      <w:tr w:rsidR="009C0774" w14:paraId="06707837" w14:textId="77777777" w:rsidTr="00A01F09">
        <w:trPr>
          <w:trHeight w:val="1370"/>
        </w:trPr>
        <w:tc>
          <w:tcPr>
            <w:tcW w:w="5382" w:type="dxa"/>
          </w:tcPr>
          <w:p w14:paraId="3BA38472" w14:textId="04675789" w:rsidR="00ED5479" w:rsidRPr="0016793F" w:rsidRDefault="00B110FD" w:rsidP="00EF2130">
            <w:pPr>
              <w:rPr>
                <w:rFonts w:ascii="Times New Roman" w:eastAsia="Times New Roman" w:hAnsi="Times New Roman" w:cs="Times New Roman"/>
                <w:lang w:val="en-US" w:eastAsia="id-ID"/>
              </w:rPr>
            </w:pPr>
            <w:r w:rsidRPr="0016793F">
              <w:rPr>
                <w:rFonts w:ascii="Times New Roman" w:eastAsia="Times New Roman" w:hAnsi="Times New Roman" w:cs="Times New Roman"/>
                <w:lang w:eastAsia="id-ID"/>
              </w:rPr>
              <w:t>Technology has opened up possibilities for learning new skills and new cultures. The millennial generation is responsible for understanding and maximizing the potential of technological developments and warding off harmful influences.</w:t>
            </w:r>
          </w:p>
        </w:tc>
        <w:tc>
          <w:tcPr>
            <w:tcW w:w="992" w:type="dxa"/>
            <w:vAlign w:val="center"/>
          </w:tcPr>
          <w:p w14:paraId="0B1CDF23" w14:textId="61BD9A39"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72,90</w:t>
            </w:r>
            <w:r w:rsidR="008B6969" w:rsidRPr="0016793F">
              <w:rPr>
                <w:rFonts w:ascii="Times New Roman" w:hAnsi="Times New Roman" w:cs="Times New Roman"/>
                <w:lang w:val="en-US"/>
              </w:rPr>
              <w:t>%</w:t>
            </w:r>
          </w:p>
        </w:tc>
        <w:tc>
          <w:tcPr>
            <w:tcW w:w="992" w:type="dxa"/>
            <w:vAlign w:val="center"/>
          </w:tcPr>
          <w:p w14:paraId="6DA8ED65" w14:textId="2083220A"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25,81</w:t>
            </w:r>
            <w:r w:rsidR="008B6969" w:rsidRPr="0016793F">
              <w:rPr>
                <w:rFonts w:ascii="Times New Roman" w:hAnsi="Times New Roman" w:cs="Times New Roman"/>
                <w:lang w:val="en-US"/>
              </w:rPr>
              <w:t>%</w:t>
            </w:r>
          </w:p>
        </w:tc>
        <w:tc>
          <w:tcPr>
            <w:tcW w:w="993" w:type="dxa"/>
            <w:vAlign w:val="center"/>
          </w:tcPr>
          <w:p w14:paraId="04A837ED" w14:textId="02FF8AF9"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0</w:t>
            </w:r>
            <w:r w:rsidR="008B6969" w:rsidRPr="0016793F">
              <w:rPr>
                <w:rFonts w:ascii="Times New Roman" w:hAnsi="Times New Roman" w:cs="Times New Roman"/>
                <w:lang w:val="en-US"/>
              </w:rPr>
              <w:t>%</w:t>
            </w:r>
          </w:p>
        </w:tc>
        <w:tc>
          <w:tcPr>
            <w:tcW w:w="991" w:type="dxa"/>
            <w:vAlign w:val="center"/>
          </w:tcPr>
          <w:p w14:paraId="447638DE" w14:textId="3384A6CB" w:rsidR="00ED5479" w:rsidRPr="0016793F" w:rsidRDefault="00B110FD" w:rsidP="0041171F">
            <w:pPr>
              <w:jc w:val="center"/>
              <w:rPr>
                <w:rFonts w:ascii="Times New Roman" w:hAnsi="Times New Roman" w:cs="Times New Roman"/>
                <w:lang w:val="en-US"/>
              </w:rPr>
            </w:pPr>
            <w:r w:rsidRPr="0016793F">
              <w:rPr>
                <w:rFonts w:ascii="Times New Roman" w:hAnsi="Times New Roman" w:cs="Times New Roman"/>
                <w:lang w:val="en-US"/>
              </w:rPr>
              <w:t>1,29</w:t>
            </w:r>
            <w:r w:rsidR="008B6969" w:rsidRPr="0016793F">
              <w:rPr>
                <w:rFonts w:ascii="Times New Roman" w:hAnsi="Times New Roman" w:cs="Times New Roman"/>
                <w:lang w:val="en-US"/>
              </w:rPr>
              <w:t>%</w:t>
            </w:r>
          </w:p>
        </w:tc>
      </w:tr>
    </w:tbl>
    <w:p w14:paraId="530F7B79" w14:textId="77777777" w:rsidR="00ED5479" w:rsidRPr="0016793F" w:rsidRDefault="00ED5479" w:rsidP="00ED5479">
      <w:pPr>
        <w:pStyle w:val="BodytextIndented"/>
        <w:ind w:firstLine="0"/>
        <w:rPr>
          <w:color w:val="auto"/>
          <w:lang w:val="en-GB" w:eastAsia="id-ID"/>
        </w:rPr>
      </w:pPr>
    </w:p>
    <w:p w14:paraId="1BE15D89" w14:textId="343CBA4B" w:rsidR="00923765" w:rsidRPr="0016793F" w:rsidRDefault="00B110FD" w:rsidP="00D74E79">
      <w:pPr>
        <w:jc w:val="both"/>
        <w:rPr>
          <w:rFonts w:ascii="Times New Roman" w:hAnsi="Times New Roman"/>
          <w:lang w:val="en-US" w:eastAsia="id-ID"/>
        </w:rPr>
      </w:pPr>
      <w:r w:rsidRPr="0016793F">
        <w:rPr>
          <w:rFonts w:ascii="Times New Roman" w:hAnsi="Times New Roman"/>
        </w:rPr>
        <w:t xml:space="preserve">Based on </w:t>
      </w:r>
      <w:r w:rsidR="00C94D57" w:rsidRPr="0016793F">
        <w:rPr>
          <w:rFonts w:ascii="Times New Roman" w:hAnsi="Times New Roman"/>
        </w:rPr>
        <w:t xml:space="preserve">Table </w:t>
      </w:r>
      <w:r w:rsidRPr="0016793F">
        <w:rPr>
          <w:rFonts w:ascii="Times New Roman" w:hAnsi="Times New Roman"/>
        </w:rPr>
        <w:t xml:space="preserve">1, </w:t>
      </w:r>
      <w:r w:rsidR="00C94D57" w:rsidRPr="0016793F">
        <w:rPr>
          <w:rFonts w:ascii="Times New Roman" w:hAnsi="Times New Roman"/>
        </w:rPr>
        <w:t xml:space="preserve">Table </w:t>
      </w:r>
      <w:r w:rsidRPr="0016793F">
        <w:rPr>
          <w:rFonts w:ascii="Times New Roman" w:hAnsi="Times New Roman"/>
        </w:rPr>
        <w:t xml:space="preserve">2, and </w:t>
      </w:r>
      <w:r w:rsidR="00C94D57" w:rsidRPr="0016793F">
        <w:rPr>
          <w:rFonts w:ascii="Times New Roman" w:hAnsi="Times New Roman"/>
        </w:rPr>
        <w:t xml:space="preserve">Table </w:t>
      </w:r>
      <w:r w:rsidRPr="0016793F">
        <w:rPr>
          <w:rFonts w:ascii="Times New Roman" w:hAnsi="Times New Roman"/>
        </w:rPr>
        <w:t xml:space="preserve">3, most students already have initial literacy related to technology, namely a positive attitude towards digital ethics, themes that link technology literacy and global problems, and digital security and responsibility. </w:t>
      </w:r>
      <w:r w:rsidRPr="009D3FA9">
        <w:rPr>
          <w:rFonts w:ascii="Times New Roman" w:hAnsi="Times New Roman"/>
        </w:rPr>
        <w:t xml:space="preserve">When viewed from the perspective of Young and Pearson's technologic literacy, students already know aspects of the ways technology shapes human history and people shape technology </w:t>
      </w:r>
      <w:r>
        <w:rPr>
          <w:rFonts w:ascii="Times New Roman" w:hAnsi="Times New Roman"/>
        </w:rPr>
        <w:t>also</w:t>
      </w:r>
      <w:r w:rsidRPr="009D3FA9">
        <w:rPr>
          <w:rFonts w:ascii="Times New Roman" w:hAnsi="Times New Roman"/>
        </w:rPr>
        <w:t xml:space="preserve"> understands that technology reflects the values ​​and culture of society</w:t>
      </w:r>
      <w:r w:rsidRPr="0016793F">
        <w:rPr>
          <w:rFonts w:ascii="Times New Roman" w:hAnsi="Times New Roman"/>
        </w:rPr>
        <w:fldChar w:fldCharType="begin" w:fldLock="1"/>
      </w:r>
      <w:r w:rsidR="004F290B">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[9]","plainTextFormattedCitation":"[9]","previouslyFormattedCitation":"[9]"},"properties":{"noteIndex":0},"schema":"https://github.com/citation-style-language/schema/raw/master/csl-citation.json"}</w:instrText>
      </w:r>
      <w:r w:rsidRPr="0016793F">
        <w:rPr>
          <w:rFonts w:ascii="Times New Roman" w:hAnsi="Times New Roman"/>
        </w:rPr>
        <w:fldChar w:fldCharType="separate"/>
      </w:r>
      <w:r w:rsidR="004D2E7F" w:rsidRPr="004D2E7F">
        <w:rPr>
          <w:rFonts w:ascii="Times New Roman" w:hAnsi="Times New Roman"/>
          <w:noProof/>
        </w:rPr>
        <w:t>[9]</w:t>
      </w:r>
      <w:r w:rsidRPr="0016793F">
        <w:rPr>
          <w:rFonts w:ascii="Times New Roman" w:hAnsi="Times New Roman"/>
        </w:rPr>
        <w:fldChar w:fldCharType="end"/>
      </w:r>
      <w:r>
        <w:rPr>
          <w:rFonts w:ascii="Times New Roman" w:hAnsi="Times New Roman"/>
        </w:rPr>
        <w:t xml:space="preserve">. </w:t>
      </w:r>
      <w:r w:rsidRPr="0016793F">
        <w:rPr>
          <w:rFonts w:ascii="Times New Roman" w:hAnsi="Times New Roman"/>
          <w:lang w:val="en-US"/>
        </w:rPr>
        <w:t xml:space="preserve">Technological developments can be used to support </w:t>
      </w:r>
      <w:r w:rsidR="00080954">
        <w:rPr>
          <w:rFonts w:ascii="Times New Roman" w:hAnsi="Times New Roman"/>
          <w:lang w:val="en-US"/>
        </w:rPr>
        <w:t xml:space="preserve">online </w:t>
      </w:r>
      <w:r w:rsidRPr="0016793F">
        <w:rPr>
          <w:rFonts w:ascii="Times New Roman" w:hAnsi="Times New Roman"/>
          <w:lang w:val="en-US"/>
        </w:rPr>
        <w:t>learning at home</w:t>
      </w:r>
      <w:r w:rsidRPr="0016793F">
        <w:rPr>
          <w:rFonts w:ascii="Times New Roman" w:hAnsi="Times New Roman"/>
          <w:lang w:val="en-US"/>
        </w:rPr>
        <w:fldChar w:fldCharType="begin" w:fldLock="1"/>
      </w:r>
      <w:r w:rsidRPr="0016793F">
        <w:rPr>
          <w:rFonts w:ascii="Times New Roman" w:hAnsi="Times New Roman"/>
          <w:lang w:val="en-US"/>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plainTextFormattedCitation":"[3]","previouslyFormattedCitation":"[3]"},"properties":{"noteIndex":0},"schema":"https://github.com/citation-style-language/schema/raw/master/csl-citation.json"}</w:instrText>
      </w:r>
      <w:r w:rsidRPr="0016793F">
        <w:rPr>
          <w:rFonts w:ascii="Times New Roman" w:hAnsi="Times New Roman"/>
          <w:lang w:val="en-US"/>
        </w:rPr>
        <w:fldChar w:fldCharType="separate"/>
      </w:r>
      <w:r w:rsidRPr="0016793F">
        <w:rPr>
          <w:rFonts w:ascii="Times New Roman" w:hAnsi="Times New Roman"/>
          <w:noProof/>
          <w:lang w:val="en-US"/>
        </w:rPr>
        <w:t>[3]</w:t>
      </w:r>
      <w:r w:rsidRPr="0016793F">
        <w:rPr>
          <w:rFonts w:ascii="Times New Roman" w:hAnsi="Times New Roman"/>
          <w:lang w:val="en-US"/>
        </w:rPr>
        <w:fldChar w:fldCharType="end"/>
      </w:r>
      <w:r w:rsidRPr="0016793F">
        <w:rPr>
          <w:rFonts w:ascii="Times New Roman" w:hAnsi="Times New Roman"/>
          <w:lang w:val="en-US"/>
        </w:rPr>
        <w:fldChar w:fldCharType="begin" w:fldLock="1"/>
      </w:r>
      <w:r w:rsidR="00BA22BC">
        <w:rPr>
          <w:rFonts w:ascii="Times New Roman" w:hAnsi="Times New Roman"/>
          <w:lang w:val="en-US"/>
        </w:rPr>
        <w:instrText>ADDIN CSL_CITATION {"citationItems":[{"id":"ITEM-1","itemData":{"DOI":"10.29333/EJMSTE/7893","ISSN":"13058223","abstract":"With all learning institutions pre-maturely closed on 20 March 2020 and all citizens advised to self-isolate in a bid to control the spread of COVID-19, it was hypothesized that COVID-19 would negatively impact on the performance of students in the 2020 Grade 12 national examinations vis-a-vis mathematics, science and design and technology subjects. An observed steady increase in the number of COVID-19 confirmed cases and the low levels of technology use in secondary schools in Zambia due to limited technology resources signifies a very difficult period in a young country which has just rolled out a nation-wide implementation of STEM education, This study collected data from three teachers at a public secondary school in Chipata District of Eastern Province in the Republic of Zambia. The Head of Department for Mathematics, the Head of Natural Sciences Department and one science teacher were interviewed. Semi-structured interviews via mobile phone were used to collect views of what these specialists thought would be the COVID-19 effects on the general performance of students in their subject areas. Results of this study revealed that there is likely to be a drop in the pass percentage of secondary school students in this year's national examinations if the COVID-19 epidemic is not contained in the shortest possible time considering that the school academic calendar was abruptly disturbed by the early untimely closure of all schools in the country.","author":[{"dropping-particle":"","family":"Sintema","given":"Edgar John","non-dropping-particle":"","parse-names":false,"suffix":""}],"container-title":"Eurasia Journal of Mathematics, Science and Technology Education","id":"ITEM-1","issue":"7","issued":{"date-parts":[["2020"]]},"page":"1-6","title":"Effect of COVID-19 on the performance of grade 12 students: Implications for STEM education","type":"article-journal","volume":"16"},"uris":["http://www.mendeley.com/documents/?uuid=6b8ce4ca-87df-4e96-9069-2dda09f21e87"]}],"mendeley":{"formattedCitation":"[17]","plainTextFormattedCitation":"[17]","previouslyFormattedCitation":"[16]"},"properties":{"noteIndex":0},"schema":"https://github.com/citation-style-language/schema/raw/master/csl-citation.json"}</w:instrText>
      </w:r>
      <w:r w:rsidRPr="0016793F">
        <w:rPr>
          <w:rFonts w:ascii="Times New Roman" w:hAnsi="Times New Roman"/>
          <w:lang w:val="en-US"/>
        </w:rPr>
        <w:fldChar w:fldCharType="separate"/>
      </w:r>
      <w:r w:rsidR="00BA22BC" w:rsidRPr="00BA22BC">
        <w:rPr>
          <w:rFonts w:ascii="Times New Roman" w:hAnsi="Times New Roman"/>
          <w:noProof/>
          <w:lang w:val="en-US"/>
        </w:rPr>
        <w:t>[17]</w:t>
      </w:r>
      <w:r w:rsidRPr="0016793F">
        <w:rPr>
          <w:rFonts w:ascii="Times New Roman" w:hAnsi="Times New Roman"/>
          <w:lang w:val="en-US"/>
        </w:rPr>
        <w:fldChar w:fldCharType="end"/>
      </w:r>
      <w:r w:rsidRPr="0016793F">
        <w:rPr>
          <w:rFonts w:ascii="Times New Roman" w:hAnsi="Times New Roman"/>
          <w:lang w:val="en-US"/>
        </w:rPr>
        <w:t>. Examples of technology that have an impact on education include the internet and Android networks. The internet is used as a learning resource apart from books and educators. Android's use as a basis for learning media is one of the learning styles in the 21st century</w:t>
      </w:r>
      <w:r w:rsidRPr="0016793F">
        <w:rPr>
          <w:rFonts w:ascii="Times New Roman" w:hAnsi="Times New Roman"/>
        </w:rPr>
        <w:fldChar w:fldCharType="begin" w:fldLock="1"/>
      </w:r>
      <w:r w:rsidR="00BA22BC">
        <w:rPr>
          <w:rFonts w:ascii="Times New Roman" w:hAnsi="Times New Roman"/>
        </w:rPr>
        <w:instrText>ADDIN CSL_CITATION {"citationItems":[{"id":"ITEM-1","itemData":{"abstract":"Great involvement of technology to the people’s daily lives is evident almost everywhere, even in the educational setting. People’s daily existence never ceases to include technology interaction. With the prominent and daily use and integration of technology to a student’s daily routine, utilization of their mobile gadgets for educative purposes can be advantageous both to students and teachers alike. This paper aimed to introduce the use of Android-based e-learning environment to adapt to the learning style of the 21st century learners. As shown in the previous studies, one of the main problems in any e-learning environment is on how to gain and retain the motivation of the learners. In this light, this paper explored the use of ARCS model by John Keller (1988) as a relevant learning pedagogy in the design of the proposed Android-based mobile e-learning. Use of LMS, a local server, and website building applications were used to build the mobile application. Several ways on how to incorporate the four elements of ARCS in the e-learning media were developed based on past researches. KEYWORDS:","author":[{"dropping-particle":"V","family":"Calimag","given":"J A N Nealbert","non-dropping-particle":"","parse-names":false,"suffix":""},{"dropping-particle":"","family":"Miguel","given":"Pamela Anne G","non-dropping-particle":"","parse-names":false,"suffix":""},{"dropping-particle":"","family":"Conde","given":"Romel S","non-dropping-particle":"","parse-names":false,"suffix":""},{"dropping-particle":"","family":"Aquino","given":"Luisa B","non-dropping-particle":"","parse-names":false,"suffix":""}],"container-title":"IMPACT: International Journal of Research in Engineering &amp; Technology","id":"ITEM-1","issue":"2","issued":{"date-parts":[["2014"]]},"page":"119-128","title":"Ubiquitos learning environment using android mobile application","type":"article-journal","volume":"2"},"uris":["http://www.mendeley.com/documents/?uuid=299fcf11-2062-426b-8c43-3953f0bef7f8","http://www.mendeley.com/documents/?uuid=a804f53e-2cc1-41c6-99b2-3b515dff75a4"]}],"mendeley":{"formattedCitation":"[18]","plainTextFormattedCitation":"[18]","previouslyFormattedCitation":"[17]"},"properties":{"noteIndex":0},"schema":"https://github.com/citation-style-language/schema/raw/master/csl-citation.json"}</w:instrText>
      </w:r>
      <w:r w:rsidRPr="0016793F">
        <w:rPr>
          <w:rFonts w:ascii="Times New Roman" w:hAnsi="Times New Roman"/>
        </w:rPr>
        <w:fldChar w:fldCharType="separate"/>
      </w:r>
      <w:r w:rsidR="00BA22BC" w:rsidRPr="00BA22BC">
        <w:rPr>
          <w:rFonts w:ascii="Times New Roman" w:hAnsi="Times New Roman"/>
          <w:noProof/>
        </w:rPr>
        <w:t>[18]</w:t>
      </w:r>
      <w:r w:rsidRPr="0016793F">
        <w:rPr>
          <w:rFonts w:ascii="Times New Roman" w:hAnsi="Times New Roman"/>
        </w:rPr>
        <w:fldChar w:fldCharType="end"/>
      </w:r>
      <w:r w:rsidRPr="0016793F">
        <w:rPr>
          <w:rFonts w:ascii="Times New Roman" w:hAnsi="Times New Roman"/>
        </w:rPr>
        <w:t>.</w:t>
      </w:r>
    </w:p>
    <w:p w14:paraId="00139370" w14:textId="6E8F73BB" w:rsidR="002F5C2B" w:rsidRPr="0016793F" w:rsidRDefault="00B110FD" w:rsidP="00923765">
      <w:pPr>
        <w:pStyle w:val="BodytextIndented"/>
        <w:rPr>
          <w:color w:val="auto"/>
          <w:lang w:val="en-GB"/>
        </w:rPr>
      </w:pPr>
      <w:r>
        <w:rPr>
          <w:rFonts w:ascii="Times New Roman" w:hAnsi="Times New Roman"/>
          <w:color w:val="auto"/>
          <w:lang w:eastAsia="id-ID"/>
        </w:rPr>
        <w:t xml:space="preserve">Teachers must help the student to reduce </w:t>
      </w:r>
      <w:r w:rsidRPr="003531A1">
        <w:rPr>
          <w:rFonts w:ascii="Times New Roman" w:hAnsi="Times New Roman"/>
          <w:color w:val="auto"/>
          <w:lang w:eastAsia="id-ID"/>
        </w:rPr>
        <w:t>depres</w:t>
      </w:r>
      <w:r>
        <w:rPr>
          <w:rFonts w:ascii="Times New Roman" w:hAnsi="Times New Roman"/>
          <w:color w:val="auto"/>
          <w:lang w:eastAsia="id-ID"/>
        </w:rPr>
        <w:t>s</w:t>
      </w:r>
      <w:r w:rsidRPr="003531A1">
        <w:rPr>
          <w:rFonts w:ascii="Times New Roman" w:hAnsi="Times New Roman"/>
          <w:color w:val="auto"/>
          <w:lang w:eastAsia="id-ID"/>
        </w:rPr>
        <w:t>ion, anxiety</w:t>
      </w:r>
      <w:r>
        <w:rPr>
          <w:rFonts w:ascii="Times New Roman" w:hAnsi="Times New Roman"/>
          <w:color w:val="auto"/>
          <w:lang w:eastAsia="id-ID"/>
        </w:rPr>
        <w:t xml:space="preserve">, </w:t>
      </w:r>
      <w:r w:rsidR="004C0DB7">
        <w:rPr>
          <w:rFonts w:ascii="Times New Roman" w:hAnsi="Times New Roman"/>
          <w:color w:val="auto"/>
          <w:lang w:eastAsia="id-ID"/>
        </w:rPr>
        <w:t>boredom, and frustration.</w:t>
      </w:r>
      <w:r>
        <w:rPr>
          <w:rFonts w:ascii="Times New Roman" w:hAnsi="Times New Roman"/>
          <w:color w:val="auto"/>
          <w:lang w:eastAsia="id-ID"/>
        </w:rPr>
        <w:t xml:space="preserve"> </w:t>
      </w:r>
      <w:r w:rsidR="00923765" w:rsidRPr="0016793F">
        <w:rPr>
          <w:rFonts w:ascii="Times New Roman" w:hAnsi="Times New Roman"/>
          <w:color w:val="auto"/>
          <w:lang w:eastAsia="id-ID"/>
        </w:rPr>
        <w:t>Bao mentions the principles of online learning when new normal</w:t>
      </w:r>
      <w:r w:rsidR="00585500" w:rsidRPr="0016793F">
        <w:rPr>
          <w:rFonts w:ascii="Times New Roman" w:hAnsi="Times New Roman"/>
          <w:color w:val="auto"/>
          <w:lang w:eastAsia="id-ID"/>
        </w:rPr>
        <w:fldChar w:fldCharType="begin" w:fldLock="1"/>
      </w:r>
      <w:r w:rsidR="00585500" w:rsidRPr="0016793F">
        <w:rPr>
          <w:rFonts w:ascii="Times New Roman" w:hAnsi="Times New Roman"/>
          <w:color w:val="auto"/>
          <w:lang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00585500" w:rsidRPr="0016793F">
        <w:rPr>
          <w:rFonts w:ascii="Times New Roman" w:hAnsi="Times New Roman"/>
          <w:color w:val="auto"/>
          <w:lang w:eastAsia="id-ID"/>
        </w:rPr>
        <w:fldChar w:fldCharType="separate"/>
      </w:r>
      <w:r w:rsidR="00585500" w:rsidRPr="0016793F">
        <w:rPr>
          <w:rFonts w:ascii="Times New Roman" w:hAnsi="Times New Roman"/>
          <w:noProof/>
          <w:color w:val="auto"/>
          <w:lang w:eastAsia="id-ID"/>
        </w:rPr>
        <w:t>[2]</w:t>
      </w:r>
      <w:r w:rsidR="00585500" w:rsidRPr="0016793F">
        <w:rPr>
          <w:rFonts w:ascii="Times New Roman" w:hAnsi="Times New Roman"/>
          <w:color w:val="auto"/>
          <w:lang w:eastAsia="id-ID"/>
        </w:rPr>
        <w:fldChar w:fldCharType="end"/>
      </w:r>
      <w:r w:rsidR="00923765" w:rsidRPr="0016793F">
        <w:rPr>
          <w:rFonts w:ascii="Times New Roman" w:hAnsi="Times New Roman"/>
          <w:color w:val="auto"/>
          <w:lang w:eastAsia="id-ID"/>
        </w:rPr>
        <w:t>. First, the principle of appropriate relevance. The material coverage and the difficulty level of the material are adjusted to students' academic readiness and online learning behavior. Second, the principle of effective delivery. Online learning is characterized by a low concentration of learners, so that educators need to adjust the method and speed when delivering material. Third, the principle of sufficient support. Students need to be guided in reflection, pre-study tutorials, and written guides for online study preparation. Fourth, the principle of quality participation. Educators need to find ways to measure the degree of participation of students when learning online. Fifth, the principle of preparing a backup plan. Educators need to prepare a backup plan if the original plan does not work out to continue online learning.</w:t>
      </w:r>
    </w:p>
    <w:p w14:paraId="04D737B7" w14:textId="09C2BE7F" w:rsidR="00602DDB" w:rsidRPr="0016793F" w:rsidRDefault="00B110FD" w:rsidP="00602DDB">
      <w:pPr>
        <w:pStyle w:val="Section"/>
        <w:rPr>
          <w:color w:val="auto"/>
        </w:rPr>
      </w:pPr>
      <w:r w:rsidRPr="0016793F">
        <w:rPr>
          <w:color w:val="auto"/>
        </w:rPr>
        <w:t>Conclusion</w:t>
      </w:r>
    </w:p>
    <w:p w14:paraId="0F12D240" w14:textId="35F2D059" w:rsidR="00602DDB" w:rsidRPr="0016793F" w:rsidRDefault="00B110FD" w:rsidP="00602DDB">
      <w:pPr>
        <w:pStyle w:val="Bodytext"/>
        <w:rPr>
          <w:rFonts w:cs="Times"/>
          <w:color w:val="auto"/>
          <w:lang w:val="en-GB"/>
        </w:rPr>
      </w:pPr>
      <w:r w:rsidRPr="0016793F">
        <w:rPr>
          <w:rFonts w:cs="Times"/>
          <w:color w:val="auto"/>
          <w:shd w:val="clear" w:color="auto" w:fill="FFFFFF"/>
        </w:rPr>
        <w:t xml:space="preserve">This research shows that most undergraduate students have sufficient facilities for online learning and have a positive attitude towards digital technology literacy. Another finding from the study is that the </w:t>
      </w:r>
      <w:r w:rsidRPr="0016793F">
        <w:rPr>
          <w:rFonts w:cs="Times"/>
          <w:color w:val="auto"/>
          <w:shd w:val="clear" w:color="auto" w:fill="FFFFFF"/>
        </w:rPr>
        <w:lastRenderedPageBreak/>
        <w:t xml:space="preserve">majority of </w:t>
      </w:r>
      <w:r w:rsidRPr="0016793F">
        <w:rPr>
          <w:rFonts w:cs="Times"/>
          <w:color w:val="auto"/>
          <w:spacing w:val="4"/>
        </w:rPr>
        <w:t xml:space="preserve">undergraduate </w:t>
      </w:r>
      <w:r w:rsidRPr="0016793F">
        <w:rPr>
          <w:rFonts w:cs="Times"/>
          <w:color w:val="auto"/>
          <w:shd w:val="clear" w:color="auto" w:fill="FFFFFF"/>
        </w:rPr>
        <w:t>students have difficulty accessing the fast internet. They like a combination of online media learning and offline media learning. However, they do not like full online learning (98</w:t>
      </w:r>
      <w:r w:rsidR="002C3AA6" w:rsidRPr="0016793F">
        <w:rPr>
          <w:rFonts w:cs="Times"/>
          <w:color w:val="auto"/>
          <w:shd w:val="clear" w:color="auto" w:fill="FFFFFF"/>
        </w:rPr>
        <w:t>.</w:t>
      </w:r>
      <w:r w:rsidRPr="0016793F">
        <w:rPr>
          <w:rFonts w:cs="Times"/>
          <w:color w:val="auto"/>
          <w:shd w:val="clear" w:color="auto" w:fill="FFFFFF"/>
        </w:rPr>
        <w:t>06 %), and about half of them feel convenient in finding information and scientific literature online (52</w:t>
      </w:r>
      <w:r w:rsidR="002C3AA6" w:rsidRPr="0016793F">
        <w:rPr>
          <w:rFonts w:cs="Times"/>
          <w:color w:val="auto"/>
          <w:shd w:val="clear" w:color="auto" w:fill="FFFFFF"/>
        </w:rPr>
        <w:t>.</w:t>
      </w:r>
      <w:r w:rsidRPr="0016793F">
        <w:rPr>
          <w:rFonts w:cs="Times"/>
          <w:color w:val="auto"/>
          <w:shd w:val="clear" w:color="auto" w:fill="FFFFFF"/>
        </w:rPr>
        <w:t xml:space="preserve">90%). </w:t>
      </w:r>
      <w:r w:rsidR="00344415" w:rsidRPr="0016793F">
        <w:rPr>
          <w:rFonts w:ascii="Times New Roman" w:hAnsi="Times New Roman"/>
          <w:color w:val="auto"/>
          <w:shd w:val="clear" w:color="auto" w:fill="FFFFFF"/>
        </w:rPr>
        <w:t xml:space="preserve">This research indicates that teachers should support students </w:t>
      </w:r>
      <w:r w:rsidR="00344415">
        <w:rPr>
          <w:rFonts w:ascii="Times New Roman" w:hAnsi="Times New Roman"/>
          <w:color w:val="auto"/>
          <w:shd w:val="clear" w:color="auto" w:fill="FFFFFF"/>
        </w:rPr>
        <w:t xml:space="preserve">at </w:t>
      </w:r>
      <w:r w:rsidR="00344415" w:rsidRPr="0016793F">
        <w:rPr>
          <w:rFonts w:ascii="Times New Roman" w:hAnsi="Times New Roman"/>
          <w:color w:val="auto"/>
          <w:shd w:val="clear" w:color="auto" w:fill="FFFFFF"/>
        </w:rPr>
        <w:t>online</w:t>
      </w:r>
      <w:r w:rsidR="00344415">
        <w:rPr>
          <w:rFonts w:ascii="Times New Roman" w:hAnsi="Times New Roman"/>
          <w:color w:val="auto"/>
          <w:shd w:val="clear" w:color="auto" w:fill="FFFFFF"/>
        </w:rPr>
        <w:t xml:space="preserve"> </w:t>
      </w:r>
      <w:r w:rsidR="00344415" w:rsidRPr="0016793F">
        <w:rPr>
          <w:rFonts w:ascii="Times New Roman" w:hAnsi="Times New Roman"/>
          <w:color w:val="auto"/>
          <w:shd w:val="clear" w:color="auto" w:fill="FFFFFF"/>
        </w:rPr>
        <w:t>learning</w:t>
      </w:r>
      <w:r w:rsidR="00344415">
        <w:rPr>
          <w:rFonts w:ascii="Times New Roman" w:hAnsi="Times New Roman"/>
          <w:color w:val="auto"/>
          <w:shd w:val="clear" w:color="auto" w:fill="FFFFFF"/>
        </w:rPr>
        <w:t xml:space="preserve"> by </w:t>
      </w:r>
      <w:r w:rsidR="00344415" w:rsidRPr="0016793F">
        <w:rPr>
          <w:rFonts w:ascii="Times New Roman" w:hAnsi="Times New Roman"/>
          <w:color w:val="auto"/>
          <w:shd w:val="clear" w:color="auto" w:fill="FFFFFF"/>
        </w:rPr>
        <w:t>providing proper</w:t>
      </w:r>
      <w:r w:rsidR="00344415">
        <w:rPr>
          <w:rFonts w:ascii="Times New Roman" w:hAnsi="Times New Roman"/>
          <w:color w:val="auto"/>
          <w:shd w:val="clear" w:color="auto" w:fill="FFFFFF"/>
        </w:rPr>
        <w:t xml:space="preserve"> Physics</w:t>
      </w:r>
      <w:r w:rsidR="00344415" w:rsidRPr="0016793F">
        <w:rPr>
          <w:rFonts w:ascii="Times New Roman" w:hAnsi="Times New Roman"/>
          <w:color w:val="auto"/>
          <w:shd w:val="clear" w:color="auto" w:fill="FFFFFF"/>
        </w:rPr>
        <w:t xml:space="preserve"> learning material and media. This research is expected to suggest better online learning</w:t>
      </w:r>
      <w:r w:rsidR="00344415">
        <w:rPr>
          <w:rFonts w:ascii="Times New Roman" w:hAnsi="Times New Roman"/>
          <w:color w:val="auto"/>
          <w:shd w:val="clear" w:color="auto" w:fill="FFFFFF"/>
        </w:rPr>
        <w:t xml:space="preserve"> and literacy technology in Physics context </w:t>
      </w:r>
      <w:r w:rsidR="00344415" w:rsidRPr="0016793F">
        <w:rPr>
          <w:rFonts w:ascii="Times New Roman" w:hAnsi="Times New Roman"/>
          <w:color w:val="auto"/>
          <w:shd w:val="clear" w:color="auto" w:fill="FFFFFF"/>
        </w:rPr>
        <w:t>in the new normal era.</w:t>
      </w:r>
    </w:p>
    <w:p w14:paraId="2A15615C" w14:textId="2AB24DDF" w:rsidR="009A0487" w:rsidRPr="0016793F" w:rsidRDefault="00B110FD">
      <w:pPr>
        <w:pStyle w:val="Sectionnonumber"/>
        <w:rPr>
          <w:color w:val="auto"/>
        </w:rPr>
      </w:pPr>
      <w:r w:rsidRPr="0016793F">
        <w:rPr>
          <w:color w:val="auto"/>
        </w:rPr>
        <w:t>References</w:t>
      </w:r>
    </w:p>
    <w:p w14:paraId="3F3D59EE" w14:textId="37E4980C" w:rsidR="00BA22BC" w:rsidRPr="00BA22BC" w:rsidRDefault="00B110FD" w:rsidP="00BA22BC">
      <w:pPr>
        <w:widowControl w:val="0"/>
        <w:autoSpaceDE w:val="0"/>
        <w:autoSpaceDN w:val="0"/>
        <w:adjustRightInd w:val="0"/>
        <w:ind w:left="640" w:hanging="640"/>
        <w:rPr>
          <w:rFonts w:cs="Times"/>
          <w:noProof/>
          <w:szCs w:val="24"/>
        </w:rPr>
      </w:pPr>
      <w:r w:rsidRPr="0016793F">
        <w:fldChar w:fldCharType="begin" w:fldLock="1"/>
      </w:r>
      <w:r w:rsidRPr="0016793F">
        <w:instrText xml:space="preserve">ADDIN Mendeley Bibliography CSL_BIBLIOGRAPHY </w:instrText>
      </w:r>
      <w:r w:rsidRPr="0016793F">
        <w:fldChar w:fldCharType="separate"/>
      </w:r>
      <w:r w:rsidR="00BA22BC" w:rsidRPr="00BA22BC">
        <w:rPr>
          <w:rFonts w:cs="Times"/>
          <w:noProof/>
          <w:szCs w:val="24"/>
        </w:rPr>
        <w:t>[1]</w:t>
      </w:r>
      <w:r w:rsidR="00BA22BC" w:rsidRPr="00BA22BC">
        <w:rPr>
          <w:rFonts w:cs="Times"/>
          <w:noProof/>
          <w:szCs w:val="24"/>
        </w:rPr>
        <w:tab/>
        <w:t xml:space="preserve"> Reimers F M, Schleicher A and Ansah G . 2020 </w:t>
      </w:r>
      <w:r w:rsidR="00BA22BC" w:rsidRPr="00BA22BC">
        <w:rPr>
          <w:rFonts w:cs="Times"/>
          <w:i/>
          <w:iCs/>
          <w:noProof/>
          <w:szCs w:val="24"/>
        </w:rPr>
        <w:t>Schooling Disrupted, Schooling Rethought: How the Covid-19 Pandemic is Changing Education</w:t>
      </w:r>
    </w:p>
    <w:p w14:paraId="2FAFDB19"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[2]</w:t>
      </w:r>
      <w:r w:rsidRPr="00BA22BC">
        <w:rPr>
          <w:rFonts w:cs="Times"/>
          <w:noProof/>
          <w:szCs w:val="24"/>
        </w:rPr>
        <w:tab/>
        <w:t xml:space="preserve"> Bao W 2020  COVID ‐19 and online teaching in higher education: A case study of Peking University  </w:t>
      </w:r>
      <w:r w:rsidRPr="00BA22BC">
        <w:rPr>
          <w:rFonts w:cs="Times"/>
          <w:i/>
          <w:iCs/>
          <w:noProof/>
          <w:szCs w:val="24"/>
        </w:rPr>
        <w:t>Hum. Behav. Emerg. Technol.</w:t>
      </w:r>
      <w:r w:rsidRPr="00BA22BC">
        <w:rPr>
          <w:rFonts w:cs="Times"/>
          <w:noProof/>
          <w:szCs w:val="24"/>
        </w:rPr>
        <w:t xml:space="preserve"> </w:t>
      </w:r>
      <w:r w:rsidRPr="00BA22BC">
        <w:rPr>
          <w:rFonts w:cs="Times"/>
          <w:b/>
          <w:bCs/>
          <w:noProof/>
          <w:szCs w:val="24"/>
        </w:rPr>
        <w:t>2</w:t>
      </w:r>
      <w:r w:rsidRPr="00BA22BC">
        <w:rPr>
          <w:rFonts w:cs="Times"/>
          <w:noProof/>
          <w:szCs w:val="24"/>
        </w:rPr>
        <w:t xml:space="preserve"> 113–5</w:t>
      </w:r>
    </w:p>
    <w:p w14:paraId="08752D8B"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[3]</w:t>
      </w:r>
      <w:r w:rsidRPr="00BA22BC">
        <w:rPr>
          <w:rFonts w:cs="Times"/>
          <w:noProof/>
          <w:szCs w:val="24"/>
        </w:rPr>
        <w:tab/>
        <w:t xml:space="preserve"> Crawford J, Butler-Henderson K, Rudolph J, Glowatz M, Burton R, Paola M and Lam S 2020 COVID-19: 20 Countries’ Higher Education Intra-Period Digital Pedagogy Responses Crawford, </w:t>
      </w:r>
      <w:r w:rsidRPr="00BA22BC">
        <w:rPr>
          <w:rFonts w:cs="Times"/>
          <w:i/>
          <w:iCs/>
          <w:noProof/>
          <w:szCs w:val="24"/>
        </w:rPr>
        <w:t>J. Appl. Learn. Teach.</w:t>
      </w:r>
      <w:r w:rsidRPr="00BA22BC">
        <w:rPr>
          <w:rFonts w:cs="Times"/>
          <w:noProof/>
          <w:szCs w:val="24"/>
        </w:rPr>
        <w:t xml:space="preserve"> </w:t>
      </w:r>
      <w:r w:rsidRPr="00BA22BC">
        <w:rPr>
          <w:rFonts w:cs="Times"/>
          <w:b/>
          <w:bCs/>
          <w:noProof/>
          <w:szCs w:val="24"/>
        </w:rPr>
        <w:t>3</w:t>
      </w:r>
      <w:r w:rsidRPr="00BA22BC">
        <w:rPr>
          <w:rFonts w:cs="Times"/>
          <w:noProof/>
          <w:szCs w:val="24"/>
        </w:rPr>
        <w:t xml:space="preserve"> 1–20</w:t>
      </w:r>
    </w:p>
    <w:p w14:paraId="1260F0B6"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[4]</w:t>
      </w:r>
      <w:r w:rsidRPr="00BA22BC">
        <w:rPr>
          <w:rFonts w:cs="Times"/>
          <w:noProof/>
          <w:szCs w:val="24"/>
        </w:rPr>
        <w:tab/>
        <w:t xml:space="preserve"> Kelley T R and Knowles J G 2016 A conceptual framework for integrated STEM education </w:t>
      </w:r>
      <w:r w:rsidRPr="00BA22BC">
        <w:rPr>
          <w:rFonts w:cs="Times"/>
          <w:i/>
          <w:iCs/>
          <w:noProof/>
          <w:szCs w:val="24"/>
        </w:rPr>
        <w:t>Int. J. STEM Educ.</w:t>
      </w:r>
      <w:r w:rsidRPr="00BA22BC">
        <w:rPr>
          <w:rFonts w:cs="Times"/>
          <w:noProof/>
          <w:szCs w:val="24"/>
        </w:rPr>
        <w:t xml:space="preserve"> </w:t>
      </w:r>
      <w:r w:rsidRPr="00BA22BC">
        <w:rPr>
          <w:rFonts w:cs="Times"/>
          <w:b/>
          <w:bCs/>
          <w:noProof/>
          <w:szCs w:val="24"/>
        </w:rPr>
        <w:t>3</w:t>
      </w:r>
      <w:r w:rsidRPr="00BA22BC">
        <w:rPr>
          <w:rFonts w:cs="Times"/>
          <w:noProof/>
          <w:szCs w:val="24"/>
        </w:rPr>
        <w:t xml:space="preserve"> 1–11</w:t>
      </w:r>
    </w:p>
    <w:p w14:paraId="2BFF26F9"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[5]</w:t>
      </w:r>
      <w:r w:rsidRPr="00BA22BC">
        <w:rPr>
          <w:rFonts w:cs="Times"/>
          <w:noProof/>
          <w:szCs w:val="24"/>
        </w:rPr>
        <w:tab/>
        <w:t xml:space="preserve"> Ritz J M 2011 A Focus on Technological Literacy in Higher Education </w:t>
      </w:r>
      <w:r w:rsidRPr="00BA22BC">
        <w:rPr>
          <w:rFonts w:cs="Times"/>
          <w:i/>
          <w:iCs/>
          <w:noProof/>
          <w:szCs w:val="24"/>
        </w:rPr>
        <w:t>J. Technol. Stud.</w:t>
      </w:r>
      <w:r w:rsidRPr="00BA22BC">
        <w:rPr>
          <w:rFonts w:cs="Times"/>
          <w:noProof/>
          <w:szCs w:val="24"/>
        </w:rPr>
        <w:t xml:space="preserve"> </w:t>
      </w:r>
      <w:r w:rsidRPr="00BA22BC">
        <w:rPr>
          <w:rFonts w:cs="Times"/>
          <w:b/>
          <w:bCs/>
          <w:noProof/>
          <w:szCs w:val="24"/>
        </w:rPr>
        <w:t>37</w:t>
      </w:r>
      <w:r w:rsidRPr="00BA22BC">
        <w:rPr>
          <w:rFonts w:cs="Times"/>
          <w:noProof/>
          <w:szCs w:val="24"/>
        </w:rPr>
        <w:t xml:space="preserve"> 31–40</w:t>
      </w:r>
    </w:p>
    <w:p w14:paraId="7686E26A"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[6]</w:t>
      </w:r>
      <w:r w:rsidRPr="00BA22BC">
        <w:rPr>
          <w:rFonts w:cs="Times"/>
          <w:noProof/>
          <w:szCs w:val="24"/>
        </w:rPr>
        <w:tab/>
        <w:t xml:space="preserve"> France B 2018 Modeling in Technology Education: A Route to Technological Literacy 611–21</w:t>
      </w:r>
    </w:p>
    <w:p w14:paraId="2FA8F30C"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[7]</w:t>
      </w:r>
      <w:r w:rsidRPr="00BA22BC">
        <w:rPr>
          <w:rFonts w:cs="Times"/>
          <w:noProof/>
          <w:szCs w:val="24"/>
        </w:rPr>
        <w:tab/>
        <w:t xml:space="preserve"> Skophammer R and Reed P A 2014 Technological Literacy Courses in Pre-Service Teacher Education </w:t>
      </w:r>
      <w:r w:rsidRPr="00BA22BC">
        <w:rPr>
          <w:rFonts w:cs="Times"/>
          <w:i/>
          <w:iCs/>
          <w:noProof/>
          <w:szCs w:val="24"/>
        </w:rPr>
        <w:t>J. Technol. Stud.</w:t>
      </w:r>
      <w:r w:rsidRPr="00BA22BC">
        <w:rPr>
          <w:rFonts w:cs="Times"/>
          <w:noProof/>
          <w:szCs w:val="24"/>
        </w:rPr>
        <w:t xml:space="preserve"> </w:t>
      </w:r>
      <w:r w:rsidRPr="00BA22BC">
        <w:rPr>
          <w:rFonts w:cs="Times"/>
          <w:b/>
          <w:bCs/>
          <w:noProof/>
          <w:szCs w:val="24"/>
        </w:rPr>
        <w:t>40</w:t>
      </w:r>
      <w:r w:rsidRPr="00BA22BC">
        <w:rPr>
          <w:rFonts w:cs="Times"/>
          <w:noProof/>
          <w:szCs w:val="24"/>
        </w:rPr>
        <w:t xml:space="preserve"> 68–80</w:t>
      </w:r>
    </w:p>
    <w:p w14:paraId="7F80D49E"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[8]</w:t>
      </w:r>
      <w:r w:rsidRPr="00BA22BC">
        <w:rPr>
          <w:rFonts w:cs="Times"/>
          <w:noProof/>
          <w:szCs w:val="24"/>
        </w:rPr>
        <w:tab/>
        <w:t xml:space="preserve"> C. Mitcham 1994 </w:t>
      </w:r>
      <w:r w:rsidRPr="00BA22BC">
        <w:rPr>
          <w:rFonts w:cs="Times"/>
          <w:i/>
          <w:iCs/>
          <w:noProof/>
          <w:szCs w:val="24"/>
        </w:rPr>
        <w:t>Thinking through Technology: The Path between Engineering and Philosophy</w:t>
      </w:r>
      <w:r w:rsidRPr="00BA22BC">
        <w:rPr>
          <w:rFonts w:cs="Times"/>
          <w:noProof/>
          <w:szCs w:val="24"/>
        </w:rPr>
        <w:t xml:space="preserve"> (Chicago: University of Chicago Press)</w:t>
      </w:r>
    </w:p>
    <w:p w14:paraId="0C69B99F"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[9]</w:t>
      </w:r>
      <w:r w:rsidRPr="00BA22BC">
        <w:rPr>
          <w:rFonts w:cs="Times"/>
          <w:noProof/>
          <w:szCs w:val="24"/>
        </w:rPr>
        <w:tab/>
        <w:t xml:space="preserve"> Pearson G and Young A T 2002 </w:t>
      </w:r>
      <w:r w:rsidRPr="00BA22BC">
        <w:rPr>
          <w:rFonts w:cs="Times"/>
          <w:i/>
          <w:iCs/>
          <w:noProof/>
          <w:szCs w:val="24"/>
        </w:rPr>
        <w:t>Technically Speaking: Why All Americans Need to Know More About Technology</w:t>
      </w:r>
      <w:r w:rsidRPr="00BA22BC">
        <w:rPr>
          <w:rFonts w:cs="Times"/>
          <w:noProof/>
          <w:szCs w:val="24"/>
        </w:rPr>
        <w:t xml:space="preserve"> (Washington DC: National Academies Press)</w:t>
      </w:r>
    </w:p>
    <w:p w14:paraId="4F02C4EE"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[10]</w:t>
      </w:r>
      <w:r w:rsidRPr="00BA22BC">
        <w:rPr>
          <w:rFonts w:cs="Times"/>
          <w:noProof/>
          <w:szCs w:val="24"/>
        </w:rPr>
        <w:tab/>
        <w:t xml:space="preserve"> Kapasia N, Paul P, Roy A, Saha J, Zaveri A and Mallick R 2020 Impact of lockdown on learning status of undergraduate and postgraduate students during COVID-19 pandemic in West Bengal , India </w:t>
      </w:r>
      <w:r w:rsidRPr="00BA22BC">
        <w:rPr>
          <w:rFonts w:cs="Times"/>
          <w:i/>
          <w:iCs/>
          <w:noProof/>
          <w:szCs w:val="24"/>
        </w:rPr>
        <w:t>Child. Youth Serv. Rev.</w:t>
      </w:r>
      <w:r w:rsidRPr="00BA22BC">
        <w:rPr>
          <w:rFonts w:cs="Times"/>
          <w:noProof/>
          <w:szCs w:val="24"/>
        </w:rPr>
        <w:t xml:space="preserve"> </w:t>
      </w:r>
      <w:r w:rsidRPr="00BA22BC">
        <w:rPr>
          <w:rFonts w:cs="Times"/>
          <w:b/>
          <w:bCs/>
          <w:noProof/>
          <w:szCs w:val="24"/>
        </w:rPr>
        <w:t>116</w:t>
      </w:r>
      <w:r w:rsidRPr="00BA22BC">
        <w:rPr>
          <w:rFonts w:cs="Times"/>
          <w:noProof/>
          <w:szCs w:val="24"/>
        </w:rPr>
        <w:t xml:space="preserve"> 1–5</w:t>
      </w:r>
    </w:p>
    <w:p w14:paraId="3849B2D5"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[11]</w:t>
      </w:r>
      <w:r w:rsidRPr="00BA22BC">
        <w:rPr>
          <w:rFonts w:cs="Times"/>
          <w:noProof/>
          <w:szCs w:val="24"/>
        </w:rPr>
        <w:tab/>
        <w:t xml:space="preserve"> Khalil R, Mansour A E, Fadda W A, Almisnid K, Aldamegh M, Al-nafeesah A, Alkhalifah A and Al-wutayd O 2020 The sudden transition to synchronized online learning during the COVID-19 pandemic in Saudi Arabia : a qualitative study exploring medical students ’ perspectives </w:t>
      </w:r>
      <w:r w:rsidRPr="00BA22BC">
        <w:rPr>
          <w:rFonts w:cs="Times"/>
          <w:i/>
          <w:iCs/>
          <w:noProof/>
          <w:szCs w:val="24"/>
        </w:rPr>
        <w:t>BMC Med. Educ.</w:t>
      </w:r>
      <w:r w:rsidRPr="00BA22BC">
        <w:rPr>
          <w:rFonts w:cs="Times"/>
          <w:noProof/>
          <w:szCs w:val="24"/>
        </w:rPr>
        <w:t xml:space="preserve"> </w:t>
      </w:r>
      <w:r w:rsidRPr="00BA22BC">
        <w:rPr>
          <w:rFonts w:cs="Times"/>
          <w:b/>
          <w:bCs/>
          <w:noProof/>
          <w:szCs w:val="24"/>
        </w:rPr>
        <w:t>20</w:t>
      </w:r>
      <w:r w:rsidRPr="00BA22BC">
        <w:rPr>
          <w:rFonts w:cs="Times"/>
          <w:noProof/>
          <w:szCs w:val="24"/>
        </w:rPr>
        <w:t xml:space="preserve"> 1–10</w:t>
      </w:r>
    </w:p>
    <w:p w14:paraId="7E5E5D15"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[12]</w:t>
      </w:r>
      <w:r w:rsidRPr="00BA22BC">
        <w:rPr>
          <w:rFonts w:cs="Times"/>
          <w:noProof/>
          <w:szCs w:val="24"/>
        </w:rPr>
        <w:tab/>
        <w:t xml:space="preserve"> Devore S and Singh C 2020 Interactive learning tutorial on quantum key distribution </w:t>
      </w:r>
      <w:r w:rsidRPr="00BA22BC">
        <w:rPr>
          <w:rFonts w:cs="Times"/>
          <w:i/>
          <w:iCs/>
          <w:noProof/>
          <w:szCs w:val="24"/>
        </w:rPr>
        <w:t>Phys. Rev. Phys. Educ. Res.</w:t>
      </w:r>
      <w:r w:rsidRPr="00BA22BC">
        <w:rPr>
          <w:rFonts w:cs="Times"/>
          <w:noProof/>
          <w:szCs w:val="24"/>
        </w:rPr>
        <w:t xml:space="preserve"> </w:t>
      </w:r>
      <w:r w:rsidRPr="00BA22BC">
        <w:rPr>
          <w:rFonts w:cs="Times"/>
          <w:b/>
          <w:bCs/>
          <w:noProof/>
          <w:szCs w:val="24"/>
        </w:rPr>
        <w:t>16</w:t>
      </w:r>
      <w:r w:rsidRPr="00BA22BC">
        <w:rPr>
          <w:rFonts w:cs="Times"/>
          <w:noProof/>
          <w:szCs w:val="24"/>
        </w:rPr>
        <w:t xml:space="preserve"> 10126</w:t>
      </w:r>
    </w:p>
    <w:p w14:paraId="0525E851"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[13]</w:t>
      </w:r>
      <w:r w:rsidRPr="00BA22BC">
        <w:rPr>
          <w:rFonts w:cs="Times"/>
          <w:noProof/>
          <w:szCs w:val="24"/>
        </w:rPr>
        <w:tab/>
        <w:t xml:space="preserve"> Sujarwanto E and Putra I A 2018 Investigasi keterampilan proses sains terintegrasi mahasiswa pendidikan fisika Universitas KH. A. Wahab Hasbullah </w:t>
      </w:r>
      <w:r w:rsidRPr="00BA22BC">
        <w:rPr>
          <w:rFonts w:cs="Times"/>
          <w:i/>
          <w:iCs/>
          <w:noProof/>
          <w:szCs w:val="24"/>
        </w:rPr>
        <w:t>Momentum Phys. Educ. J.</w:t>
      </w:r>
      <w:r w:rsidRPr="00BA22BC">
        <w:rPr>
          <w:rFonts w:cs="Times"/>
          <w:noProof/>
          <w:szCs w:val="24"/>
        </w:rPr>
        <w:t xml:space="preserve"> </w:t>
      </w:r>
      <w:r w:rsidRPr="00BA22BC">
        <w:rPr>
          <w:rFonts w:cs="Times"/>
          <w:b/>
          <w:bCs/>
          <w:noProof/>
          <w:szCs w:val="24"/>
        </w:rPr>
        <w:t>2</w:t>
      </w:r>
      <w:r w:rsidRPr="00BA22BC">
        <w:rPr>
          <w:rFonts w:cs="Times"/>
          <w:noProof/>
          <w:szCs w:val="24"/>
        </w:rPr>
        <w:t xml:space="preserve"> 79–85</w:t>
      </w:r>
    </w:p>
    <w:p w14:paraId="1A4E1E4E"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[14]</w:t>
      </w:r>
      <w:r w:rsidRPr="00BA22BC">
        <w:rPr>
          <w:rFonts w:cs="Times"/>
          <w:noProof/>
          <w:szCs w:val="24"/>
        </w:rPr>
        <w:tab/>
        <w:t xml:space="preserve"> Putra I A and Sujarwanto E 2017 Analisis Keterampilan Proses Sains Peserta Didik Melalui Bahan Ajar Multimedia Interaktif Alat Ukur dan Pengukuran dengan Pendekatan Behavioristik </w:t>
      </w:r>
      <w:r w:rsidRPr="00BA22BC">
        <w:rPr>
          <w:rFonts w:cs="Times"/>
          <w:i/>
          <w:iCs/>
          <w:noProof/>
          <w:szCs w:val="24"/>
        </w:rPr>
        <w:t>Momentum Phys. Educ. J.</w:t>
      </w:r>
      <w:r w:rsidRPr="00BA22BC">
        <w:rPr>
          <w:rFonts w:cs="Times"/>
          <w:noProof/>
          <w:szCs w:val="24"/>
        </w:rPr>
        <w:t xml:space="preserve"> </w:t>
      </w:r>
      <w:r w:rsidRPr="00BA22BC">
        <w:rPr>
          <w:rFonts w:cs="Times"/>
          <w:b/>
          <w:bCs/>
          <w:noProof/>
          <w:szCs w:val="24"/>
        </w:rPr>
        <w:t>1</w:t>
      </w:r>
      <w:r w:rsidRPr="00BA22BC">
        <w:rPr>
          <w:rFonts w:cs="Times"/>
          <w:noProof/>
          <w:szCs w:val="24"/>
        </w:rPr>
        <w:t xml:space="preserve"> 91–102</w:t>
      </w:r>
    </w:p>
    <w:p w14:paraId="41ED56A0"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[15]</w:t>
      </w:r>
      <w:r w:rsidRPr="00BA22BC">
        <w:rPr>
          <w:rFonts w:cs="Times"/>
          <w:noProof/>
          <w:szCs w:val="24"/>
        </w:rPr>
        <w:tab/>
        <w:t xml:space="preserve"> Wilcox B R and Pollock S J 2019 Investigating students’ behavior and performance in online conceptual assessment </w:t>
      </w:r>
      <w:r w:rsidRPr="00BA22BC">
        <w:rPr>
          <w:rFonts w:cs="Times"/>
          <w:i/>
          <w:iCs/>
          <w:noProof/>
          <w:szCs w:val="24"/>
        </w:rPr>
        <w:t>Phys. Rev. Phys. Educ. Res.</w:t>
      </w:r>
      <w:r w:rsidRPr="00BA22BC">
        <w:rPr>
          <w:rFonts w:cs="Times"/>
          <w:noProof/>
          <w:szCs w:val="24"/>
        </w:rPr>
        <w:t xml:space="preserve"> </w:t>
      </w:r>
      <w:r w:rsidRPr="00BA22BC">
        <w:rPr>
          <w:rFonts w:cs="Times"/>
          <w:b/>
          <w:bCs/>
          <w:noProof/>
          <w:szCs w:val="24"/>
        </w:rPr>
        <w:t>15</w:t>
      </w:r>
      <w:r w:rsidRPr="00BA22BC">
        <w:rPr>
          <w:rFonts w:cs="Times"/>
          <w:noProof/>
          <w:szCs w:val="24"/>
        </w:rPr>
        <w:t xml:space="preserve"> 20145</w:t>
      </w:r>
    </w:p>
    <w:p w14:paraId="49210C1F"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[16]</w:t>
      </w:r>
      <w:r w:rsidRPr="00BA22BC">
        <w:rPr>
          <w:rFonts w:cs="Times"/>
          <w:noProof/>
          <w:szCs w:val="24"/>
        </w:rPr>
        <w:tab/>
        <w:t xml:space="preserve"> Nurjannah A, Gani A, Evendi E, Syukri M and Elisa E 2020 Question webs-based learning: Science process skills and scientific questioning skills of students on harmonic motion topic </w:t>
      </w:r>
      <w:r w:rsidRPr="00BA22BC">
        <w:rPr>
          <w:rFonts w:cs="Times"/>
          <w:i/>
          <w:iCs/>
          <w:noProof/>
          <w:szCs w:val="24"/>
        </w:rPr>
        <w:t>Momentum Phys. Educ. J.</w:t>
      </w:r>
      <w:r w:rsidRPr="00BA22BC">
        <w:rPr>
          <w:rFonts w:cs="Times"/>
          <w:noProof/>
          <w:szCs w:val="24"/>
        </w:rPr>
        <w:t xml:space="preserve"> </w:t>
      </w:r>
      <w:r w:rsidRPr="00BA22BC">
        <w:rPr>
          <w:rFonts w:cs="Times"/>
          <w:b/>
          <w:bCs/>
          <w:noProof/>
          <w:szCs w:val="24"/>
        </w:rPr>
        <w:t>4</w:t>
      </w:r>
      <w:r w:rsidRPr="00BA22BC">
        <w:rPr>
          <w:rFonts w:cs="Times"/>
          <w:noProof/>
          <w:szCs w:val="24"/>
        </w:rPr>
        <w:t xml:space="preserve"> 38–48</w:t>
      </w:r>
    </w:p>
    <w:p w14:paraId="13DACC7E" w14:textId="77777777" w:rsidR="00BA22BC" w:rsidRPr="00BA22BC" w:rsidRDefault="00BA22BC" w:rsidP="00BA22BC">
      <w:pPr>
        <w:widowControl w:val="0"/>
        <w:autoSpaceDE w:val="0"/>
        <w:autoSpaceDN w:val="0"/>
        <w:adjustRightInd w:val="0"/>
        <w:ind w:left="640" w:hanging="640"/>
        <w:rPr>
          <w:rFonts w:cs="Times"/>
          <w:noProof/>
          <w:szCs w:val="24"/>
        </w:rPr>
      </w:pPr>
      <w:r w:rsidRPr="00BA22BC">
        <w:rPr>
          <w:rFonts w:cs="Times"/>
          <w:noProof/>
          <w:szCs w:val="24"/>
        </w:rPr>
        <w:t>[17]</w:t>
      </w:r>
      <w:r w:rsidRPr="00BA22BC">
        <w:rPr>
          <w:rFonts w:cs="Times"/>
          <w:noProof/>
          <w:szCs w:val="24"/>
        </w:rPr>
        <w:tab/>
        <w:t xml:space="preserve"> Sintema E J 2020 Effect of COVID-19 on the performance of grade 12 students: Implications for STEM education </w:t>
      </w:r>
      <w:r w:rsidRPr="00BA22BC">
        <w:rPr>
          <w:rFonts w:cs="Times"/>
          <w:i/>
          <w:iCs/>
          <w:noProof/>
          <w:szCs w:val="24"/>
        </w:rPr>
        <w:t>Eurasia J. Math. Sci. Technol. Educ.</w:t>
      </w:r>
      <w:r w:rsidRPr="00BA22BC">
        <w:rPr>
          <w:rFonts w:cs="Times"/>
          <w:noProof/>
          <w:szCs w:val="24"/>
        </w:rPr>
        <w:t xml:space="preserve"> </w:t>
      </w:r>
      <w:r w:rsidRPr="00BA22BC">
        <w:rPr>
          <w:rFonts w:cs="Times"/>
          <w:b/>
          <w:bCs/>
          <w:noProof/>
          <w:szCs w:val="24"/>
        </w:rPr>
        <w:t>16</w:t>
      </w:r>
      <w:r w:rsidRPr="00BA22BC">
        <w:rPr>
          <w:rFonts w:cs="Times"/>
          <w:noProof/>
          <w:szCs w:val="24"/>
        </w:rPr>
        <w:t xml:space="preserve"> 1–6</w:t>
      </w:r>
    </w:p>
    <w:p w14:paraId="4BE3BF56" w14:textId="77777777" w:rsidR="00BA22BC" w:rsidRPr="00BA22BC" w:rsidRDefault="00BA22BC" w:rsidP="00BA22BC">
      <w:pPr>
        <w:widowControl w:val="0"/>
        <w:autoSpaceDE w:val="0"/>
        <w:autoSpaceDN w:val="0"/>
        <w:adjustRightInd w:val="0"/>
        <w:ind w:left="640" w:hanging="640"/>
        <w:rPr>
          <w:rFonts w:cs="Times"/>
          <w:noProof/>
        </w:rPr>
      </w:pPr>
      <w:r w:rsidRPr="00BA22BC">
        <w:rPr>
          <w:rFonts w:cs="Times"/>
          <w:noProof/>
          <w:szCs w:val="24"/>
        </w:rPr>
        <w:t>[18]</w:t>
      </w:r>
      <w:r w:rsidRPr="00BA22BC">
        <w:rPr>
          <w:rFonts w:cs="Times"/>
          <w:noProof/>
          <w:szCs w:val="24"/>
        </w:rPr>
        <w:tab/>
        <w:t xml:space="preserve"> Calimag J A N N V, Miguel P A G, Conde R S and Aquino L B 2014 Ubiquitos learning environment using android mobile application </w:t>
      </w:r>
      <w:r w:rsidRPr="00BA22BC">
        <w:rPr>
          <w:rFonts w:cs="Times"/>
          <w:i/>
          <w:iCs/>
          <w:noProof/>
          <w:szCs w:val="24"/>
        </w:rPr>
        <w:t>IMPACT Int. J. Res. Eng. Technol.</w:t>
      </w:r>
      <w:r w:rsidRPr="00BA22BC">
        <w:rPr>
          <w:rFonts w:cs="Times"/>
          <w:noProof/>
          <w:szCs w:val="24"/>
        </w:rPr>
        <w:t xml:space="preserve"> </w:t>
      </w:r>
      <w:r w:rsidRPr="00BA22BC">
        <w:rPr>
          <w:rFonts w:cs="Times"/>
          <w:b/>
          <w:bCs/>
          <w:noProof/>
          <w:szCs w:val="24"/>
        </w:rPr>
        <w:t>2</w:t>
      </w:r>
      <w:r w:rsidRPr="00BA22BC">
        <w:rPr>
          <w:rFonts w:cs="Times"/>
          <w:noProof/>
          <w:szCs w:val="24"/>
        </w:rPr>
        <w:t xml:space="preserve"> 119–28</w:t>
      </w:r>
    </w:p>
    <w:p w14:paraId="21151930" w14:textId="53F4B6B8" w:rsidR="006F45A4" w:rsidRPr="0016793F" w:rsidRDefault="00B110FD" w:rsidP="00080954">
      <w:pPr>
        <w:pStyle w:val="Bodytext"/>
        <w:rPr>
          <w:color w:val="auto"/>
        </w:rPr>
      </w:pPr>
      <w:r w:rsidRPr="0016793F">
        <w:rPr>
          <w:color w:val="auto"/>
        </w:rPr>
        <w:fldChar w:fldCharType="end"/>
      </w:r>
    </w:p>
    <w:sectPr w:rsidR="006F45A4" w:rsidRPr="0016793F">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B7CD5" w14:textId="77777777" w:rsidR="007178DA" w:rsidRDefault="007178DA">
      <w:r>
        <w:separator/>
      </w:r>
    </w:p>
  </w:endnote>
  <w:endnote w:type="continuationSeparator" w:id="0">
    <w:p w14:paraId="27EA2A26" w14:textId="77777777" w:rsidR="007178DA" w:rsidRDefault="0071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ktrgjAdvTTb5929f4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5B921" w14:textId="77777777" w:rsidR="007178DA" w:rsidRDefault="007178DA">
      <w:r>
        <w:separator/>
      </w:r>
    </w:p>
  </w:footnote>
  <w:footnote w:type="continuationSeparator" w:id="0">
    <w:p w14:paraId="0D64015E" w14:textId="77777777" w:rsidR="007178DA" w:rsidRDefault="0071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C375" w14:textId="77777777" w:rsidR="009A0487" w:rsidRDefault="009A0487"/>
  <w:p w14:paraId="2AE757EA" w14:textId="77777777" w:rsidR="009A0487" w:rsidRDefault="009A0487"/>
  <w:p w14:paraId="082481F4" w14:textId="77777777" w:rsidR="009A0487" w:rsidRDefault="009A0487"/>
  <w:p w14:paraId="7B9A2E3A" w14:textId="77777777" w:rsidR="009A0487" w:rsidRDefault="009A0487"/>
  <w:p w14:paraId="64EC56F0" w14:textId="77777777" w:rsidR="009A0487" w:rsidRDefault="009A0487"/>
  <w:p w14:paraId="59D0165E"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F0627F6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iCs w:val="0"/>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B7967948">
      <w:start w:val="1"/>
      <w:numFmt w:val="bullet"/>
      <w:pStyle w:val="Bulleted"/>
      <w:lvlText w:val=""/>
      <w:lvlJc w:val="left"/>
      <w:pPr>
        <w:tabs>
          <w:tab w:val="num" w:pos="720"/>
        </w:tabs>
        <w:ind w:left="720" w:hanging="360"/>
      </w:pPr>
      <w:rPr>
        <w:rFonts w:ascii="Symbol" w:hAnsi="Symbol" w:hint="default"/>
        <w:color w:val="auto"/>
      </w:rPr>
    </w:lvl>
    <w:lvl w:ilvl="1" w:tplc="282226B0">
      <w:start w:val="1"/>
      <w:numFmt w:val="bullet"/>
      <w:lvlText w:val="o"/>
      <w:lvlJc w:val="left"/>
      <w:pPr>
        <w:tabs>
          <w:tab w:val="num" w:pos="1440"/>
        </w:tabs>
        <w:ind w:left="1440" w:hanging="360"/>
      </w:pPr>
      <w:rPr>
        <w:rFonts w:ascii="Courier New" w:hAnsi="Courier New" w:cs="Courier New" w:hint="default"/>
      </w:rPr>
    </w:lvl>
    <w:lvl w:ilvl="2" w:tplc="BA7242F2" w:tentative="1">
      <w:start w:val="1"/>
      <w:numFmt w:val="bullet"/>
      <w:lvlText w:val=""/>
      <w:lvlJc w:val="left"/>
      <w:pPr>
        <w:tabs>
          <w:tab w:val="num" w:pos="2160"/>
        </w:tabs>
        <w:ind w:left="2160" w:hanging="360"/>
      </w:pPr>
      <w:rPr>
        <w:rFonts w:ascii="Wingdings" w:hAnsi="Wingdings" w:hint="default"/>
      </w:rPr>
    </w:lvl>
    <w:lvl w:ilvl="3" w:tplc="9FF64206" w:tentative="1">
      <w:start w:val="1"/>
      <w:numFmt w:val="bullet"/>
      <w:lvlText w:val=""/>
      <w:lvlJc w:val="left"/>
      <w:pPr>
        <w:tabs>
          <w:tab w:val="num" w:pos="2880"/>
        </w:tabs>
        <w:ind w:left="2880" w:hanging="360"/>
      </w:pPr>
      <w:rPr>
        <w:rFonts w:ascii="Symbol" w:hAnsi="Symbol" w:hint="default"/>
      </w:rPr>
    </w:lvl>
    <w:lvl w:ilvl="4" w:tplc="60AAF296" w:tentative="1">
      <w:start w:val="1"/>
      <w:numFmt w:val="bullet"/>
      <w:lvlText w:val="o"/>
      <w:lvlJc w:val="left"/>
      <w:pPr>
        <w:tabs>
          <w:tab w:val="num" w:pos="3600"/>
        </w:tabs>
        <w:ind w:left="3600" w:hanging="360"/>
      </w:pPr>
      <w:rPr>
        <w:rFonts w:ascii="Courier New" w:hAnsi="Courier New" w:cs="Courier New" w:hint="default"/>
      </w:rPr>
    </w:lvl>
    <w:lvl w:ilvl="5" w:tplc="091A8E80" w:tentative="1">
      <w:start w:val="1"/>
      <w:numFmt w:val="bullet"/>
      <w:lvlText w:val=""/>
      <w:lvlJc w:val="left"/>
      <w:pPr>
        <w:tabs>
          <w:tab w:val="num" w:pos="4320"/>
        </w:tabs>
        <w:ind w:left="4320" w:hanging="360"/>
      </w:pPr>
      <w:rPr>
        <w:rFonts w:ascii="Wingdings" w:hAnsi="Wingdings" w:hint="default"/>
      </w:rPr>
    </w:lvl>
    <w:lvl w:ilvl="6" w:tplc="6422C3C6" w:tentative="1">
      <w:start w:val="1"/>
      <w:numFmt w:val="bullet"/>
      <w:lvlText w:val=""/>
      <w:lvlJc w:val="left"/>
      <w:pPr>
        <w:tabs>
          <w:tab w:val="num" w:pos="5040"/>
        </w:tabs>
        <w:ind w:left="5040" w:hanging="360"/>
      </w:pPr>
      <w:rPr>
        <w:rFonts w:ascii="Symbol" w:hAnsi="Symbol" w:hint="default"/>
      </w:rPr>
    </w:lvl>
    <w:lvl w:ilvl="7" w:tplc="186E84AA" w:tentative="1">
      <w:start w:val="1"/>
      <w:numFmt w:val="bullet"/>
      <w:lvlText w:val="o"/>
      <w:lvlJc w:val="left"/>
      <w:pPr>
        <w:tabs>
          <w:tab w:val="num" w:pos="5760"/>
        </w:tabs>
        <w:ind w:left="5760" w:hanging="360"/>
      </w:pPr>
      <w:rPr>
        <w:rFonts w:ascii="Courier New" w:hAnsi="Courier New" w:cs="Courier New" w:hint="default"/>
      </w:rPr>
    </w:lvl>
    <w:lvl w:ilvl="8" w:tplc="DE3409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01047D"/>
    <w:multiLevelType w:val="hybridMultilevel"/>
    <w:tmpl w:val="AFE44FCC"/>
    <w:lvl w:ilvl="0" w:tplc="5B148B26">
      <w:start w:val="1"/>
      <w:numFmt w:val="decimal"/>
      <w:lvlText w:val="%1."/>
      <w:lvlJc w:val="left"/>
      <w:pPr>
        <w:ind w:left="720" w:hanging="360"/>
      </w:pPr>
      <w:rPr>
        <w:rFonts w:hint="default"/>
      </w:rPr>
    </w:lvl>
    <w:lvl w:ilvl="1" w:tplc="C6706552" w:tentative="1">
      <w:start w:val="1"/>
      <w:numFmt w:val="lowerLetter"/>
      <w:lvlText w:val="%2."/>
      <w:lvlJc w:val="left"/>
      <w:pPr>
        <w:ind w:left="1440" w:hanging="360"/>
      </w:pPr>
    </w:lvl>
    <w:lvl w:ilvl="2" w:tplc="8B76C748" w:tentative="1">
      <w:start w:val="1"/>
      <w:numFmt w:val="lowerRoman"/>
      <w:lvlText w:val="%3."/>
      <w:lvlJc w:val="right"/>
      <w:pPr>
        <w:ind w:left="2160" w:hanging="180"/>
      </w:pPr>
    </w:lvl>
    <w:lvl w:ilvl="3" w:tplc="B7CEFEAC" w:tentative="1">
      <w:start w:val="1"/>
      <w:numFmt w:val="decimal"/>
      <w:lvlText w:val="%4."/>
      <w:lvlJc w:val="left"/>
      <w:pPr>
        <w:ind w:left="2880" w:hanging="360"/>
      </w:pPr>
    </w:lvl>
    <w:lvl w:ilvl="4" w:tplc="AD701732" w:tentative="1">
      <w:start w:val="1"/>
      <w:numFmt w:val="lowerLetter"/>
      <w:lvlText w:val="%5."/>
      <w:lvlJc w:val="left"/>
      <w:pPr>
        <w:ind w:left="3600" w:hanging="360"/>
      </w:pPr>
    </w:lvl>
    <w:lvl w:ilvl="5" w:tplc="48B6D582" w:tentative="1">
      <w:start w:val="1"/>
      <w:numFmt w:val="lowerRoman"/>
      <w:lvlText w:val="%6."/>
      <w:lvlJc w:val="right"/>
      <w:pPr>
        <w:ind w:left="4320" w:hanging="180"/>
      </w:pPr>
    </w:lvl>
    <w:lvl w:ilvl="6" w:tplc="7C9CFC56" w:tentative="1">
      <w:start w:val="1"/>
      <w:numFmt w:val="decimal"/>
      <w:lvlText w:val="%7."/>
      <w:lvlJc w:val="left"/>
      <w:pPr>
        <w:ind w:left="5040" w:hanging="360"/>
      </w:pPr>
    </w:lvl>
    <w:lvl w:ilvl="7" w:tplc="F492096A" w:tentative="1">
      <w:start w:val="1"/>
      <w:numFmt w:val="lowerLetter"/>
      <w:lvlText w:val="%8."/>
      <w:lvlJc w:val="left"/>
      <w:pPr>
        <w:ind w:left="5760" w:hanging="360"/>
      </w:pPr>
    </w:lvl>
    <w:lvl w:ilvl="8" w:tplc="69D0DA64" w:tentative="1">
      <w:start w:val="1"/>
      <w:numFmt w:val="lowerRoman"/>
      <w:lvlText w:val="%9."/>
      <w:lvlJc w:val="right"/>
      <w:pPr>
        <w:ind w:left="6480" w:hanging="180"/>
      </w:pPr>
    </w:lvl>
  </w:abstractNum>
  <w:abstractNum w:abstractNumId="3" w15:restartNumberingAfterBreak="0">
    <w:nsid w:val="5D9556E6"/>
    <w:multiLevelType w:val="hybridMultilevel"/>
    <w:tmpl w:val="8C54D8DC"/>
    <w:lvl w:ilvl="0" w:tplc="E08E53D6">
      <w:start w:val="1"/>
      <w:numFmt w:val="decimal"/>
      <w:pStyle w:val="Reference"/>
      <w:lvlText w:val="[%1]"/>
      <w:lvlJc w:val="left"/>
      <w:pPr>
        <w:tabs>
          <w:tab w:val="num" w:pos="0"/>
        </w:tabs>
        <w:ind w:left="0" w:firstLine="0"/>
      </w:pPr>
      <w:rPr>
        <w:rFonts w:hint="default"/>
      </w:rPr>
    </w:lvl>
    <w:lvl w:ilvl="1" w:tplc="88908388" w:tentative="1">
      <w:start w:val="1"/>
      <w:numFmt w:val="lowerLetter"/>
      <w:lvlText w:val="%2."/>
      <w:lvlJc w:val="left"/>
      <w:pPr>
        <w:tabs>
          <w:tab w:val="num" w:pos="1440"/>
        </w:tabs>
        <w:ind w:left="1440" w:hanging="360"/>
      </w:pPr>
    </w:lvl>
    <w:lvl w:ilvl="2" w:tplc="59940650" w:tentative="1">
      <w:start w:val="1"/>
      <w:numFmt w:val="lowerRoman"/>
      <w:lvlText w:val="%3."/>
      <w:lvlJc w:val="right"/>
      <w:pPr>
        <w:tabs>
          <w:tab w:val="num" w:pos="2160"/>
        </w:tabs>
        <w:ind w:left="2160" w:hanging="180"/>
      </w:pPr>
    </w:lvl>
    <w:lvl w:ilvl="3" w:tplc="AAB0BB2C" w:tentative="1">
      <w:start w:val="1"/>
      <w:numFmt w:val="decimal"/>
      <w:lvlText w:val="%4."/>
      <w:lvlJc w:val="left"/>
      <w:pPr>
        <w:tabs>
          <w:tab w:val="num" w:pos="2880"/>
        </w:tabs>
        <w:ind w:left="2880" w:hanging="360"/>
      </w:pPr>
    </w:lvl>
    <w:lvl w:ilvl="4" w:tplc="201E63FC" w:tentative="1">
      <w:start w:val="1"/>
      <w:numFmt w:val="lowerLetter"/>
      <w:lvlText w:val="%5."/>
      <w:lvlJc w:val="left"/>
      <w:pPr>
        <w:tabs>
          <w:tab w:val="num" w:pos="3600"/>
        </w:tabs>
        <w:ind w:left="3600" w:hanging="360"/>
      </w:pPr>
    </w:lvl>
    <w:lvl w:ilvl="5" w:tplc="4B7C4C28" w:tentative="1">
      <w:start w:val="1"/>
      <w:numFmt w:val="lowerRoman"/>
      <w:lvlText w:val="%6."/>
      <w:lvlJc w:val="right"/>
      <w:pPr>
        <w:tabs>
          <w:tab w:val="num" w:pos="4320"/>
        </w:tabs>
        <w:ind w:left="4320" w:hanging="180"/>
      </w:pPr>
    </w:lvl>
    <w:lvl w:ilvl="6" w:tplc="EBE43800" w:tentative="1">
      <w:start w:val="1"/>
      <w:numFmt w:val="decimal"/>
      <w:lvlText w:val="%7."/>
      <w:lvlJc w:val="left"/>
      <w:pPr>
        <w:tabs>
          <w:tab w:val="num" w:pos="5040"/>
        </w:tabs>
        <w:ind w:left="5040" w:hanging="360"/>
      </w:pPr>
    </w:lvl>
    <w:lvl w:ilvl="7" w:tplc="DDD00A66" w:tentative="1">
      <w:start w:val="1"/>
      <w:numFmt w:val="lowerLetter"/>
      <w:lvlText w:val="%8."/>
      <w:lvlJc w:val="left"/>
      <w:pPr>
        <w:tabs>
          <w:tab w:val="num" w:pos="5760"/>
        </w:tabs>
        <w:ind w:left="5760" w:hanging="360"/>
      </w:pPr>
    </w:lvl>
    <w:lvl w:ilvl="8" w:tplc="64965AD8"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0"/>
  </w:num>
  <w:num w:numId="6">
    <w:abstractNumId w:val="0"/>
  </w:num>
  <w:num w:numId="7">
    <w:abstractNumId w:val="0"/>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12C39"/>
    <w:rsid w:val="00021B1E"/>
    <w:rsid w:val="00031645"/>
    <w:rsid w:val="00034D2E"/>
    <w:rsid w:val="0004662C"/>
    <w:rsid w:val="00076262"/>
    <w:rsid w:val="00080954"/>
    <w:rsid w:val="000854DC"/>
    <w:rsid w:val="000A2EBA"/>
    <w:rsid w:val="000A7688"/>
    <w:rsid w:val="000D2D42"/>
    <w:rsid w:val="000E1E08"/>
    <w:rsid w:val="000E71A5"/>
    <w:rsid w:val="000F2188"/>
    <w:rsid w:val="000F23A3"/>
    <w:rsid w:val="00127A03"/>
    <w:rsid w:val="00133C36"/>
    <w:rsid w:val="001372F3"/>
    <w:rsid w:val="00144FCE"/>
    <w:rsid w:val="0016793F"/>
    <w:rsid w:val="00174C7D"/>
    <w:rsid w:val="001A692F"/>
    <w:rsid w:val="001B066A"/>
    <w:rsid w:val="001C1038"/>
    <w:rsid w:val="001D1B2E"/>
    <w:rsid w:val="001F7E41"/>
    <w:rsid w:val="00217A99"/>
    <w:rsid w:val="00241A69"/>
    <w:rsid w:val="002531F6"/>
    <w:rsid w:val="0026586B"/>
    <w:rsid w:val="00267095"/>
    <w:rsid w:val="002B5CDD"/>
    <w:rsid w:val="002C3AA6"/>
    <w:rsid w:val="002D32BF"/>
    <w:rsid w:val="002D74E6"/>
    <w:rsid w:val="002E378B"/>
    <w:rsid w:val="002F5C2B"/>
    <w:rsid w:val="002F76F6"/>
    <w:rsid w:val="003130D6"/>
    <w:rsid w:val="00344415"/>
    <w:rsid w:val="003531A1"/>
    <w:rsid w:val="00375833"/>
    <w:rsid w:val="0039244B"/>
    <w:rsid w:val="003A03E8"/>
    <w:rsid w:val="003B5D74"/>
    <w:rsid w:val="003D00E3"/>
    <w:rsid w:val="003E0DCA"/>
    <w:rsid w:val="003E4C66"/>
    <w:rsid w:val="0041098D"/>
    <w:rsid w:val="00410F98"/>
    <w:rsid w:val="0041171F"/>
    <w:rsid w:val="00415CF5"/>
    <w:rsid w:val="0043026B"/>
    <w:rsid w:val="00444760"/>
    <w:rsid w:val="00444934"/>
    <w:rsid w:val="00467F2B"/>
    <w:rsid w:val="00475D21"/>
    <w:rsid w:val="00495C12"/>
    <w:rsid w:val="004A55A4"/>
    <w:rsid w:val="004C0DB7"/>
    <w:rsid w:val="004D2E7F"/>
    <w:rsid w:val="004D3D99"/>
    <w:rsid w:val="004F290B"/>
    <w:rsid w:val="0051184F"/>
    <w:rsid w:val="005158FA"/>
    <w:rsid w:val="00525FA0"/>
    <w:rsid w:val="005323B9"/>
    <w:rsid w:val="00540311"/>
    <w:rsid w:val="0054361E"/>
    <w:rsid w:val="00547533"/>
    <w:rsid w:val="00560D11"/>
    <w:rsid w:val="00563D6D"/>
    <w:rsid w:val="00585500"/>
    <w:rsid w:val="00586A48"/>
    <w:rsid w:val="005A524E"/>
    <w:rsid w:val="005A6D10"/>
    <w:rsid w:val="005B59B5"/>
    <w:rsid w:val="005B7F0B"/>
    <w:rsid w:val="005E65A8"/>
    <w:rsid w:val="005F337E"/>
    <w:rsid w:val="00602DDB"/>
    <w:rsid w:val="00626CDA"/>
    <w:rsid w:val="00642E46"/>
    <w:rsid w:val="006456FA"/>
    <w:rsid w:val="00650B80"/>
    <w:rsid w:val="00664192"/>
    <w:rsid w:val="0067020B"/>
    <w:rsid w:val="006A3E18"/>
    <w:rsid w:val="006B0135"/>
    <w:rsid w:val="006D75B3"/>
    <w:rsid w:val="006F45A4"/>
    <w:rsid w:val="00712203"/>
    <w:rsid w:val="007178DA"/>
    <w:rsid w:val="007246E2"/>
    <w:rsid w:val="00733CB3"/>
    <w:rsid w:val="0073537C"/>
    <w:rsid w:val="00750BB1"/>
    <w:rsid w:val="007604AC"/>
    <w:rsid w:val="0078062A"/>
    <w:rsid w:val="00786BDE"/>
    <w:rsid w:val="00790984"/>
    <w:rsid w:val="007B59E4"/>
    <w:rsid w:val="007C7488"/>
    <w:rsid w:val="007E3492"/>
    <w:rsid w:val="007E4D0A"/>
    <w:rsid w:val="007E4F54"/>
    <w:rsid w:val="008353A8"/>
    <w:rsid w:val="00840FA8"/>
    <w:rsid w:val="00866C38"/>
    <w:rsid w:val="00872467"/>
    <w:rsid w:val="008B6969"/>
    <w:rsid w:val="00911EFA"/>
    <w:rsid w:val="00913648"/>
    <w:rsid w:val="00914E17"/>
    <w:rsid w:val="00915043"/>
    <w:rsid w:val="00917641"/>
    <w:rsid w:val="00923765"/>
    <w:rsid w:val="009247E0"/>
    <w:rsid w:val="0094557D"/>
    <w:rsid w:val="009A0487"/>
    <w:rsid w:val="009C0774"/>
    <w:rsid w:val="009D3FA9"/>
    <w:rsid w:val="009E07CC"/>
    <w:rsid w:val="00A01A91"/>
    <w:rsid w:val="00A01F09"/>
    <w:rsid w:val="00A0300A"/>
    <w:rsid w:val="00A04E80"/>
    <w:rsid w:val="00A16072"/>
    <w:rsid w:val="00A73A73"/>
    <w:rsid w:val="00A85E5C"/>
    <w:rsid w:val="00A91AEE"/>
    <w:rsid w:val="00AC18D2"/>
    <w:rsid w:val="00AD6A66"/>
    <w:rsid w:val="00B05982"/>
    <w:rsid w:val="00B110FD"/>
    <w:rsid w:val="00B124DC"/>
    <w:rsid w:val="00B4481B"/>
    <w:rsid w:val="00B62129"/>
    <w:rsid w:val="00B77420"/>
    <w:rsid w:val="00B82A05"/>
    <w:rsid w:val="00B83BD3"/>
    <w:rsid w:val="00B83F45"/>
    <w:rsid w:val="00B919AB"/>
    <w:rsid w:val="00B92D4E"/>
    <w:rsid w:val="00BA051F"/>
    <w:rsid w:val="00BA22BC"/>
    <w:rsid w:val="00BE50E8"/>
    <w:rsid w:val="00C06223"/>
    <w:rsid w:val="00C157CC"/>
    <w:rsid w:val="00C37F00"/>
    <w:rsid w:val="00C600AD"/>
    <w:rsid w:val="00C61001"/>
    <w:rsid w:val="00C80629"/>
    <w:rsid w:val="00C91D55"/>
    <w:rsid w:val="00C94D57"/>
    <w:rsid w:val="00CC6308"/>
    <w:rsid w:val="00CD4CAF"/>
    <w:rsid w:val="00D0192E"/>
    <w:rsid w:val="00D06A0E"/>
    <w:rsid w:val="00D0709A"/>
    <w:rsid w:val="00D27A88"/>
    <w:rsid w:val="00D47A45"/>
    <w:rsid w:val="00D52EE1"/>
    <w:rsid w:val="00D550DF"/>
    <w:rsid w:val="00D57E73"/>
    <w:rsid w:val="00D74E79"/>
    <w:rsid w:val="00D82B03"/>
    <w:rsid w:val="00DB281B"/>
    <w:rsid w:val="00DC16F4"/>
    <w:rsid w:val="00DD07BA"/>
    <w:rsid w:val="00E01DD6"/>
    <w:rsid w:val="00E4361A"/>
    <w:rsid w:val="00E56B16"/>
    <w:rsid w:val="00E62B2E"/>
    <w:rsid w:val="00E703E1"/>
    <w:rsid w:val="00E859A8"/>
    <w:rsid w:val="00E920F2"/>
    <w:rsid w:val="00EA26DB"/>
    <w:rsid w:val="00EC5750"/>
    <w:rsid w:val="00ED5479"/>
    <w:rsid w:val="00EF2130"/>
    <w:rsid w:val="00EF6BE4"/>
    <w:rsid w:val="00F04FA9"/>
    <w:rsid w:val="00F10EFE"/>
    <w:rsid w:val="00F2232B"/>
    <w:rsid w:val="00F30F35"/>
    <w:rsid w:val="00F53553"/>
    <w:rsid w:val="00F65382"/>
    <w:rsid w:val="00F66D2E"/>
    <w:rsid w:val="00F824B8"/>
    <w:rsid w:val="00F8720F"/>
    <w:rsid w:val="00FF250E"/>
    <w:rsid w:val="00FF4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AD58B"/>
  <w15:docId w15:val="{46A68A97-BFB3-44AF-8A2C-161F1D62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FootnoteCharacters">
    <w:name w:val="Footnote Characters"/>
    <w:rsid w:val="007E4F54"/>
    <w:rPr>
      <w:vertAlign w:val="superscript"/>
      <w:lang w:val="es-ES_tradnl"/>
    </w:rPr>
  </w:style>
  <w:style w:type="character" w:customStyle="1" w:styleId="fontstyle01">
    <w:name w:val="fontstyle01"/>
    <w:basedOn w:val="DefaultParagraphFont"/>
    <w:rsid w:val="007E4F54"/>
    <w:rPr>
      <w:rFonts w:ascii="LktrgjAdvTTb5929f4c" w:hAnsi="LktrgjAdvTTb5929f4c" w:hint="default"/>
      <w:b w:val="0"/>
      <w:bCs w:val="0"/>
      <w:i w:val="0"/>
      <w:iCs w:val="0"/>
      <w:color w:val="242021"/>
      <w:sz w:val="16"/>
      <w:szCs w:val="16"/>
    </w:rPr>
  </w:style>
  <w:style w:type="paragraph" w:customStyle="1" w:styleId="Default">
    <w:name w:val="Default"/>
    <w:rsid w:val="00BE50E8"/>
    <w:pPr>
      <w:autoSpaceDE w:val="0"/>
      <w:autoSpaceDN w:val="0"/>
      <w:adjustRightInd w:val="0"/>
    </w:pPr>
    <w:rPr>
      <w:rFonts w:ascii="Verdana" w:eastAsiaTheme="minorHAnsi" w:hAnsi="Verdana" w:cs="Verdana"/>
      <w:color w:val="000000"/>
      <w:sz w:val="24"/>
      <w:szCs w:val="24"/>
      <w:lang w:val="en-US" w:eastAsia="en-US"/>
    </w:rPr>
  </w:style>
  <w:style w:type="table" w:styleId="TableGrid">
    <w:name w:val="Table Grid"/>
    <w:basedOn w:val="TableNormal"/>
    <w:uiPriority w:val="39"/>
    <w:rsid w:val="00ED5479"/>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479"/>
    <w:pPr>
      <w:spacing w:after="160" w:line="259" w:lineRule="auto"/>
      <w:ind w:left="720"/>
      <w:contextualSpacing/>
    </w:pPr>
    <w:rPr>
      <w:rFonts w:asciiTheme="minorHAnsi" w:eastAsiaTheme="minorHAnsi" w:hAnsiTheme="minorHAnsi" w:cstheme="minorBidi"/>
      <w:szCs w:val="22"/>
      <w:lang w:val="id-ID"/>
    </w:rPr>
  </w:style>
  <w:style w:type="paragraph" w:styleId="BalloonText">
    <w:name w:val="Balloon Text"/>
    <w:basedOn w:val="Normal"/>
    <w:link w:val="BalloonTextChar"/>
    <w:uiPriority w:val="99"/>
    <w:semiHidden/>
    <w:unhideWhenUsed/>
    <w:rsid w:val="005A6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D1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8725">
      <w:bodyDiv w:val="1"/>
      <w:marLeft w:val="0"/>
      <w:marRight w:val="0"/>
      <w:marTop w:val="0"/>
      <w:marBottom w:val="0"/>
      <w:divBdr>
        <w:top w:val="none" w:sz="0" w:space="0" w:color="auto"/>
        <w:left w:val="none" w:sz="0" w:space="0" w:color="auto"/>
        <w:bottom w:val="none" w:sz="0" w:space="0" w:color="auto"/>
        <w:right w:val="none" w:sz="0" w:space="0" w:color="auto"/>
      </w:divBdr>
      <w:divsChild>
        <w:div w:id="1748306404">
          <w:marLeft w:val="547"/>
          <w:marRight w:val="0"/>
          <w:marTop w:val="0"/>
          <w:marBottom w:val="0"/>
          <w:divBdr>
            <w:top w:val="none" w:sz="0" w:space="0" w:color="auto"/>
            <w:left w:val="none" w:sz="0" w:space="0" w:color="auto"/>
            <w:bottom w:val="none" w:sz="0" w:space="0" w:color="auto"/>
            <w:right w:val="none" w:sz="0" w:space="0" w:color="auto"/>
          </w:divBdr>
        </w:div>
      </w:divsChild>
    </w:div>
    <w:div w:id="1079213846">
      <w:bodyDiv w:val="1"/>
      <w:marLeft w:val="0"/>
      <w:marRight w:val="0"/>
      <w:marTop w:val="0"/>
      <w:marBottom w:val="0"/>
      <w:divBdr>
        <w:top w:val="none" w:sz="0" w:space="0" w:color="auto"/>
        <w:left w:val="none" w:sz="0" w:space="0" w:color="auto"/>
        <w:bottom w:val="none" w:sz="0" w:space="0" w:color="auto"/>
        <w:right w:val="none" w:sz="0" w:space="0" w:color="auto"/>
      </w:divBdr>
    </w:div>
    <w:div w:id="1630821837">
      <w:bodyDiv w:val="1"/>
      <w:marLeft w:val="0"/>
      <w:marRight w:val="0"/>
      <w:marTop w:val="0"/>
      <w:marBottom w:val="0"/>
      <w:divBdr>
        <w:top w:val="none" w:sz="0" w:space="0" w:color="auto"/>
        <w:left w:val="none" w:sz="0" w:space="0" w:color="auto"/>
        <w:bottom w:val="none" w:sz="0" w:space="0" w:color="auto"/>
        <w:right w:val="none" w:sz="0" w:space="0" w:color="auto"/>
      </w:divBdr>
      <w:divsChild>
        <w:div w:id="19765243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599</TotalTime>
  <Pages>6</Pages>
  <Words>10904</Words>
  <Characters>62155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184</cp:revision>
  <cp:lastPrinted>2020-11-04T13:41:00Z</cp:lastPrinted>
  <dcterms:created xsi:type="dcterms:W3CDTF">2015-09-02T08:53:00Z</dcterms:created>
  <dcterms:modified xsi:type="dcterms:W3CDTF">2020-11-28T03:52:00Z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http://www.zotero.org/styles/journal-of-physics-conference-series</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http://www.zotero.org/styles/apa-5th-edition</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http://www.zotero.org/styles/journal-of-physics-conference-series</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5th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Journal of Physics: Conference Series</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980f8919-03f3-39d4-8e60-9403473f5b48</vt:lpwstr>
  </property>
</Properties>
</file>