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9A0487" w:rsidRPr="009C541F" w:rsidP="00A126E4" w14:paraId="59CEF8C5" w14:textId="2364E1E6">
      <w:pPr>
        <w:pStyle w:val="Title"/>
        <w:jc w:val="both"/>
      </w:pPr>
      <w:commentRangeStart w:id="0"/>
      <w:r>
        <w:t xml:space="preserve">The Effect </w:t>
      </w:r>
      <w:r w:rsidR="00FE0A3A">
        <w:t xml:space="preserve">of Task Technology Fit and </w:t>
      </w:r>
      <w:r>
        <w:t xml:space="preserve">Entrepreneurship Education on </w:t>
      </w:r>
      <w:r w:rsidR="008F1788">
        <w:t xml:space="preserve">Student’s </w:t>
      </w:r>
      <w:r>
        <w:t>Entrepreneurship Intention</w:t>
      </w:r>
      <w:r w:rsidR="005A387F">
        <w:t xml:space="preserve"> Using the Theory of Planned Behavio</w:t>
      </w:r>
      <w:r w:rsidR="00B52E05">
        <w:t>u</w:t>
      </w:r>
      <w:r w:rsidR="005A387F">
        <w:t>r</w:t>
      </w:r>
      <w:r>
        <w:t xml:space="preserve"> </w:t>
      </w:r>
      <w:commentRangeEnd w:id="0"/>
      <w:r w:rsidR="00902859">
        <w:rPr>
          <w:rStyle w:val="CommentReference"/>
          <w:b w:val="0"/>
        </w:rPr>
        <w:commentReference w:id="0"/>
      </w:r>
    </w:p>
    <w:p w:rsidR="009A0487" w:rsidP="00CF7651" w14:paraId="742A821E" w14:textId="77777777">
      <w:pPr>
        <w:pStyle w:val="Authors"/>
        <w:spacing w:after="0" w:line="276" w:lineRule="auto"/>
      </w:pPr>
      <w:r>
        <w:t>Rustiana</w:t>
      </w:r>
      <w:r w:rsidR="00A126E4">
        <w:rPr>
          <w:vertAlign w:val="superscript"/>
        </w:rPr>
        <w:t>1),2)</w:t>
      </w:r>
      <w:r>
        <w:t>, Othman bin Mohd</w:t>
      </w:r>
      <w:r w:rsidR="00A126E4">
        <w:rPr>
          <w:vertAlign w:val="superscript"/>
        </w:rPr>
        <w:t>3)</w:t>
      </w:r>
      <w:r>
        <w:t>, Norhidayah binti Mohamad</w:t>
      </w:r>
      <w:r w:rsidR="00A126E4">
        <w:rPr>
          <w:vertAlign w:val="superscript"/>
        </w:rPr>
        <w:t>4)</w:t>
      </w:r>
      <w:r>
        <w:t xml:space="preserve"> </w:t>
      </w:r>
    </w:p>
    <w:p w:rsidR="00463758" w:rsidRPr="00463758" w:rsidP="00CF7651" w14:paraId="1DCEAFF6" w14:textId="77777777">
      <w:pPr>
        <w:pStyle w:val="Addresses"/>
        <w:spacing w:after="0" w:line="276" w:lineRule="auto"/>
      </w:pPr>
      <w:r w:rsidRPr="00A126E4">
        <w:rPr>
          <w:vertAlign w:val="superscript"/>
        </w:rPr>
        <w:t>1), 3), 4)</w:t>
      </w:r>
      <w:r>
        <w:t xml:space="preserve"> Universiti Teknikal Malaysia, Melaka; </w:t>
      </w:r>
      <w:r w:rsidRPr="00A126E4">
        <w:rPr>
          <w:vertAlign w:val="superscript"/>
        </w:rPr>
        <w:t>2)</w:t>
      </w:r>
      <w:r>
        <w:t xml:space="preserve"> Universitas Atma Jaya Yogyakarta</w:t>
      </w:r>
    </w:p>
    <w:p w:rsidR="00395618" w:rsidP="00CF7651" w14:paraId="1D413BF9" w14:textId="77777777">
      <w:pPr>
        <w:pStyle w:val="ListParagraph"/>
        <w:spacing w:before="0" w:after="0" w:line="276" w:lineRule="auto"/>
        <w:ind w:left="1418"/>
        <w:rPr>
          <w:rFonts w:ascii="Times" w:hAnsi="Times" w:cs="Times"/>
          <w:bCs/>
          <w:szCs w:val="18"/>
        </w:rPr>
      </w:pPr>
      <w:hyperlink r:id="rId7" w:history="1">
        <w:r w:rsidRPr="00395618" w:rsidR="00463758">
          <w:rPr>
            <w:rStyle w:val="Hyperlink"/>
            <w:rFonts w:ascii="Times" w:hAnsi="Times" w:cs="Times"/>
          </w:rPr>
          <w:t>Rustiana@uajy.ac.id</w:t>
        </w:r>
      </w:hyperlink>
      <w:r w:rsidRPr="00395618" w:rsidR="00463758">
        <w:rPr>
          <w:rFonts w:ascii="Times" w:hAnsi="Times" w:cs="Times"/>
        </w:rPr>
        <w:t xml:space="preserve">, </w:t>
      </w:r>
      <w:hyperlink r:id="rId8" w:history="1">
        <w:r w:rsidRPr="00395618" w:rsidR="00B16AA4">
          <w:rPr>
            <w:rStyle w:val="Hyperlink"/>
            <w:rFonts w:ascii="Times" w:hAnsi="Times" w:cs="Times"/>
            <w:bCs/>
            <w:szCs w:val="18"/>
          </w:rPr>
          <w:t>mothman@utem.edu.my</w:t>
        </w:r>
      </w:hyperlink>
      <w:r w:rsidRPr="00395618" w:rsidR="00B16AA4">
        <w:rPr>
          <w:rFonts w:ascii="Times" w:hAnsi="Times" w:cs="Times"/>
          <w:bCs/>
          <w:szCs w:val="18"/>
        </w:rPr>
        <w:t xml:space="preserve">, </w:t>
      </w:r>
      <w:hyperlink r:id="rId9" w:history="1">
        <w:r w:rsidRPr="00F91DFA" w:rsidR="00B16AA4">
          <w:rPr>
            <w:rStyle w:val="Hyperlink"/>
            <w:rFonts w:ascii="Times" w:hAnsi="Times" w:cs="Times"/>
            <w:bCs/>
            <w:szCs w:val="18"/>
          </w:rPr>
          <w:t>norhidayah@utem.edu.my</w:t>
        </w:r>
      </w:hyperlink>
    </w:p>
    <w:p w:rsidR="0075562C" w:rsidRPr="0075562C" w:rsidP="0075562C" w14:paraId="6AA67D7F" w14:textId="4391378D">
      <w:pPr>
        <w:spacing w:before="240"/>
        <w:ind w:left="1418"/>
        <w:jc w:val="both"/>
        <w:rPr>
          <w:color w:val="000000"/>
          <w:sz w:val="20"/>
        </w:rPr>
      </w:pPr>
      <w:r w:rsidRPr="0075562C">
        <w:rPr>
          <w:b/>
          <w:color w:val="000000"/>
          <w:sz w:val="20"/>
        </w:rPr>
        <w:t xml:space="preserve">Abstract. </w:t>
      </w:r>
      <w:r w:rsidRPr="0075562C">
        <w:rPr>
          <w:color w:val="000000"/>
          <w:sz w:val="20"/>
        </w:rPr>
        <w:t xml:space="preserve">Entrepreneurship has been proven in various researches in the world to help improve the welfare of society by creating jobs. Many universities in the world have adopted entrepreneurship in their curriculum designs in the form of entrepreneurship education. Besides, the technology fit task variable is also important in increasing student entrepreneurship intention. Therefore, research on entrepreneurship intention (EI) and the factors that influence it among students is very relevant. This study aims to </w:t>
      </w:r>
      <w:r w:rsidR="008F1788">
        <w:rPr>
          <w:color w:val="000000"/>
          <w:sz w:val="20"/>
        </w:rPr>
        <w:t xml:space="preserve">fill the knowledge gap in </w:t>
      </w:r>
      <w:r w:rsidRPr="0075562C">
        <w:rPr>
          <w:color w:val="000000"/>
          <w:sz w:val="20"/>
        </w:rPr>
        <w:t xml:space="preserve">the effect of </w:t>
      </w:r>
      <w:r w:rsidRPr="0075562C" w:rsidR="008F1788">
        <w:rPr>
          <w:color w:val="000000"/>
          <w:sz w:val="20"/>
        </w:rPr>
        <w:t xml:space="preserve">task technology fit (TTF) </w:t>
      </w:r>
      <w:r w:rsidR="008F1788">
        <w:rPr>
          <w:color w:val="000000"/>
          <w:sz w:val="20"/>
        </w:rPr>
        <w:t xml:space="preserve">and </w:t>
      </w:r>
      <w:r w:rsidRPr="0075562C">
        <w:rPr>
          <w:color w:val="000000"/>
          <w:sz w:val="20"/>
        </w:rPr>
        <w:t>entrepreneurship education (EE) on entrepreneurship intention (EI) by using the theory of planned behavio</w:t>
      </w:r>
      <w:r w:rsidRPr="0075562C">
        <w:rPr>
          <w:color w:val="000000"/>
          <w:sz w:val="20"/>
        </w:rPr>
        <w:t>r (TPB) model. The research sample was 21</w:t>
      </w:r>
      <w:r w:rsidR="00D37007">
        <w:rPr>
          <w:color w:val="000000"/>
          <w:sz w:val="20"/>
        </w:rPr>
        <w:t>3</w:t>
      </w:r>
      <w:r w:rsidRPr="0075562C">
        <w:rPr>
          <w:color w:val="000000"/>
          <w:sz w:val="20"/>
        </w:rPr>
        <w:t xml:space="preserve"> undergraduate students at one of the private universities in Yogyakarta selected by the Slovin method. Data were collected through a questionnaire shared with the student by MS Form. Regression analysis tools were used to test the research hypothesis. The results proved that H1, H2</w:t>
      </w:r>
      <w:r w:rsidRPr="0075562C" w:rsidR="007A4964">
        <w:rPr>
          <w:color w:val="000000"/>
          <w:sz w:val="20"/>
        </w:rPr>
        <w:t>,</w:t>
      </w:r>
      <w:r w:rsidRPr="007A4964" w:rsidR="007A4964">
        <w:rPr>
          <w:color w:val="000000"/>
          <w:sz w:val="20"/>
        </w:rPr>
        <w:t xml:space="preserve"> </w:t>
      </w:r>
      <w:r w:rsidRPr="0075562C" w:rsidR="007A4964">
        <w:rPr>
          <w:color w:val="000000"/>
          <w:sz w:val="20"/>
        </w:rPr>
        <w:t>and</w:t>
      </w:r>
      <w:r w:rsidRPr="0075562C">
        <w:rPr>
          <w:color w:val="000000"/>
          <w:sz w:val="20"/>
        </w:rPr>
        <w:t xml:space="preserve"> H4 have a positive effect on EI with different significant results. </w:t>
      </w:r>
      <w:r w:rsidR="007A4964">
        <w:rPr>
          <w:color w:val="000000"/>
          <w:sz w:val="20"/>
        </w:rPr>
        <w:t xml:space="preserve">But H5 had a negative effect on EI. </w:t>
      </w:r>
      <w:r w:rsidRPr="0075562C">
        <w:rPr>
          <w:color w:val="000000"/>
          <w:sz w:val="20"/>
        </w:rPr>
        <w:t>This study has contributed to filling the knowledge gap that TTF and EE can be integrated into the TPB model.</w:t>
      </w:r>
    </w:p>
    <w:p w:rsidR="009C6634" w:rsidRPr="009C6634" w:rsidP="0075562C" w14:paraId="10295A44" w14:textId="2AFCE95C">
      <w:pPr>
        <w:spacing w:before="240"/>
        <w:ind w:left="2410" w:hanging="992"/>
        <w:jc w:val="both"/>
        <w:rPr>
          <w:rFonts w:cs="Times"/>
          <w:color w:val="2F3138"/>
          <w:sz w:val="24"/>
          <w:szCs w:val="24"/>
          <w:lang w:val="en"/>
        </w:rPr>
      </w:pPr>
      <w:r w:rsidRPr="0075562C">
        <w:rPr>
          <w:b/>
          <w:color w:val="000000"/>
          <w:sz w:val="20"/>
        </w:rPr>
        <w:t>Keywords: entrepreneurship education, task technology fit, entrepreneurship intention, the theory of planned behavio</w:t>
      </w:r>
      <w:r w:rsidRPr="0075562C">
        <w:rPr>
          <w:b/>
          <w:color w:val="000000"/>
          <w:sz w:val="20"/>
        </w:rPr>
        <w:t xml:space="preserve">r </w:t>
      </w:r>
      <w:r>
        <w:rPr>
          <w:rFonts w:cs="Times"/>
          <w:color w:val="2F3138"/>
          <w:sz w:val="24"/>
          <w:szCs w:val="24"/>
          <w:lang w:val="en"/>
        </w:rPr>
        <w:t xml:space="preserve"> </w:t>
      </w:r>
    </w:p>
    <w:p w:rsidR="009A0487" w14:paraId="1D78901D" w14:textId="7A73F554">
      <w:pPr>
        <w:pStyle w:val="Section"/>
      </w:pPr>
      <w:commentRangeStart w:id="1"/>
      <w:r>
        <w:t>Introduction</w:t>
      </w:r>
      <w:commentRangeEnd w:id="1"/>
      <w:r w:rsidR="00902859">
        <w:rPr>
          <w:rStyle w:val="CommentReference"/>
          <w:b w:val="0"/>
          <w:iCs w:val="0"/>
          <w:color w:val="auto"/>
        </w:rPr>
        <w:commentReference w:id="1"/>
      </w:r>
    </w:p>
    <w:p w:rsidR="002E31A0" w:rsidRPr="007D1B26" w:rsidP="002E31A0" w14:paraId="1108F0A1" w14:textId="1D5FDC26">
      <w:pPr>
        <w:pStyle w:val="BodytextIndented"/>
        <w:ind w:firstLine="0"/>
        <w:rPr>
          <w:color w:val="auto"/>
          <w:lang w:val="en-GB"/>
        </w:rPr>
      </w:pPr>
      <w:r w:rsidRPr="007D1B26">
        <w:rPr>
          <w:color w:val="auto"/>
          <w:lang w:val="en-GB"/>
        </w:rPr>
        <w:t xml:space="preserve">The use of information technology trends such as social media, mobile services, and cloud computing </w:t>
      </w:r>
      <w:r w:rsidRPr="007D1B26" w:rsidR="003000F2">
        <w:rPr>
          <w:color w:val="auto"/>
          <w:lang w:val="en-GB"/>
        </w:rPr>
        <w:fldChar w:fldCharType="begin" w:fldLock="1"/>
      </w:r>
      <w:r w:rsidRPr="007D1B26" w:rsidR="003000F2">
        <w:rPr>
          <w:color w:val="auto"/>
          <w:lang w:val="en-GB"/>
        </w:rPr>
        <w:instrText>ADDIN CSL_CITATION {"citationItems":[{"id":"ITEM-1","itemData":{"DOI":"10.1016/j.techfore.2019.119791","ISSN":"00401625","abstract":"Digital technologies have nowadays a significant impact on how new business ventures are imagined and created. The arising technology paradigm is leveraging the potential of collaboration and collective intelligence to design and launch more robust and sustainable entrepreneurial initiatives. However, although the topic of digital entrepreneurship is relevant and timely, there is a limited literature discussion on the real impact of digital technologies and collaboration on the entrepreneurial process. Further research is needed to describe the nature and characteristics of the entrepreneurial ecosystem enabled by the new socio-technical paradigm. Based on extant literature, this article proposes a definition of digital entrepreneurship ecosystem by highlighting the integrated digital-output and digital-environment perspectives. A collective intelligence approach is then adopted to define a descriptive framework and identify the distinguishing genes of a digital entrepreneurship ecosystem. Four dimensions associated to digital actors (who), digital activities (what), digital motivations (why), and digital organization (how) are defined and discussed. The framework was also applied to describe 9 real cases of companies and initiatives, which are analyzed as digital entrepreneurship ecosystems along the four key dimensions presented. The article ends with a discussion about the results and a research agenda for future studies.","author":[{"dropping-particle":"","family":"Elia","given":"Gianluca","non-dropping-particle":"","parse-names":false,"suffix":""},{"dropping-particle":"","family":"Margherita","given":"Alessandro","non-dropping-particle":"","parse-names":false,"suffix":""},{"dropping-particle":"","family":"Passiante","given":"Giuseppina","non-dropping-particle":"","parse-names":false,"suffix":""}],"container-title":"Technological Forecasting and Social Change","id":"ITEM-1","issued":{"date-parts":[["2020"]]},"title":"Digital entrepreneurship ecosystem: How digital technologies and collective intelligence are reshaping the entrepreneurial process","type":"article-journal"},"uris":["http://www.mendeley.com/documents/?uuid=d48c0032-f730-49bd-a9fd-537013c8976a"]}],"mendeley":{"formattedCitation":"[1]","plainTextFormattedCitation":"[1]","previouslyFormattedCitation":"[1]"},"properties":{"noteIndex":0},"schema":"https://github.com/citation-style-language/schema/raw/master/csl-citation.json"}</w:instrText>
      </w:r>
      <w:r w:rsidRPr="007D1B26" w:rsidR="003000F2">
        <w:rPr>
          <w:color w:val="auto"/>
          <w:lang w:val="en-GB"/>
        </w:rPr>
        <w:fldChar w:fldCharType="separate"/>
      </w:r>
      <w:r w:rsidRPr="007D1B26" w:rsidR="003000F2">
        <w:rPr>
          <w:noProof/>
          <w:color w:val="auto"/>
          <w:lang w:val="en-GB"/>
        </w:rPr>
        <w:t>[1]</w:t>
      </w:r>
      <w:r w:rsidRPr="007D1B26" w:rsidR="003000F2">
        <w:rPr>
          <w:color w:val="auto"/>
          <w:lang w:val="en-GB"/>
        </w:rPr>
        <w:fldChar w:fldCharType="end"/>
      </w:r>
      <w:r w:rsidRPr="007D1B26">
        <w:rPr>
          <w:color w:val="auto"/>
          <w:lang w:val="en-GB"/>
        </w:rPr>
        <w:t xml:space="preserve"> has now become an inseparable part of the learning process in general and specifically in the field of entrepreneurship. The topic of entrepreneurship is one of the important topics that affect economic development and social change in a country</w:t>
      </w:r>
      <w:r w:rsidRPr="007D1B26" w:rsidR="003000F2">
        <w:rPr>
          <w:color w:val="auto"/>
          <w:lang w:val="en-GB"/>
        </w:rPr>
        <w:t xml:space="preserve"> </w:t>
      </w:r>
      <w:r w:rsidRPr="007D1B26" w:rsidR="003000F2">
        <w:rPr>
          <w:color w:val="auto"/>
          <w:lang w:val="en-GB"/>
        </w:rPr>
        <w:fldChar w:fldCharType="begin" w:fldLock="1"/>
      </w:r>
      <w:r w:rsidRPr="007D1B26" w:rsidR="007C4528">
        <w:rPr>
          <w:color w:val="auto"/>
          <w:lang w:val="en-GB"/>
        </w:rPr>
        <w:instrText>ADDIN CSL_CITATION {"citationItems":[{"id":"ITEM-1","itemData":{"DOI":"10.1016/j.cobeha.2017.07.014","ISSN":"2352-1546","author":[{"dropping-particle":"","family":"Obschonka","given":"Martin","non-dropping-particle":"","parse-names":false,"suffix":""}],"container-title":"COBEHA","id":"ITEM-1","issued":{"date-parts":[["2017"]]},"page":"69-74","publisher":"Elsevier Ltd","title":"ScienceDirect The quest for the entrepreneurial culture : psychological Big Data in entrepreneurship research","type":"article-journal","volume":"18"},"uris":["http://www.mendeley.com/documents/?uuid=9c4c9888-dad7-47a1-b5c8-d01e70aa12f4"]}],"mendeley":{"formattedCitation":"[2]","plainTextFormattedCitation":"[2]","previouslyFormattedCitation":"[2]"},"properties":{"noteIndex":0},"schema":"https://github.com/citation-style-language/schema/raw/master/csl-citation.json"}</w:instrText>
      </w:r>
      <w:r w:rsidRPr="007D1B26" w:rsidR="003000F2">
        <w:rPr>
          <w:color w:val="auto"/>
          <w:lang w:val="en-GB"/>
        </w:rPr>
        <w:fldChar w:fldCharType="separate"/>
      </w:r>
      <w:r w:rsidRPr="007D1B26" w:rsidR="003000F2">
        <w:rPr>
          <w:noProof/>
          <w:color w:val="auto"/>
          <w:lang w:val="en-GB"/>
        </w:rPr>
        <w:t>[2]</w:t>
      </w:r>
      <w:r w:rsidRPr="007D1B26" w:rsidR="003000F2">
        <w:rPr>
          <w:color w:val="auto"/>
          <w:lang w:val="en-GB"/>
        </w:rPr>
        <w:fldChar w:fldCharType="end"/>
      </w:r>
      <w:r w:rsidRPr="007D1B26">
        <w:rPr>
          <w:color w:val="auto"/>
          <w:lang w:val="en-GB"/>
        </w:rPr>
        <w:t>. Furthermore, education without technology is like a knife that is not sharp and less effective for achieving learning goals. Especially now that during the Covid 19 pandemic, the use of various information technology trends is increasing sharply along with the online learning system both synchronously and asynchronously. This is a challenge in itself, especially in learning entrepreneurship education</w:t>
      </w:r>
      <w:r w:rsidRPr="007D1B26" w:rsidR="003000F2">
        <w:rPr>
          <w:color w:val="auto"/>
          <w:lang w:val="en-GB"/>
        </w:rPr>
        <w:t xml:space="preserve"> </w:t>
      </w:r>
      <w:r w:rsidRPr="007D1B26" w:rsidR="007C4528">
        <w:rPr>
          <w:color w:val="auto"/>
          <w:lang w:val="en-GB"/>
        </w:rPr>
        <w:fldChar w:fldCharType="begin" w:fldLock="1"/>
      </w:r>
      <w:r w:rsidRPr="007D1B26" w:rsidR="007C4528">
        <w:rPr>
          <w:color w:val="auto"/>
          <w:lang w:val="en-GB"/>
        </w:rPr>
        <w:instrText>ADDIN CSL_CITATION {"citationItems":[{"id":"ITEM-1","itemData":{"DOI":"10.1177/2515127420916738","ISSN":"2515-1274","abstract":"Without question, the global spread of COVID-19 poses a challenge to the higher education landscape at a magnitude we have not seen since the emergence of technology supported and online instructio...","author":[{"dropping-particle":"","family":"Liguori","given":"Eric","non-dropping-particle":"","parse-names":false,"suffix":""},{"dropping-particle":"","family":"Winkler","given":"Christoph","non-dropping-particle":"","parse-names":false,"suffix":""}],"container-title":"Entrepreneurship Education and Pedagogy","id":"ITEM-1","issued":{"date-parts":[["2020"]]},"page":"251512742091673","title":"From Offline to Online: Challenges and Opportunities for Entrepreneurship Education Following the COVID-19 Pandemic","type":"article-journal"},"uris":["http://www.mendeley.com/documents/?uuid=b3acea2a-f03a-43e9-b245-44e636a87f93"]}],"mendeley":{"formattedCitation":"[3]","plainTextFormattedCitation":"[3]","previouslyFormattedCitation":"[3]"},"properties":{"noteIndex":0},"schema":"https://github.com/citation-style-language/schema/raw/master/csl-citation.json"}</w:instrText>
      </w:r>
      <w:r w:rsidRPr="007D1B26" w:rsidR="007C4528">
        <w:rPr>
          <w:color w:val="auto"/>
          <w:lang w:val="en-GB"/>
        </w:rPr>
        <w:fldChar w:fldCharType="separate"/>
      </w:r>
      <w:r w:rsidRPr="007D1B26" w:rsidR="007C4528">
        <w:rPr>
          <w:noProof/>
          <w:color w:val="auto"/>
          <w:lang w:val="en-GB"/>
        </w:rPr>
        <w:t>[3]</w:t>
      </w:r>
      <w:r w:rsidRPr="007D1B26" w:rsidR="007C4528">
        <w:rPr>
          <w:color w:val="auto"/>
          <w:lang w:val="en-GB"/>
        </w:rPr>
        <w:fldChar w:fldCharType="end"/>
      </w:r>
      <w:r w:rsidRPr="007D1B26">
        <w:rPr>
          <w:color w:val="auto"/>
          <w:lang w:val="en-GB"/>
        </w:rPr>
        <w:t>. For example, in making a business plan, students need information technology that fits and meets entrepreneurial tasks. Making a business plan requires data such as consumer behavior, market needs, market types, supply chain, market risk, and so on. This task will be facilitated by the application of technology that fits the tasks. If students feel the benefits of the suitability of tasks with technology in</w:t>
      </w:r>
      <w:r w:rsidRPr="007D1B26" w:rsidR="00C127B1">
        <w:rPr>
          <w:color w:val="auto"/>
          <w:lang w:val="en-GB"/>
        </w:rPr>
        <w:t xml:space="preserve"> entrepreneurship education (</w:t>
      </w:r>
      <w:r w:rsidRPr="007D1B26">
        <w:rPr>
          <w:color w:val="auto"/>
          <w:lang w:val="en-GB"/>
        </w:rPr>
        <w:t>EE</w:t>
      </w:r>
      <w:r w:rsidRPr="007D1B26" w:rsidR="00C127B1">
        <w:rPr>
          <w:color w:val="auto"/>
          <w:lang w:val="en-GB"/>
        </w:rPr>
        <w:t>)</w:t>
      </w:r>
      <w:r w:rsidRPr="007D1B26">
        <w:rPr>
          <w:color w:val="auto"/>
          <w:lang w:val="en-GB"/>
        </w:rPr>
        <w:t xml:space="preserve"> learning, it is hoped that it will increase student EI. The suitability of tasks with technology is called the task technology fit </w:t>
      </w:r>
      <w:r w:rsidRPr="007D1B26" w:rsidR="00C127B1">
        <w:rPr>
          <w:color w:val="auto"/>
          <w:lang w:val="en-GB"/>
        </w:rPr>
        <w:t xml:space="preserve">(TTF) </w:t>
      </w:r>
      <w:r w:rsidRPr="007D1B26">
        <w:rPr>
          <w:color w:val="auto"/>
          <w:lang w:val="en-GB"/>
        </w:rPr>
        <w:t>proposed by</w:t>
      </w:r>
      <w:r w:rsidRPr="007D1B26" w:rsidR="007C4528">
        <w:rPr>
          <w:color w:val="auto"/>
          <w:lang w:val="en-GB"/>
        </w:rPr>
        <w:t xml:space="preserve"> </w:t>
      </w:r>
      <w:r w:rsidRPr="007D1B26" w:rsidR="007C4528">
        <w:rPr>
          <w:color w:val="auto"/>
          <w:lang w:val="en-GB"/>
        </w:rPr>
        <w:fldChar w:fldCharType="begin" w:fldLock="1"/>
      </w:r>
      <w:r w:rsidRPr="007D1B26" w:rsidR="007C4528">
        <w:rPr>
          <w:color w:val="auto"/>
          <w:lang w:val="en-GB"/>
        </w:rPr>
        <w:instrText>ADDIN CSL_CITATION {"citationItems":[{"id":"ITEM-1","itemData":{"DOI":"10.2307/249689","ISSN":"02767783","abstract":"A key concern in Information Systems (IS) research has been to better understand the linkage between information systems and individual performance. The research reported in this study has two primary objectives: (1) to propose a comprehensive theoretical model that incorporates valuable insights from two comple mentary streams of research, and (2) to empirically test the core of the model. At the heart of the new model is the assertion that for an information technology to have a positive impact on individual performance, the technology: (1) must be utilized and (2) must be a good fit with the tasks it supports. This new model is moderately supported by an analysis of data from over 600 individuals in two companies. This research highlights the importance of the fit between technologies and users' tasks in achieving individual performance impacts from information technology. It also suggests that task-technology fit, when decomposed into its more detailed components, could be the basis for a strong diagnostic tool to evaluate whether information systems and services in a given organization are meeting user needs.","author":[{"dropping-particle":"","family":"Goodhue","given":"Dale L.","non-dropping-particle":"","parse-names":false,"suffix":""},{"dropping-particle":"","family":"Thompson","given":"Ronald L.","non-dropping-particle":"","parse-names":false,"suffix":""}],"container-title":"MIS Quarterly: Management Information Systems","id":"ITEM-1","issue":"2","issued":{"date-parts":[["1995"]]},"page":"213-233","title":"Task-technology fit and individual performance","type":"article-journal","volume":"19"},"uris":["http://www.mendeley.com/documents/?uuid=692eb1f0-ae43-4beb-9fbb-8fbe7710b408"]}],"mendeley":{"formattedCitation":"[4]","plainTextFormattedCitation":"[4]","previouslyFormattedCitation":"[4]"},"properties":{"noteIndex":0},"schema":"https://github.com/citation-style-language/schema/raw/master/csl-citation.json"}</w:instrText>
      </w:r>
      <w:r w:rsidRPr="007D1B26" w:rsidR="007C4528">
        <w:rPr>
          <w:color w:val="auto"/>
          <w:lang w:val="en-GB"/>
        </w:rPr>
        <w:fldChar w:fldCharType="separate"/>
      </w:r>
      <w:r w:rsidRPr="007D1B26" w:rsidR="007C4528">
        <w:rPr>
          <w:noProof/>
          <w:color w:val="auto"/>
          <w:lang w:val="en-GB"/>
        </w:rPr>
        <w:t>[4]</w:t>
      </w:r>
      <w:r w:rsidRPr="007D1B26" w:rsidR="007C4528">
        <w:rPr>
          <w:color w:val="auto"/>
          <w:lang w:val="en-GB"/>
        </w:rPr>
        <w:fldChar w:fldCharType="end"/>
      </w:r>
      <w:r w:rsidRPr="007D1B26">
        <w:rPr>
          <w:color w:val="auto"/>
          <w:lang w:val="en-GB"/>
        </w:rPr>
        <w:t xml:space="preserve"> which focuses on the suitability of tasks with technology</w:t>
      </w:r>
      <w:r w:rsidRPr="007D1B26" w:rsidR="007C4528">
        <w:rPr>
          <w:color w:val="auto"/>
          <w:lang w:val="en-GB"/>
        </w:rPr>
        <w:t xml:space="preserve"> </w:t>
      </w:r>
      <w:r w:rsidRPr="007D1B26" w:rsidR="007C4528">
        <w:rPr>
          <w:color w:val="auto"/>
          <w:lang w:val="en-GB"/>
        </w:rPr>
        <w:fldChar w:fldCharType="begin" w:fldLock="1"/>
      </w:r>
      <w:r w:rsidRPr="007D1B26" w:rsidR="007C4528">
        <w:rPr>
          <w:color w:val="auto"/>
          <w:lang w:val="en-GB"/>
        </w:rPr>
        <w:instrText>ADDIN CSL_CITATION {"citationItems":[{"id":"ITEM-1","itemData":{"DOI":"10.1108/ET-09-2018-0203","ISSN":"00400912","abstract":"Purpose: According to expectation–confirmation model (ECM) and task-technology fit (TTF) model, the purpose of this paper is to examine the role of TTF in students’ cloud-based e-learning continuance and evaluate whether TTF affects students’ perceived impact on learning of the cloud-based e-learning system within the educational institution. Design/methodology/approach: Sample data for this study were collected from students enrolled in a comprehensive university in Taiwan. A total of 500 questionnaires were distributed in the campus, and 391 (78.2 percent) usable questionnaires were analyzed using structural equation modeling in this study. Findings: This study’s results verified that both task characteristics and technology characteristics affected students’ perceived TTF, which significantly contributed to their perceived usefulness, confirmation and satisfaction with the cloud-based e-learning system, and these in turn directly or indirectly led to their continuance intention of the system and perceived impact on learning; essentially, the results strongly supported the research model integrating ECM and TTF model via positioning key constructs as the drivers with all hypothesized links being significant. Originality/value: This study contributes to an understanding of the TTF in explaining students’ cloud-based e-learning continuance that is difficult to explain with only their utilitarian perception of the cloud-based e-learning system, and further places considerably more emphasis upon students’ perceived impact on learning greatly driven by their TTF in the system. Thus, this study’s empirical evidence on incorporating ECM and TTF model can shed light on the outcome for cloud-based e-learning continuance and enhance better understanding of a richer post-adoption model.","author":[{"dropping-particle":"","family":"Cheng","given":"Yung Ming","non-dropping-particle":"","parse-names":false,"suffix":""}],"container-title":"Education and Training","id":"ITEM-1","issue":"4","issued":{"date-parts":[["2019"]]},"page":"480-499","title":"How does task-technology fit influence cloud-based e-learning continuance and impact?","type":"article-journal","volume":"61"},"uris":["http://www.mendeley.com/documents/?uuid=4fb88d32-eb32-4cc6-a01b-70264db3fcc1"]}],"mendeley":{"formattedCitation":"[5]","plainTextFormattedCitation":"[5]","previouslyFormattedCitation":"[5]"},"properties":{"noteIndex":0},"schema":"https://github.com/citation-style-language/schema/raw/master/csl-citation.json"}</w:instrText>
      </w:r>
      <w:r w:rsidRPr="007D1B26" w:rsidR="007C4528">
        <w:rPr>
          <w:color w:val="auto"/>
          <w:lang w:val="en-GB"/>
        </w:rPr>
        <w:fldChar w:fldCharType="separate"/>
      </w:r>
      <w:r w:rsidRPr="007D1B26" w:rsidR="007C4528">
        <w:rPr>
          <w:noProof/>
          <w:color w:val="auto"/>
          <w:lang w:val="en-GB"/>
        </w:rPr>
        <w:t>[5]</w:t>
      </w:r>
      <w:r w:rsidRPr="007D1B26" w:rsidR="007C4528">
        <w:rPr>
          <w:color w:val="auto"/>
          <w:lang w:val="en-GB"/>
        </w:rPr>
        <w:fldChar w:fldCharType="end"/>
      </w:r>
      <w:r w:rsidRPr="007D1B26">
        <w:rPr>
          <w:color w:val="auto"/>
          <w:lang w:val="en-GB"/>
        </w:rPr>
        <w:t>.</w:t>
      </w:r>
    </w:p>
    <w:p w:rsidR="0029469B" w:rsidP="0029469B" w14:paraId="5E96F4D2" w14:textId="4A56BB19">
      <w:pPr>
        <w:pStyle w:val="Section"/>
        <w:numPr>
          <w:ilvl w:val="0"/>
          <w:numId w:val="0"/>
        </w:numPr>
        <w:spacing w:before="0"/>
        <w:ind w:firstLine="284"/>
        <w:jc w:val="both"/>
        <w:rPr>
          <w:rStyle w:val="jlqj4b"/>
          <w:lang w:val="en"/>
        </w:rPr>
      </w:pPr>
      <w:r w:rsidRPr="00760B91">
        <w:rPr>
          <w:rFonts w:cs="Times"/>
          <w:b w:val="0"/>
          <w:iCs w:val="0"/>
          <w:color w:val="auto"/>
          <w:szCs w:val="24"/>
          <w:lang w:val="en-US"/>
        </w:rPr>
        <w:t>Research on entrepreneurship intention (EI) using the TPB has been widely carried out. According to</w:t>
      </w:r>
      <w:r w:rsidR="007C4528">
        <w:rPr>
          <w:rFonts w:cs="Times"/>
          <w:b w:val="0"/>
          <w:iCs w:val="0"/>
          <w:color w:val="auto"/>
          <w:szCs w:val="24"/>
          <w:lang w:val="en-US"/>
        </w:rPr>
        <w:t xml:space="preserve"> </w:t>
      </w:r>
      <w:r w:rsidR="007C4528">
        <w:rPr>
          <w:rFonts w:cs="Times"/>
          <w:b w:val="0"/>
          <w:iCs w:val="0"/>
          <w:color w:val="auto"/>
          <w:szCs w:val="24"/>
          <w:lang w:val="en-US"/>
        </w:rPr>
        <w:fldChar w:fldCharType="begin" w:fldLock="1"/>
      </w:r>
      <w:r w:rsidR="007C4528">
        <w:rPr>
          <w:rFonts w:cs="Times"/>
          <w:b w:val="0"/>
          <w:iCs w:val="0"/>
          <w:color w:val="auto"/>
          <w:szCs w:val="24"/>
          <w:lang w:val="en-US"/>
        </w:rPr>
        <w:instrText>ADDIN CSL_CITATION {"citationItems":[{"id":"ITEM-1","itemData":{"ISBN":"0749-5978","abstract":"Research dealing with various aspects of the theory of planned behavior (Ajzen, 1985, 1987) is reviewed, and some unresolved issues are discussed. In broad terms, the theory is found to be well supported by empirical evidence. Intentions to perform behaviors of different kinds can be predicted with high accuracy from attitudes toward the behavior, subjective norms, and perceived behavioral control; and these intentions, together with perceptions of behavioral control, account for considerable variance in actual behavior. Attitudes, subjective norms, and perceived behavioral control are shown to be related to appropriate sets of salient behavioral, normative, and control beliefs about the behavior, but the exact nature of these relations is still uncertain. Expectancy-value formulations are found to be only partly successful in dealing with these relations. Optimal rescaling of expectancy and value measures is offered as a means of dealing with measurement limitations. Finally, inclusion of past behavior in the prediction equation is shown to provide a means of testing the theory's sufficiency, another issue that remains unresolved. The limited available evidence concerning this question shows that the theory is predicting behavior quite well in comparison to the ceiling imposed by behavioral reliability.","author":[{"dropping-particle":"","family":"Ajzen","given":"Icek","non-dropping-particle":"","parse-names":false,"suffix":""}],"container-title":"Organizational Behavior and Human Decision Processes","id":"ITEM-1","issue":"2","issued":{"date-parts":[["1991"]]},"page":"179-211","title":"The theory of planned behavior","type":"article-journal","volume":"50"},"uris":["http://www.mendeley.com/documents/?uuid=af4be18a-f71a-45ba-b2c5-af1da55c55ee"]}],"mendeley":{"formattedCitation":"[6]","plainTextFormattedCitation":"[6]","previouslyFormattedCitation":"[6]"},"properties":{"noteIndex":0},"schema":"https://github.com/citation-style-language/schema/raw/master/csl-citation.json"}</w:instrText>
      </w:r>
      <w:r w:rsidR="007C4528">
        <w:rPr>
          <w:rFonts w:cs="Times"/>
          <w:b w:val="0"/>
          <w:iCs w:val="0"/>
          <w:color w:val="auto"/>
          <w:szCs w:val="24"/>
          <w:lang w:val="en-US"/>
        </w:rPr>
        <w:fldChar w:fldCharType="separate"/>
      </w:r>
      <w:r w:rsidRPr="007C4528" w:rsidR="007C4528">
        <w:rPr>
          <w:rFonts w:cs="Times"/>
          <w:b w:val="0"/>
          <w:iCs w:val="0"/>
          <w:noProof/>
          <w:color w:val="auto"/>
          <w:szCs w:val="24"/>
          <w:lang w:val="en-US"/>
        </w:rPr>
        <w:t>[6]</w:t>
      </w:r>
      <w:r w:rsidR="007C4528">
        <w:rPr>
          <w:rFonts w:cs="Times"/>
          <w:b w:val="0"/>
          <w:iCs w:val="0"/>
          <w:color w:val="auto"/>
          <w:szCs w:val="24"/>
          <w:lang w:val="en-US"/>
        </w:rPr>
        <w:fldChar w:fldCharType="end"/>
      </w:r>
      <w:r w:rsidRPr="00760B91">
        <w:rPr>
          <w:rFonts w:cs="Times"/>
          <w:b w:val="0"/>
          <w:iCs w:val="0"/>
          <w:color w:val="auto"/>
          <w:szCs w:val="24"/>
          <w:lang w:val="en-US"/>
        </w:rPr>
        <w:t xml:space="preserve"> the TPB explained that three factors influence EI, namely attitude toward entrepreneurship, </w:t>
      </w:r>
      <w:r w:rsidRPr="00760B91">
        <w:rPr>
          <w:rFonts w:cs="Times"/>
          <w:b w:val="0"/>
          <w:iCs w:val="0"/>
          <w:color w:val="auto"/>
          <w:szCs w:val="24"/>
          <w:lang w:val="en-US"/>
        </w:rPr>
        <w:t xml:space="preserve">social norms, and perceived behavioral control. However, apart from the three antecedent variables, EI is also influenced by several other variables such as entrepreneurship education EE and TTF, even though the two exogenous variables are not integrated with the TPB model together. Student entrepreneurship skills begin with EI which can be </w:t>
      </w:r>
      <w:r w:rsidR="007C4528">
        <w:rPr>
          <w:rFonts w:cs="Times"/>
          <w:b w:val="0"/>
          <w:iCs w:val="0"/>
          <w:color w:val="auto"/>
          <w:szCs w:val="24"/>
          <w:lang w:val="en-US"/>
        </w:rPr>
        <w:t xml:space="preserve">trained and educated through EE </w:t>
      </w:r>
      <w:r w:rsidR="007C4528">
        <w:rPr>
          <w:rFonts w:cs="Times"/>
          <w:b w:val="0"/>
          <w:iCs w:val="0"/>
          <w:color w:val="auto"/>
          <w:szCs w:val="24"/>
          <w:lang w:val="en-US"/>
        </w:rPr>
        <w:fldChar w:fldCharType="begin" w:fldLock="1"/>
      </w:r>
      <w:r w:rsidR="007C4528">
        <w:rPr>
          <w:rFonts w:cs="Times"/>
          <w:b w:val="0"/>
          <w:iCs w:val="0"/>
          <w:color w:val="auto"/>
          <w:szCs w:val="24"/>
          <w:lang w:val="en-US"/>
        </w:rPr>
        <w:instrText>ADDIN CSL_CITATION {"citationItems":[{"id":"ITEM-1","itemData":{"DOI":"10.1108/JIEB-02-2019-0009","ISSN":"18363261","abstract":"Purpose: Considering entrepreneurship education (EE) theory as a base, this paper aims to examine the impact of EE upon building entrepreneurial intentions. In addition, it investigates the impact of student’s age, gender and degree or course background in developing students entrepreneurial intentions. Design/methodology/approach: A sample of 309 student respondents from higher education institution (HEI’s) was used to understand the relationship and its impact over intention building. Regression and ANOVA technique was used to understand the cause and effect as well as mean differences between the construct. Findings: The results signify a positive impact of EE for stimulating the start-up intention in these interdisciplinary students of HEIs. These results resemble the existing studies in this endeavour. Findings also verify that individual intention to start a new business in terms of the theory of planned behaviour (attitude, perceived behavioural control and social norms), student background (gender and degree specialization) are positively related to individual intention to start a new business. Research limitations/implications: The results confirm previous studies in this field and highlight the need for EE in HEI. The paper highlights the vitality for EE for India’s start-up growth. Originality/value: This study adds to the paucity of research on EE and its impact on entrepreneurial intentions in higher education institutions in India.","author":[{"dropping-particle":"","family":"Paray","given":"Zahoor Ahmad","non-dropping-particle":"","parse-names":false,"suffix":""},{"dropping-particle":"","family":"Kumar","given":"Sumit","non-dropping-particle":"","parse-names":false,"suffix":""}],"container-title":"Journal of International Education in Business","id":"ITEM-1","issue":"1","issued":{"date-parts":[["2020"]]},"page":"55-72","title":"Does entrepreneurship education influence entrepreneurial intention among students in HEI’s?: The role of age, gender and degree background","type":"article-journal","volume":"13"},"uris":["http://www.mendeley.com/documents/?uuid=3691fa00-b72a-44a0-8261-bdd5b16f29bd"]}],"mendeley":{"formattedCitation":"[7]","plainTextFormattedCitation":"[7]","previouslyFormattedCitation":"[7]"},"properties":{"noteIndex":0},"schema":"https://github.com/citation-style-language/schema/raw/master/csl-citation.json"}</w:instrText>
      </w:r>
      <w:r w:rsidR="007C4528">
        <w:rPr>
          <w:rFonts w:cs="Times"/>
          <w:b w:val="0"/>
          <w:iCs w:val="0"/>
          <w:color w:val="auto"/>
          <w:szCs w:val="24"/>
          <w:lang w:val="en-US"/>
        </w:rPr>
        <w:fldChar w:fldCharType="separate"/>
      </w:r>
      <w:r w:rsidRPr="007C4528" w:rsidR="007C4528">
        <w:rPr>
          <w:rFonts w:cs="Times"/>
          <w:b w:val="0"/>
          <w:iCs w:val="0"/>
          <w:noProof/>
          <w:color w:val="auto"/>
          <w:szCs w:val="24"/>
          <w:lang w:val="en-US"/>
        </w:rPr>
        <w:t>[7]</w:t>
      </w:r>
      <w:r w:rsidR="007C4528">
        <w:rPr>
          <w:rFonts w:cs="Times"/>
          <w:b w:val="0"/>
          <w:iCs w:val="0"/>
          <w:color w:val="auto"/>
          <w:szCs w:val="24"/>
          <w:lang w:val="en-US"/>
        </w:rPr>
        <w:fldChar w:fldCharType="end"/>
      </w:r>
      <w:r w:rsidR="007C4528">
        <w:rPr>
          <w:rFonts w:cs="Times"/>
          <w:b w:val="0"/>
          <w:iCs w:val="0"/>
          <w:color w:val="auto"/>
          <w:szCs w:val="24"/>
          <w:lang w:val="en-US"/>
        </w:rPr>
        <w:t>,</w:t>
      </w:r>
      <w:r w:rsidR="007C4528">
        <w:rPr>
          <w:rFonts w:cs="Times"/>
          <w:b w:val="0"/>
          <w:iCs w:val="0"/>
          <w:color w:val="auto"/>
          <w:szCs w:val="24"/>
          <w:lang w:val="en-US"/>
        </w:rPr>
        <w:fldChar w:fldCharType="begin" w:fldLock="1"/>
      </w:r>
      <w:r w:rsidR="007C4528">
        <w:rPr>
          <w:rFonts w:cs="Times"/>
          <w:b w:val="0"/>
          <w:iCs w:val="0"/>
          <w:color w:val="auto"/>
          <w:szCs w:val="24"/>
          <w:lang w:val="en-US"/>
        </w:rPr>
        <w:instrText>ADDIN CSL_CITATION {"citationItems":[{"id":"ITEM-1","itemData":{"DOI":"10.1016/j.ijme.2019.100327","ISSN":"14728117","abstract":"This paper develops and tests a model of pathways between participation in entrepreneurship education programmes (EEPs) and entrepreneurial intention. EEPs are degree programmes designed to provide mastery and experience over several years of academic study. Structural equation modelling on survey data gathered from 348 graduating students from eight universities in Pakistan showed how three EEP components (learning, inspiration and resources) influence intention: learning and inspiration activities both increase perceived norms for being an entrepreneur and students' perceptions that they can be entrepreneurs (perceived control). Access to incubation resources had the strongest effect on intention by increasing perceived norms which in turn increases positive attitudes and perceived control. These findings provide insight into the conclusions drawn from previous studies by showing how positive student experience across different components of entrepreneurship programme have a positive impact on students’ intentions to start their own business.","author":[{"dropping-particle":"","family":"Ahmed","given":"Tariq","non-dropping-particle":"","parse-names":false,"suffix":""},{"dropping-particle":"","family":"Chandran","given":"V. G.R.","non-dropping-particle":"","parse-names":false,"suffix":""},{"dropping-particle":"","family":"Klobas","given":"Jane E.","non-dropping-particle":"","parse-names":false,"suffix":""},{"dropping-particle":"","family":"Liñán","given":"Francisco","non-dropping-particle":"","parse-names":false,"suffix":""},{"dropping-particle":"","family":"Kokkalis","given":"Panagiotis","non-dropping-particle":"","parse-names":false,"suffix":""}],"container-title":"International Journal of Management Education","id":"ITEM-1","issue":"1","issued":{"date-parts":[["2020"]]},"page":"100327","publisher":"Elsevier","title":"Entrepreneurship education programmes: How learning, inspiration and resources affect intentions for new venture creation in a developing economy","type":"article-journal","volume":"18"},"uris":["http://www.mendeley.com/documents/?uuid=37cc4f97-8266-4b9d-8c3c-ea89b9aba057"]}],"mendeley":{"formattedCitation":"[8]","plainTextFormattedCitation":"[8]","previouslyFormattedCitation":"[8]"},"properties":{"noteIndex":0},"schema":"https://github.com/citation-style-language/schema/raw/master/csl-citation.json"}</w:instrText>
      </w:r>
      <w:r w:rsidR="007C4528">
        <w:rPr>
          <w:rFonts w:cs="Times"/>
          <w:b w:val="0"/>
          <w:iCs w:val="0"/>
          <w:color w:val="auto"/>
          <w:szCs w:val="24"/>
          <w:lang w:val="en-US"/>
        </w:rPr>
        <w:fldChar w:fldCharType="separate"/>
      </w:r>
      <w:r w:rsidRPr="007C4528" w:rsidR="007C4528">
        <w:rPr>
          <w:rFonts w:cs="Times"/>
          <w:b w:val="0"/>
          <w:iCs w:val="0"/>
          <w:noProof/>
          <w:color w:val="auto"/>
          <w:szCs w:val="24"/>
          <w:lang w:val="en-US"/>
        </w:rPr>
        <w:t>[8]</w:t>
      </w:r>
      <w:r w:rsidR="007C4528">
        <w:rPr>
          <w:rFonts w:cs="Times"/>
          <w:b w:val="0"/>
          <w:iCs w:val="0"/>
          <w:color w:val="auto"/>
          <w:szCs w:val="24"/>
          <w:lang w:val="en-US"/>
        </w:rPr>
        <w:fldChar w:fldCharType="end"/>
      </w:r>
      <w:r w:rsidR="007C4528">
        <w:rPr>
          <w:rFonts w:cs="Times"/>
          <w:b w:val="0"/>
          <w:iCs w:val="0"/>
          <w:color w:val="auto"/>
          <w:szCs w:val="24"/>
          <w:lang w:val="en-US"/>
        </w:rPr>
        <w:t>,</w:t>
      </w:r>
      <w:r w:rsidR="007C4528">
        <w:rPr>
          <w:rFonts w:cs="Times"/>
          <w:b w:val="0"/>
          <w:iCs w:val="0"/>
          <w:color w:val="auto"/>
          <w:szCs w:val="24"/>
          <w:lang w:val="en-US"/>
        </w:rPr>
        <w:fldChar w:fldCharType="begin" w:fldLock="1"/>
      </w:r>
      <w:r w:rsidR="007C4528">
        <w:rPr>
          <w:rFonts w:cs="Times"/>
          <w:b w:val="0"/>
          <w:iCs w:val="0"/>
          <w:color w:val="auto"/>
          <w:szCs w:val="24"/>
          <w:lang w:val="en-US"/>
        </w:rPr>
        <w:instrText>ADDIN CSL_CITATION {"citationItems":[{"id":"ITEM-1","itemData":{"DOI":"10.1016/j.lrp.2014.09.003","ISSN":"18731872","abstract":"Prior research suggests that entrepreneurial orientation (EO) confers discretion in manipulating resources to create value, but the research lacks empirical evidence from interorganizational relationships and especially strategic alliances. The authors establish a parsimonious model that links alliance-partnering firms' EO to their performance through two knowledge management practices: knowledge acquisition from partners and knowledge creation within organizational boundaries. To further understand how interpartner co-opetition conditions entrepreneurial learning processes, the authors also examine the moderating effects of knowledge-leakage risk on the EO-knowledge management relationships. Data collected from 205 Chinese firms engaged in strategic alliances generally support the theoretical predictions and associated hypotheses.","author":[{"dropping-particle":"","family":"Jiang","given":"Xu","non-dropping-particle":"","parse-names":false,"suffix":""},{"dropping-particle":"","family":"Yang","given":"Yan","non-dropping-particle":"","parse-names":false,"suffix":""},{"dropping-particle":"","family":"Pei","given":"Yun Long","non-dropping-particle":"","parse-names":false,"suffix":""},{"dropping-particle":"","family":"Wang","given":"Gang","non-dropping-particle":"","parse-names":false,"suffix":""}],"container-title":"Long Range Planning","id":"ITEM-1","issue":"1","issued":{"date-parts":[["2016"]]},"page":"103-116","publisher":"Elsevier Ltd","title":"Entrepreneurial Orientation, Strategic Alliances, and Firm Performance: Inside the Black Box","type":"article-journal","volume":"49"},"uris":["http://www.mendeley.com/documents/?uuid=fa724e39-9d74-4d07-8427-2ae9885d39e4"]}],"mendeley":{"formattedCitation":"[9]","plainTextFormattedCitation":"[9]","previouslyFormattedCitation":"[9]"},"properties":{"noteIndex":0},"schema":"https://github.com/citation-style-language/schema/raw/master/csl-citation.json"}</w:instrText>
      </w:r>
      <w:r w:rsidR="007C4528">
        <w:rPr>
          <w:rFonts w:cs="Times"/>
          <w:b w:val="0"/>
          <w:iCs w:val="0"/>
          <w:color w:val="auto"/>
          <w:szCs w:val="24"/>
          <w:lang w:val="en-US"/>
        </w:rPr>
        <w:fldChar w:fldCharType="separate"/>
      </w:r>
      <w:r w:rsidRPr="007C4528" w:rsidR="007C4528">
        <w:rPr>
          <w:rFonts w:cs="Times"/>
          <w:b w:val="0"/>
          <w:iCs w:val="0"/>
          <w:noProof/>
          <w:color w:val="auto"/>
          <w:szCs w:val="24"/>
          <w:lang w:val="en-US"/>
        </w:rPr>
        <w:t>[9]</w:t>
      </w:r>
      <w:r w:rsidR="007C4528">
        <w:rPr>
          <w:rFonts w:cs="Times"/>
          <w:b w:val="0"/>
          <w:iCs w:val="0"/>
          <w:color w:val="auto"/>
          <w:szCs w:val="24"/>
          <w:lang w:val="en-US"/>
        </w:rPr>
        <w:fldChar w:fldCharType="end"/>
      </w:r>
      <w:r w:rsidRPr="00760B91">
        <w:rPr>
          <w:rFonts w:cs="Times"/>
          <w:b w:val="0"/>
          <w:iCs w:val="0"/>
          <w:color w:val="auto"/>
          <w:szCs w:val="24"/>
          <w:lang w:val="en-US"/>
        </w:rPr>
        <w:t>. However, it is different from previous studies</w:t>
      </w:r>
      <w:r w:rsidR="007C4528">
        <w:rPr>
          <w:rFonts w:cs="Times"/>
          <w:b w:val="0"/>
          <w:iCs w:val="0"/>
          <w:color w:val="auto"/>
          <w:szCs w:val="24"/>
          <w:lang w:val="en-US"/>
        </w:rPr>
        <w:t xml:space="preserve">, some research results such as </w:t>
      </w:r>
      <w:r w:rsidR="007C4528">
        <w:rPr>
          <w:rFonts w:cs="Times"/>
          <w:b w:val="0"/>
          <w:iCs w:val="0"/>
          <w:color w:val="auto"/>
          <w:szCs w:val="24"/>
          <w:lang w:val="en-US"/>
        </w:rPr>
        <w:fldChar w:fldCharType="begin" w:fldLock="1"/>
      </w:r>
      <w:r w:rsidR="007C4528">
        <w:rPr>
          <w:rFonts w:cs="Times"/>
          <w:b w:val="0"/>
          <w:iCs w:val="0"/>
          <w:color w:val="auto"/>
          <w:szCs w:val="24"/>
          <w:lang w:val="en-US"/>
        </w:rPr>
        <w:instrText>ADDIN CSL_CITATION {"citationItems":[{"id":"ITEM-1","itemData":{"DOI":"10.1108/IJEBR-01-2016-0005","ISBN":"9781138922310","ISSN":"13552554","abstract":"Purpose: There is a long-standing debate on whether the entrepreneurship education program (EEP) of university graduates can promote entrepreneurship intention and behaviour. The purpose of this paper is to use the theory of planned behaviour as a conceptual framework and compare the differences in entrepreneurial attitude, subjective norms, perceived behavioural control and intentions among students who participated in entrepreneurship education with a control group of Master of Business Administration (MBA) students in Pakistan. The study further examines what drives intentions between the two groups. Design/methodology/approach: Data were collected using a questionnaire survey from 348 entrepreneurship students and 329 MBAs in their final year (both groups did a total of four years’ tertiary study). One-way analysis of variance test and regression analysis were used to examine the differences and the antecedents of entrepreneurship intention between the two groups. Findings: MBAs have higher entrepreneurial intentions (EIs) than EEP students and the EIs are statistically significant. Nevertheless, the authors did not find any differences in attitude, perceived control behaviour and subjective norms towards entrepreneurship in both the groups. The entrepreneurship intentions of the MBA students are more influenced by social pressure as opposed to EEP students who are influenced by perceived control behaviours. Research limitations/implications: First, although the study introduced a control group, comparisons were based only on EIs and their antecedents in participants’ final year of study. This cross-sectional design provides no information about how much intentions and antecedents changed over time. A longitudinal study would provide information about such changes. Second, the groups in the study were matched in terms of gender, age distribution, family background, years of study and presumed disposition towards running their business. It would be useful if future comparative and longitudinal research measured these individual factors and their effects. Practical implications: Educational activities render the starting of a business desirable and feasible by changing the attitudes and intentions. Nevertheless, various exposures to the challenges of being an entrepreneur via the education programmes may lower their intention to be entrepreneurs. As such, entrepreneurial programmes should be designed with care. Social implications: The study provides …","author":[{"dropping-particle":"","family":"Ahmed","given":"Tariq","non-dropping-particle":"","parse-names":false,"suffix":""},{"dropping-particle":"","family":"Chandran","given":"V. G.R.","non-dropping-particle":"","parse-names":false,"suffix":""},{"dropping-particle":"","family":"Klobas","given":"Jane","non-dropping-particle":"","parse-names":false,"suffix":""}],"container-title":"International Journal of Entrepreneurial Behaviour and Research","id":"ITEM-1","issue":"1","issued":{"date-parts":[["2017"]]},"page":"4-19","title":"Specialized entrepreneurship education: does it really matter? Fresh evidence from Pakistan","type":"article-journal","volume":"23"},"uris":["http://www.mendeley.com/documents/?uuid=61793343-7776-4cd3-ab0b-0d7872890267"]}],"mendeley":{"formattedCitation":"[10]","plainTextFormattedCitation":"[10]","previouslyFormattedCitation":"[10]"},"properties":{"noteIndex":0},"schema":"https://github.com/citation-style-language/schema/raw/master/csl-citation.json"}</w:instrText>
      </w:r>
      <w:r w:rsidR="007C4528">
        <w:rPr>
          <w:rFonts w:cs="Times"/>
          <w:b w:val="0"/>
          <w:iCs w:val="0"/>
          <w:color w:val="auto"/>
          <w:szCs w:val="24"/>
          <w:lang w:val="en-US"/>
        </w:rPr>
        <w:fldChar w:fldCharType="separate"/>
      </w:r>
      <w:r w:rsidRPr="007C4528" w:rsidR="007C4528">
        <w:rPr>
          <w:rFonts w:cs="Times"/>
          <w:b w:val="0"/>
          <w:iCs w:val="0"/>
          <w:noProof/>
          <w:color w:val="auto"/>
          <w:szCs w:val="24"/>
          <w:lang w:val="en-US"/>
        </w:rPr>
        <w:t>[10]</w:t>
      </w:r>
      <w:r w:rsidR="007C4528">
        <w:rPr>
          <w:rFonts w:cs="Times"/>
          <w:b w:val="0"/>
          <w:iCs w:val="0"/>
          <w:color w:val="auto"/>
          <w:szCs w:val="24"/>
          <w:lang w:val="en-US"/>
        </w:rPr>
        <w:fldChar w:fldCharType="end"/>
      </w:r>
      <w:r w:rsidR="007C4528">
        <w:rPr>
          <w:rFonts w:cs="Times"/>
          <w:b w:val="0"/>
          <w:iCs w:val="0"/>
          <w:color w:val="auto"/>
          <w:szCs w:val="24"/>
          <w:lang w:val="en-US"/>
        </w:rPr>
        <w:t xml:space="preserve">, </w:t>
      </w:r>
      <w:r w:rsidR="007C4528">
        <w:rPr>
          <w:rFonts w:cs="Times"/>
          <w:b w:val="0"/>
          <w:iCs w:val="0"/>
          <w:color w:val="auto"/>
          <w:szCs w:val="24"/>
          <w:lang w:val="en-US"/>
        </w:rPr>
        <w:fldChar w:fldCharType="begin" w:fldLock="1"/>
      </w:r>
      <w:r w:rsidR="007C4528">
        <w:rPr>
          <w:rFonts w:cs="Times"/>
          <w:b w:val="0"/>
          <w:iCs w:val="0"/>
          <w:color w:val="auto"/>
          <w:szCs w:val="24"/>
          <w:lang w:val="en-US"/>
        </w:rPr>
        <w:instrText>ADDIN CSL_CITATION {"citationItems":[{"id":"ITEM-1","itemData":{"DOI":"10.21511/ppm.15(1-1).2017.06","ISSN":"18105467","abstract":"The rich body of literature examining the entrepreneurship education-entrepreneurship intention relations tends to neglect the influence of contingent and other mediating factors on the relationship. This elusion creates an erroneous assumption that entrepreneurship intentions are insulated from external influences and the entrepreneurship educationintentions relationship is an automatic, directly linear interaction. Contesting this premise, this research explores the influence of exposure to entrepreneurship education (EE), mediated by precursors (such as attitude, subjective norms and perceived behavioral control) to entrepreneurial intentions on the actual entrepreneurship intentions (EI) of vocational education students at a particular institution in Zimbabwe. Drawing on a cross-sectional research design and 154 randomly selected students, the study examines the extent to which they intended to engage in entrepreneurship careers in the near future. A non-parametric technique, the Spearman correlation test, and regression analysis were employed to test the relationships between EE on the direct determinants of EI, between the immediate determinants of EI and actual EI and to test a number of predictive effects. The results demonstrate that EE had a positive correlation with the direct determinants of EI. In addition, EE predicted all the immediate determinants of EI, except for subjective norms. Lastly, there was no evidence to support a direct predictive effect of EE on EI, controlling for other psychological factors. To a large extent, the results validated the Theory of Planned Behavior as a guiding tool for estimating any premeditated entrepreneurial behavior. Thus, the Theory remains an invaluable theoretical lens for academics, educators and policymakers' evaluation of effective ways of enhancing the grooming of potential entrepreneurs.","author":[{"dropping-particle":"","family":"Ndofirepi","given":"Takawira Munyaradzi","non-dropping-particle":"","parse-names":false,"suffix":""},{"dropping-particle":"","family":"Rambe","given":"Patient","non-dropping-particle":"","parse-names":false,"suffix":""}],"container-title":"Problems and Perspectives in Management","id":"ITEM-1","issued":{"date-parts":[["2017"]]},"title":"Entrepreneurship education and its impact on the entrepreneurship career intentions of vocational education students","type":"article-journal"},"uris":["http://www.mendeley.com/documents/?uuid=57f079bc-e781-415f-b482-6e809fe4cc81"]}],"mendeley":{"formattedCitation":"[11]","plainTextFormattedCitation":"[11]"},"properties":{"noteIndex":0},"schema":"https://github.com/citation-style-language/schema/raw/master/csl-citation.json"}</w:instrText>
      </w:r>
      <w:r w:rsidR="007C4528">
        <w:rPr>
          <w:rFonts w:cs="Times"/>
          <w:b w:val="0"/>
          <w:iCs w:val="0"/>
          <w:color w:val="auto"/>
          <w:szCs w:val="24"/>
          <w:lang w:val="en-US"/>
        </w:rPr>
        <w:fldChar w:fldCharType="separate"/>
      </w:r>
      <w:r w:rsidRPr="007C4528" w:rsidR="007C4528">
        <w:rPr>
          <w:rFonts w:cs="Times"/>
          <w:b w:val="0"/>
          <w:iCs w:val="0"/>
          <w:noProof/>
          <w:color w:val="auto"/>
          <w:szCs w:val="24"/>
          <w:lang w:val="en-US"/>
        </w:rPr>
        <w:t>[11]</w:t>
      </w:r>
      <w:r w:rsidR="007C4528">
        <w:rPr>
          <w:rFonts w:cs="Times"/>
          <w:b w:val="0"/>
          <w:iCs w:val="0"/>
          <w:color w:val="auto"/>
          <w:szCs w:val="24"/>
          <w:lang w:val="en-US"/>
        </w:rPr>
        <w:fldChar w:fldCharType="end"/>
      </w:r>
      <w:r w:rsidR="007C4528">
        <w:rPr>
          <w:rFonts w:cs="Times"/>
          <w:b w:val="0"/>
          <w:iCs w:val="0"/>
          <w:color w:val="auto"/>
          <w:szCs w:val="24"/>
          <w:lang w:val="en-US"/>
        </w:rPr>
        <w:t xml:space="preserve"> </w:t>
      </w:r>
      <w:r w:rsidRPr="00760B91">
        <w:rPr>
          <w:rFonts w:cs="Times"/>
          <w:b w:val="0"/>
          <w:iCs w:val="0"/>
          <w:color w:val="auto"/>
          <w:szCs w:val="24"/>
          <w:lang w:val="en-US"/>
        </w:rPr>
        <w:t>showed that EE did not affect EI. However, there is still little research linking TTF and EE into TPB in the entrepreneurial field. The incorporation of EE and TTF variables into the TPB model is very important because it can increase student entrepreneurship intention. Thus the novelty of this research is to offer a conceptual model as well as empirical evidence, a new model namely the Theory of Planned Behavior (TPB) with the addition of EE and TTF. Therefore</w:t>
      </w:r>
      <w:r>
        <w:rPr>
          <w:rFonts w:cs="Times"/>
          <w:b w:val="0"/>
          <w:iCs w:val="0"/>
          <w:color w:val="auto"/>
          <w:szCs w:val="24"/>
          <w:lang w:val="en-US"/>
        </w:rPr>
        <w:t>,</w:t>
      </w:r>
      <w:r w:rsidRPr="00760B91">
        <w:rPr>
          <w:rFonts w:cs="Times"/>
          <w:b w:val="0"/>
          <w:iCs w:val="0"/>
          <w:color w:val="auto"/>
          <w:szCs w:val="24"/>
          <w:lang w:val="en-US"/>
        </w:rPr>
        <w:t xml:space="preserve"> the research problem is formulated as follows how the effects of TTF and EE together are integrated with the three antecedent variables of the TPB on student EI?</w:t>
      </w:r>
      <w:r>
        <w:rPr>
          <w:rFonts w:cs="Times"/>
          <w:b w:val="0"/>
          <w:iCs w:val="0"/>
          <w:color w:val="auto"/>
          <w:szCs w:val="24"/>
          <w:lang w:val="en-US"/>
        </w:rPr>
        <w:t xml:space="preserve"> </w:t>
      </w:r>
      <w:r w:rsidRPr="0029469B">
        <w:rPr>
          <w:rStyle w:val="jlqj4b"/>
          <w:b w:val="0"/>
          <w:lang w:val="en"/>
        </w:rPr>
        <w:t>Thus there are three hypotheses in this study, namely:</w:t>
      </w:r>
    </w:p>
    <w:p w:rsidR="0029469B" w:rsidRPr="001D7320" w:rsidP="0029469B" w14:paraId="603AF72D" w14:textId="77777777">
      <w:pPr>
        <w:ind w:left="851"/>
        <w:rPr>
          <w:iCs/>
          <w:lang w:val="en-US"/>
        </w:rPr>
      </w:pPr>
      <w:r w:rsidRPr="001D7320">
        <w:rPr>
          <w:iCs/>
          <w:lang w:val="en-US"/>
        </w:rPr>
        <w:t>H1: entrepreneurship education has an impact on students' entrepreneurship intention</w:t>
      </w:r>
    </w:p>
    <w:p w:rsidR="0029469B" w:rsidP="0029469B" w14:paraId="51295FD9" w14:textId="77777777">
      <w:pPr>
        <w:ind w:left="851"/>
        <w:jc w:val="both"/>
        <w:rPr>
          <w:iCs/>
          <w:szCs w:val="22"/>
          <w:lang w:val="en-US"/>
        </w:rPr>
      </w:pPr>
      <w:r w:rsidRPr="0075562C">
        <w:rPr>
          <w:iCs/>
          <w:szCs w:val="22"/>
          <w:lang w:val="en-US"/>
        </w:rPr>
        <w:t>H</w:t>
      </w:r>
      <w:r>
        <w:rPr>
          <w:iCs/>
          <w:szCs w:val="22"/>
          <w:lang w:val="en-US"/>
        </w:rPr>
        <w:t>2</w:t>
      </w:r>
      <w:r w:rsidRPr="0075562C">
        <w:rPr>
          <w:iCs/>
          <w:szCs w:val="22"/>
          <w:lang w:val="en-US"/>
        </w:rPr>
        <w:t>: task technology fit have an impact on students' entrepreneurship intention</w:t>
      </w:r>
    </w:p>
    <w:p w:rsidR="0029469B" w:rsidRPr="0075562C" w:rsidP="0029469B" w14:paraId="3B4EF441" w14:textId="77777777">
      <w:pPr>
        <w:ind w:left="851"/>
        <w:jc w:val="both"/>
        <w:rPr>
          <w:iCs/>
          <w:szCs w:val="22"/>
          <w:lang w:val="en-US"/>
        </w:rPr>
      </w:pPr>
      <w:r w:rsidRPr="0075562C">
        <w:rPr>
          <w:iCs/>
          <w:szCs w:val="22"/>
          <w:lang w:val="en-US"/>
        </w:rPr>
        <w:t>H</w:t>
      </w:r>
      <w:r>
        <w:rPr>
          <w:iCs/>
          <w:szCs w:val="22"/>
          <w:lang w:val="en-US"/>
        </w:rPr>
        <w:t>3a</w:t>
      </w:r>
      <w:r w:rsidRPr="0075562C">
        <w:rPr>
          <w:iCs/>
          <w:szCs w:val="22"/>
          <w:lang w:val="en-US"/>
        </w:rPr>
        <w:t xml:space="preserve">: attitude toward entrepreneurship have an impact on students' entrepreneurship intention </w:t>
      </w:r>
    </w:p>
    <w:p w:rsidR="0029469B" w:rsidRPr="0075562C" w:rsidP="0029469B" w14:paraId="5EFD3515" w14:textId="77777777">
      <w:pPr>
        <w:ind w:left="851"/>
        <w:jc w:val="both"/>
        <w:rPr>
          <w:iCs/>
          <w:szCs w:val="22"/>
          <w:lang w:val="en-US"/>
        </w:rPr>
      </w:pPr>
      <w:r w:rsidRPr="0075562C">
        <w:rPr>
          <w:iCs/>
          <w:szCs w:val="22"/>
          <w:lang w:val="en-US"/>
        </w:rPr>
        <w:t>H</w:t>
      </w:r>
      <w:r>
        <w:rPr>
          <w:iCs/>
          <w:szCs w:val="22"/>
          <w:lang w:val="en-US"/>
        </w:rPr>
        <w:t>3b</w:t>
      </w:r>
      <w:r w:rsidRPr="0075562C">
        <w:rPr>
          <w:iCs/>
          <w:szCs w:val="22"/>
          <w:lang w:val="en-US"/>
        </w:rPr>
        <w:t>: subjective norms have an impact on students' entrepreneurship intention</w:t>
      </w:r>
    </w:p>
    <w:p w:rsidR="0029469B" w:rsidP="0029469B" w14:paraId="32EA4DCE" w14:textId="77777777">
      <w:pPr>
        <w:ind w:left="851"/>
        <w:jc w:val="both"/>
        <w:rPr>
          <w:iCs/>
          <w:szCs w:val="22"/>
          <w:lang w:val="en-US"/>
        </w:rPr>
      </w:pPr>
      <w:r w:rsidRPr="0075562C">
        <w:rPr>
          <w:iCs/>
          <w:szCs w:val="22"/>
          <w:lang w:val="en-US"/>
        </w:rPr>
        <w:t>H</w:t>
      </w:r>
      <w:r>
        <w:rPr>
          <w:iCs/>
          <w:szCs w:val="22"/>
          <w:lang w:val="en-US"/>
        </w:rPr>
        <w:t>3c</w:t>
      </w:r>
      <w:r w:rsidRPr="0075562C">
        <w:rPr>
          <w:iCs/>
          <w:szCs w:val="22"/>
          <w:lang w:val="en-US"/>
        </w:rPr>
        <w:t>: perceived behavioral control have an impact on students' entrepreneurship intention</w:t>
      </w:r>
    </w:p>
    <w:p w:rsidR="0029469B" w:rsidRPr="00370B32" w:rsidP="0029469B" w14:paraId="61B7B63E" w14:textId="77777777">
      <w:pPr>
        <w:pStyle w:val="BodytextIndented"/>
      </w:pPr>
      <w:r w:rsidRPr="007D1B26">
        <w:rPr>
          <w:color w:val="auto"/>
        </w:rPr>
        <w:t>This study aims to firstly, fill the knowledge gap for the effect of task technology fit (TTF) and entrepreneurship education (EE) on entrepreneurship intention (EI) by using the theory of planned behavior (TPB) model</w:t>
      </w:r>
      <w:r w:rsidRPr="00370B32">
        <w:t xml:space="preserve">. Secondly is </w:t>
      </w:r>
      <w:r w:rsidRPr="00370B32">
        <w:rPr>
          <w:rFonts w:cs="Times"/>
          <w:iCs w:val="0"/>
          <w:color w:val="auto"/>
        </w:rPr>
        <w:t>to confirm the robustness of the effect of the three antecedent variables of TPB on IE.</w:t>
      </w:r>
    </w:p>
    <w:p w:rsidR="00134880" w:rsidP="00134880" w14:paraId="00694811" w14:textId="77777777">
      <w:pPr>
        <w:pStyle w:val="Section"/>
      </w:pPr>
      <w:r>
        <w:t>Method</w:t>
      </w:r>
    </w:p>
    <w:p w:rsidR="00660FC9" w:rsidRPr="009D6593" w:rsidP="00660FC9" w14:paraId="61FE6E8B" w14:textId="77777777">
      <w:pPr>
        <w:rPr>
          <w:i/>
        </w:rPr>
      </w:pPr>
      <w:r>
        <w:rPr>
          <w:i/>
        </w:rPr>
        <w:t>2</w:t>
      </w:r>
      <w:r w:rsidRPr="009D6593" w:rsidR="009D6593">
        <w:rPr>
          <w:i/>
        </w:rPr>
        <w:t>.1 Desig</w:t>
      </w:r>
      <w:r w:rsidRPr="009D6593">
        <w:rPr>
          <w:i/>
        </w:rPr>
        <w:t xml:space="preserve">n, </w:t>
      </w:r>
      <w:r w:rsidRPr="009D6593" w:rsidR="009D6593">
        <w:rPr>
          <w:i/>
        </w:rPr>
        <w:t>proc</w:t>
      </w:r>
      <w:r w:rsidRPr="009D6593">
        <w:rPr>
          <w:i/>
        </w:rPr>
        <w:t>edur</w:t>
      </w:r>
      <w:r w:rsidR="007B036E">
        <w:rPr>
          <w:i/>
        </w:rPr>
        <w:t>e</w:t>
      </w:r>
      <w:r w:rsidRPr="009D6593">
        <w:rPr>
          <w:i/>
        </w:rPr>
        <w:t xml:space="preserve">, </w:t>
      </w:r>
      <w:r w:rsidRPr="009D6593" w:rsidR="009D6593">
        <w:rPr>
          <w:i/>
        </w:rPr>
        <w:t>and</w:t>
      </w:r>
      <w:r w:rsidRPr="009D6593">
        <w:rPr>
          <w:i/>
        </w:rPr>
        <w:t xml:space="preserve"> </w:t>
      </w:r>
      <w:r w:rsidRPr="009D6593" w:rsidR="009D6593">
        <w:rPr>
          <w:i/>
        </w:rPr>
        <w:t>data collection</w:t>
      </w:r>
    </w:p>
    <w:p w:rsidR="00D63543" w:rsidP="001A4562" w14:paraId="78E3B771" w14:textId="77777777">
      <w:pPr>
        <w:jc w:val="both"/>
      </w:pPr>
      <w:r>
        <w:t>This research design is in the form of quantitative research. The procedure for a sampling of respondents using a questionnaire</w:t>
      </w:r>
      <w:r w:rsidR="005C02EC">
        <w:t xml:space="preserve"> as a data collection tool</w:t>
      </w:r>
      <w:r>
        <w:t xml:space="preserve">. The Slovin technique with the formula n = N ÷ (1 + Ne2) is used to determine the number of samples to be respondents. Based on Slovin calculations, there were 386 students as nascent entrepreneurship </w:t>
      </w:r>
      <w:r w:rsidR="005C02EC">
        <w:t>taken</w:t>
      </w:r>
      <w:r>
        <w:t xml:space="preserve"> from one of the favorite national private universities in Yogyakarta with a population of 11,000 students (e = 5%).</w:t>
      </w:r>
    </w:p>
    <w:p w:rsidR="009D6593" w:rsidP="001A4562" w14:paraId="53015652" w14:textId="77777777">
      <w:pPr>
        <w:ind w:firstLine="284"/>
        <w:jc w:val="both"/>
      </w:pPr>
      <w:r>
        <w:t xml:space="preserve">Furthermore, from 386 respondents only 218 students participated in filling out the questionnaire (response rate </w:t>
      </w:r>
      <w:r w:rsidR="005C02EC">
        <w:t>of</w:t>
      </w:r>
      <w:r>
        <w:t xml:space="preserve"> 56.47%) which consisted of 147 male students and 66 female students. Respondents participated in filling out questionnaires through the MS Form via the link bit.ly/36ksf6u which were distributed in online classes at 6 faculties that have classes in entrepreneurship courses or those related to entrepreneurship. Questionnaires were distributed for the last two weeks in September 2020. Furthermore, only 213 data were analyzed further because there were 4 redundant data and 1 invalid data.</w:t>
      </w:r>
    </w:p>
    <w:p w:rsidR="00D63543" w:rsidP="00D63543" w14:paraId="755973C2" w14:textId="77777777">
      <w:pPr>
        <w:ind w:firstLine="284"/>
      </w:pPr>
    </w:p>
    <w:p w:rsidR="003A7496" w:rsidRPr="007B036E" w:rsidP="007472E0" w14:paraId="03BACFDE" w14:textId="77777777">
      <w:pPr>
        <w:rPr>
          <w:i/>
        </w:rPr>
      </w:pPr>
      <w:r>
        <w:rPr>
          <w:i/>
        </w:rPr>
        <w:t>2</w:t>
      </w:r>
      <w:r w:rsidRPr="007B036E">
        <w:rPr>
          <w:i/>
        </w:rPr>
        <w:t xml:space="preserve">.2 </w:t>
      </w:r>
      <w:r w:rsidRPr="007B036E" w:rsidR="007B036E">
        <w:rPr>
          <w:i/>
        </w:rPr>
        <w:t>Dimension of v</w:t>
      </w:r>
      <w:r w:rsidRPr="007B036E">
        <w:rPr>
          <w:i/>
        </w:rPr>
        <w:t>ariabl</w:t>
      </w:r>
      <w:r w:rsidRPr="007B036E" w:rsidR="007B036E">
        <w:rPr>
          <w:i/>
        </w:rPr>
        <w:t>es</w:t>
      </w:r>
      <w:r w:rsidRPr="007B036E">
        <w:rPr>
          <w:i/>
        </w:rPr>
        <w:t xml:space="preserve"> </w:t>
      </w:r>
      <w:r w:rsidRPr="007B036E" w:rsidR="007B036E">
        <w:rPr>
          <w:i/>
        </w:rPr>
        <w:t>and</w:t>
      </w:r>
      <w:r w:rsidRPr="007B036E">
        <w:rPr>
          <w:i/>
        </w:rPr>
        <w:t xml:space="preserve"> </w:t>
      </w:r>
      <w:r w:rsidRPr="007B036E" w:rsidR="003E3F04">
        <w:rPr>
          <w:i/>
        </w:rPr>
        <w:t>scaling</w:t>
      </w:r>
    </w:p>
    <w:p w:rsidR="006C376D" w:rsidP="007B036E" w14:paraId="30C52AD3" w14:textId="0132649A">
      <w:pPr>
        <w:pStyle w:val="BodytextIndented"/>
        <w:ind w:firstLine="0"/>
        <w:rPr>
          <w:iCs w:val="0"/>
          <w:color w:val="auto"/>
          <w:szCs w:val="20"/>
          <w:lang w:val="en-GB"/>
        </w:rPr>
      </w:pPr>
      <w:r w:rsidRPr="004A3CCE">
        <w:rPr>
          <w:iCs w:val="0"/>
          <w:color w:val="auto"/>
          <w:szCs w:val="20"/>
          <w:lang w:val="en-GB"/>
        </w:rPr>
        <w:t>The six research variables consisted of 52 statements measured using five Likert scales. The EI variable has two dimensions, namely immediate term intention and future intention</w:t>
      </w:r>
      <w:r w:rsidR="0035090B">
        <w:rPr>
          <w:iCs w:val="0"/>
          <w:color w:val="auto"/>
          <w:szCs w:val="20"/>
          <w:lang w:val="en-GB"/>
        </w:rPr>
        <w:t xml:space="preserve"> </w:t>
      </w:r>
      <w:r w:rsidR="0035090B">
        <w:rPr>
          <w:iCs w:val="0"/>
          <w:color w:val="auto"/>
          <w:szCs w:val="20"/>
          <w:lang w:val="en-GB"/>
        </w:rPr>
        <w:fldChar w:fldCharType="begin" w:fldLock="1"/>
      </w:r>
      <w:r w:rsidR="007C4528">
        <w:rPr>
          <w:iCs w:val="0"/>
          <w:color w:val="auto"/>
          <w:szCs w:val="20"/>
          <w:lang w:val="en-GB"/>
        </w:rPr>
        <w:instrText>ADDIN CSL_CITATION {"citationItems":[{"id":"ITEM-1","itemData":{"DOI":"10.5171/2016.792385","author":[{"dropping-particle":"","family":"Kim-soon","given":"Ng","non-dropping-particle":"","parse-names":false,"suffix":""},{"dropping-particle":"","family":"Ahmad","given":"Abd Rahman","non-dropping-particle":"","parse-names":false,"suffix":""},{"dropping-particle":"","family":"Ibrahim","given":"Nurul Nadia","non-dropping-particle":"","parse-names":false,"suffix":""}],"id":"ITEM-1","issued":{"date-parts":[["2016"]]},"title":"Theory of Planned Behavior : Undergraduates ’ Entrepreneurial Motivation and Entrepreneurship Career Intention at a Public","type":"article-journal","volume":"2016"},"uris":["http://www.mendeley.com/documents/?uuid=15dc0af8-4912-4b4b-9e86-5a42b366371b"]}],"mendeley":{"formattedCitation":"[12]","plainTextFormattedCitation":"[12]","previouslyFormattedCitation":"[11]"},"properties":{"noteIndex":0},"schema":"https://github.com/citation-style-language/schema/raw/master/csl-citation.json"}</w:instrText>
      </w:r>
      <w:r w:rsidR="0035090B">
        <w:rPr>
          <w:iCs w:val="0"/>
          <w:color w:val="auto"/>
          <w:szCs w:val="20"/>
          <w:lang w:val="en-GB"/>
        </w:rPr>
        <w:fldChar w:fldCharType="separate"/>
      </w:r>
      <w:r w:rsidRPr="007C4528" w:rsidR="007C4528">
        <w:rPr>
          <w:iCs w:val="0"/>
          <w:noProof/>
          <w:color w:val="auto"/>
          <w:szCs w:val="20"/>
          <w:lang w:val="en-GB"/>
        </w:rPr>
        <w:t>[12]</w:t>
      </w:r>
      <w:r w:rsidR="0035090B">
        <w:rPr>
          <w:iCs w:val="0"/>
          <w:color w:val="auto"/>
          <w:szCs w:val="20"/>
          <w:lang w:val="en-GB"/>
        </w:rPr>
        <w:fldChar w:fldCharType="end"/>
      </w:r>
      <w:r w:rsidRPr="004A3CCE">
        <w:rPr>
          <w:iCs w:val="0"/>
          <w:color w:val="auto"/>
          <w:szCs w:val="20"/>
          <w:lang w:val="en-GB"/>
        </w:rPr>
        <w:t>. Then the ATE variable has the dimensions of autonomy, self-realization, economic opportunity, challenge, authority, and participation in the whole process</w:t>
      </w:r>
      <w:r w:rsidR="0035090B">
        <w:rPr>
          <w:iCs w:val="0"/>
          <w:color w:val="auto"/>
          <w:szCs w:val="20"/>
          <w:lang w:val="en-GB"/>
        </w:rPr>
        <w:t xml:space="preserve"> </w:t>
      </w:r>
      <w:r w:rsidR="0035090B">
        <w:rPr>
          <w:iCs w:val="0"/>
          <w:color w:val="auto"/>
          <w:szCs w:val="20"/>
          <w:lang w:val="en-GB"/>
        </w:rPr>
        <w:fldChar w:fldCharType="begin" w:fldLock="1"/>
      </w:r>
      <w:r w:rsidR="007C4528">
        <w:rPr>
          <w:iCs w:val="0"/>
          <w:color w:val="auto"/>
          <w:szCs w:val="20"/>
          <w:lang w:val="en-GB"/>
        </w:rPr>
        <w:instrText>ADDIN CSL_CITATION {"citationItems":[{"id":"ITEM-1","itemData":{"DOI":"10.1016/j.ijme.2019.100327","ISSN":"14728117","abstract":"This paper develops and tests a model of pathways between participation in entrepreneurship education programmes (EEPs) and entrepreneurial intention. EEPs are degree programmes designed to provide mastery and experience over several years of academic study. Structural equation modelling on survey data gathered from 348 graduating students from eight universities in Pakistan showed how three EEP components (learning, inspiration and resources) influence intention: learning and inspiration activities both increase perceived norms for being an entrepreneur and students' perceptions that they can be entrepreneurs (perceived control). Access to incubation resources had the strongest effect on intention by increasing perceived norms which in turn increases positive attitudes and perceived control. These findings provide insight into the conclusions drawn from previous studies by showing how positive student experience across different components of entrepreneurship programme have a positive impact on students’ intentions to start their own business.","author":[{"dropping-particle":"","family":"Ahmed","given":"Tariq","non-dropping-particle":"","parse-names":false,"suffix":""},{"dropping-particle":"","family":"Chandran","given":"V. G.R.","non-dropping-particle":"","parse-names":false,"suffix":""},{"dropping-particle":"","family":"Klobas","given":"Jane E.","non-dropping-particle":"","parse-names":false,"suffix":""},{"dropping-particle":"","family":"Liñán","given":"Francisco","non-dropping-particle":"","parse-names":false,"suffix":""},{"dropping-particle":"","family":"Kokkalis","given":"Panagiotis","non-dropping-particle":"","parse-names":false,"suffix":""}],"container-title":"International Journal of Management Education","id":"ITEM-1","issue":"1","issued":{"date-parts":[["2020"]]},"page":"100327","publisher":"Elsevier","title":"Entrepreneurship education programmes: How learning, inspiration and resources affect intentions for new venture creation in a developing economy","type":"article-journal","volume":"18"},"uris":["http://www.mendeley.com/documents/?uuid=37cc4f97-8266-4b9d-8c3c-ea89b9aba057"]}],"mendeley":{"formattedCitation":"[8]","plainTextFormattedCitation":"[8]","previouslyFormattedCitation":"[8]"},"properties":{"noteIndex":0},"schema":"https://github.com/citation-style-language/schema/raw/master/csl-citation.json"}</w:instrText>
      </w:r>
      <w:r w:rsidR="0035090B">
        <w:rPr>
          <w:iCs w:val="0"/>
          <w:color w:val="auto"/>
          <w:szCs w:val="20"/>
          <w:lang w:val="en-GB"/>
        </w:rPr>
        <w:fldChar w:fldCharType="separate"/>
      </w:r>
      <w:r w:rsidRPr="007C4528" w:rsidR="007C4528">
        <w:rPr>
          <w:iCs w:val="0"/>
          <w:noProof/>
          <w:color w:val="auto"/>
          <w:szCs w:val="20"/>
          <w:lang w:val="en-GB"/>
        </w:rPr>
        <w:t>[8]</w:t>
      </w:r>
      <w:r w:rsidR="0035090B">
        <w:rPr>
          <w:iCs w:val="0"/>
          <w:color w:val="auto"/>
          <w:szCs w:val="20"/>
          <w:lang w:val="en-GB"/>
        </w:rPr>
        <w:fldChar w:fldCharType="end"/>
      </w:r>
      <w:r w:rsidRPr="004A3CCE">
        <w:rPr>
          <w:iCs w:val="0"/>
          <w:color w:val="auto"/>
          <w:szCs w:val="20"/>
          <w:lang w:val="en-GB"/>
        </w:rPr>
        <w:t xml:space="preserve">. While the SN dimensions are family members, friends, and the local business community </w:t>
      </w:r>
      <w:r w:rsidR="0035090B">
        <w:rPr>
          <w:iCs w:val="0"/>
          <w:color w:val="auto"/>
          <w:szCs w:val="20"/>
          <w:lang w:val="en-GB"/>
        </w:rPr>
        <w:fldChar w:fldCharType="begin" w:fldLock="1"/>
      </w:r>
      <w:r w:rsidR="007C4528">
        <w:rPr>
          <w:iCs w:val="0"/>
          <w:color w:val="auto"/>
          <w:szCs w:val="20"/>
          <w:lang w:val="en-GB"/>
        </w:rPr>
        <w:instrText>ADDIN CSL_CITATION {"citationItems":[{"id":"ITEM-1","itemData":{"DOI":"10.1016/j.ijme.2019.100327","ISSN":"14728117","abstract":"This paper develops and tests a model of pathways between participation in entrepreneurship education programmes (EEPs) and entrepreneurial intention. EEPs are degree programmes designed to provide mastery and experience over several years of academic study. Structural equation modelling on survey data gathered from 348 graduating students from eight universities in Pakistan showed how three EEP components (learning, inspiration and resources) influence intention: learning and inspiration activities both increase perceived norms for being an entrepreneur and students' perceptions that they can be entrepreneurs (perceived control). Access to incubation resources had the strongest effect on intention by increasing perceived norms which in turn increases positive attitudes and perceived control. These findings provide insight into the conclusions drawn from previous studies by showing how positive student experience across different components of entrepreneurship programme have a positive impact on students’ intentions to start their own business.","author":[{"dropping-particle":"","family":"Ahmed","given":"Tariq","non-dropping-particle":"","parse-names":false,"suffix":""},{"dropping-particle":"","family":"Chandran","given":"V. G.R.","non-dropping-particle":"","parse-names":false,"suffix":""},{"dropping-particle":"","family":"Klobas","given":"Jane E.","non-dropping-particle":"","parse-names":false,"suffix":""},{"dropping-particle":"","family":"Liñán","given":"Francisco","non-dropping-particle":"","parse-names":false,"suffix":""},{"dropping-particle":"","family":"Kokkalis","given":"Panagiotis","non-dropping-particle":"","parse-names":false,"suffix":""}],"container-title":"International Journal of Management Education","id":"ITEM-1","issue":"1","issued":{"date-parts":[["2020"]]},"page":"100327","publisher":"Elsevier","title":"Entrepreneurship education programmes: How learning, inspiration and resources affect intentions for new venture creation in a developing economy","type":"article-journal","volume":"18"},"uris":["http://www.mendeley.com/documents/?uuid=37cc4f97-8266-4b9d-8c3c-ea89b9aba057"]}],"mendeley":{"formattedCitation":"[8]","plainTextFormattedCitation":"[8]","previouslyFormattedCitation":"[8]"},"properties":{"noteIndex":0},"schema":"https://github.com/citation-style-language/schema/raw/master/csl-citation.json"}</w:instrText>
      </w:r>
      <w:r w:rsidR="0035090B">
        <w:rPr>
          <w:iCs w:val="0"/>
          <w:color w:val="auto"/>
          <w:szCs w:val="20"/>
          <w:lang w:val="en-GB"/>
        </w:rPr>
        <w:fldChar w:fldCharType="separate"/>
      </w:r>
      <w:r w:rsidRPr="007C4528" w:rsidR="007C4528">
        <w:rPr>
          <w:iCs w:val="0"/>
          <w:noProof/>
          <w:color w:val="auto"/>
          <w:szCs w:val="20"/>
          <w:lang w:val="en-GB"/>
        </w:rPr>
        <w:t>[8]</w:t>
      </w:r>
      <w:r w:rsidR="0035090B">
        <w:rPr>
          <w:iCs w:val="0"/>
          <w:color w:val="auto"/>
          <w:szCs w:val="20"/>
          <w:lang w:val="en-GB"/>
        </w:rPr>
        <w:fldChar w:fldCharType="end"/>
      </w:r>
      <w:r w:rsidRPr="004A3CCE">
        <w:rPr>
          <w:iCs w:val="0"/>
          <w:color w:val="auto"/>
          <w:szCs w:val="20"/>
          <w:lang w:val="en-GB"/>
        </w:rPr>
        <w:t xml:space="preserve">. Next, the PBC variable has an internal control dimension, powerful other, and chance </w:t>
      </w:r>
      <w:r w:rsidR="0035090B">
        <w:rPr>
          <w:iCs w:val="0"/>
          <w:color w:val="auto"/>
          <w:szCs w:val="20"/>
          <w:lang w:val="en-GB"/>
        </w:rPr>
        <w:fldChar w:fldCharType="begin" w:fldLock="1"/>
      </w:r>
      <w:r w:rsidR="007C4528">
        <w:rPr>
          <w:iCs w:val="0"/>
          <w:color w:val="auto"/>
          <w:szCs w:val="20"/>
          <w:lang w:val="en-GB"/>
        </w:rPr>
        <w:instrText>ADDIN CSL_CITATION {"citationItems":[{"id":"ITEM-1","itemData":{"DOI":"10.1016/j.chb.2020.106275","ISSN":"07475632","abstract":"Entrepreneurship has played an essential role in economic prosperity and social stability of many developed countries. India has the highest percentage of young population in the world and faces massive challenges with its high levels of unemployment among the youth. The unemployment scenario primarily due to lack of skill and entrepreneurial awareness among youth. The objectives of this study were to (1) examine the cognitive, affective, and behavioural components of students’ attitude towards entrepreneurship education in Indian universities/colleges, (2) measuring the impact of students' attitude towards entrepreneurship education on entrepreneurial intention (3) examine the role of control variables (e.g. gender and entrepreneurial family background), on the relationship between attitude towards entrepreneurship education and entrepreneurial intention. The respondents were students from different business management colleges/universities in central India. Purposive sampling technique was used in the selection of the colleges/universities, while simple random sampling was employed in the selection of the respondents. Data from five hundred nine filled questionnaire were analysed using ‘R Programing Language’ to obtain the results. The results showed a significant positive impact of attitude towards entrepreneurship education on entrepreneurial intention.","author":[{"dropping-particle":"","family":"Jena","given":"R. K.","non-dropping-particle":"","parse-names":false,"suffix":""}],"container-title":"Computers in Human Behavior","id":"ITEM-1","issue":"January","issued":{"date-parts":[["2020"]]},"page":"106275","publisher":"Elsevier Ltd","title":"Measuring the impact of business management Student's attitude towards entrepreneurship education on entrepreneurial intention: A case study","type":"article-journal","volume":"107"},"uris":["http://www.mendeley.com/documents/?uuid=00479c30-b648-4c0b-8c69-ec09437e85eb"]}],"mendeley":{"formattedCitation":"[13]","plainTextFormattedCitation":"[13]","previouslyFormattedCitation":"[12]"},"properties":{"noteIndex":0},"schema":"https://github.com/citation-style-language/schema/raw/master/csl-citation.json"}</w:instrText>
      </w:r>
      <w:r w:rsidR="0035090B">
        <w:rPr>
          <w:iCs w:val="0"/>
          <w:color w:val="auto"/>
          <w:szCs w:val="20"/>
          <w:lang w:val="en-GB"/>
        </w:rPr>
        <w:fldChar w:fldCharType="separate"/>
      </w:r>
      <w:r w:rsidRPr="007C4528" w:rsidR="007C4528">
        <w:rPr>
          <w:iCs w:val="0"/>
          <w:noProof/>
          <w:color w:val="auto"/>
          <w:szCs w:val="20"/>
          <w:lang w:val="en-GB"/>
        </w:rPr>
        <w:t>[13]</w:t>
      </w:r>
      <w:r w:rsidR="0035090B">
        <w:rPr>
          <w:iCs w:val="0"/>
          <w:color w:val="auto"/>
          <w:szCs w:val="20"/>
          <w:lang w:val="en-GB"/>
        </w:rPr>
        <w:fldChar w:fldCharType="end"/>
      </w:r>
      <w:r w:rsidRPr="004A3CCE">
        <w:rPr>
          <w:iCs w:val="0"/>
          <w:color w:val="auto"/>
          <w:szCs w:val="20"/>
          <w:lang w:val="en-GB"/>
        </w:rPr>
        <w:t>. Then, there are three dimensions of EE, namely cognitive component, attitude compo</w:t>
      </w:r>
      <w:r w:rsidR="0035090B">
        <w:rPr>
          <w:iCs w:val="0"/>
          <w:color w:val="auto"/>
          <w:szCs w:val="20"/>
          <w:lang w:val="en-GB"/>
        </w:rPr>
        <w:t xml:space="preserve">nent, and behavioral component </w:t>
      </w:r>
      <w:r w:rsidR="0035090B">
        <w:rPr>
          <w:iCs w:val="0"/>
          <w:color w:val="auto"/>
          <w:szCs w:val="20"/>
          <w:lang w:val="en-GB"/>
        </w:rPr>
        <w:fldChar w:fldCharType="begin" w:fldLock="1"/>
      </w:r>
      <w:r w:rsidR="007C4528">
        <w:rPr>
          <w:iCs w:val="0"/>
          <w:color w:val="auto"/>
          <w:szCs w:val="20"/>
          <w:lang w:val="en-GB"/>
        </w:rPr>
        <w:instrText>ADDIN CSL_CITATION {"citationItems":[{"id":"ITEM-1","itemData":{"DOI":"10.1016/j.chb.2020.106275","ISSN":"07475632","abstract":"Entrepreneurship has played an essential role in economic prosperity and social stability of many developed countries. India has the highest percentage of young population in the world and faces massive challenges with its high levels of unemployment among the youth. The unemployment scenario primarily due to lack of skill and entrepreneurial awareness among youth. The objectives of this study were to (1) examine the cognitive, affective, and behavioural components of students’ attitude towards entrepreneurship education in Indian universities/colleges, (2) measuring the impact of students' attitude towards entrepreneurship education on entrepreneurial intention (3) examine the role of control variables (e.g. gender and entrepreneurial family background), on the relationship between attitude towards entrepreneurship education and entrepreneurial intention. The respondents were students from different business management colleges/universities in central India. Purposive sampling technique was used in the selection of the colleges/universities, while simple random sampling was employed in the selection of the respondents. Data from five hundred nine filled questionnaire were analysed using ‘R Programing Language’ to obtain the results. The results showed a significant positive impact of attitude towards entrepreneurship education on entrepreneurial intention.","author":[{"dropping-particle":"","family":"Jena","given":"R. K.","non-dropping-particle":"","parse-names":false,"suffix":""}],"container-title":"Computers in Human Behavior","id":"ITEM-1","issue":"January","issued":{"date-parts":[["2020"]]},"page":"106275","publisher":"Elsevier Ltd","title":"Measuring the impact of business management Student's attitude towards entrepreneurship education on entrepreneurial intention: A case study","type":"article-journal","volume":"107"},"uris":["http://www.mendeley.com/documents/?uuid=00479c30-b648-4c0b-8c69-ec09437e85eb"]}],"mendeley":{"formattedCitation":"[13]","plainTextFormattedCitation":"[13]","previouslyFormattedCitation":"[12]"},"properties":{"noteIndex":0},"schema":"https://github.com/citation-style-language/schema/raw/master/csl-citation.json"}</w:instrText>
      </w:r>
      <w:r w:rsidR="0035090B">
        <w:rPr>
          <w:iCs w:val="0"/>
          <w:color w:val="auto"/>
          <w:szCs w:val="20"/>
          <w:lang w:val="en-GB"/>
        </w:rPr>
        <w:fldChar w:fldCharType="separate"/>
      </w:r>
      <w:r w:rsidRPr="007C4528" w:rsidR="007C4528">
        <w:rPr>
          <w:iCs w:val="0"/>
          <w:noProof/>
          <w:color w:val="auto"/>
          <w:szCs w:val="20"/>
          <w:lang w:val="en-GB"/>
        </w:rPr>
        <w:t>[13]</w:t>
      </w:r>
      <w:r w:rsidR="0035090B">
        <w:rPr>
          <w:iCs w:val="0"/>
          <w:color w:val="auto"/>
          <w:szCs w:val="20"/>
          <w:lang w:val="en-GB"/>
        </w:rPr>
        <w:fldChar w:fldCharType="end"/>
      </w:r>
      <w:r w:rsidRPr="004A3CCE">
        <w:rPr>
          <w:iCs w:val="0"/>
          <w:color w:val="auto"/>
          <w:szCs w:val="20"/>
          <w:lang w:val="en-GB"/>
        </w:rPr>
        <w:t>. Finally, TTF has the dimensions of fit with tasks, necessary to do a task and meet tasks need.</w:t>
      </w:r>
    </w:p>
    <w:p w:rsidR="0088732D" w:rsidP="0088732D" w14:paraId="1708BCD1" w14:textId="77777777">
      <w:pPr>
        <w:pStyle w:val="BodytextIndented"/>
        <w:ind w:firstLine="0"/>
        <w:rPr>
          <w:lang w:val="en-GB"/>
        </w:rPr>
      </w:pPr>
    </w:p>
    <w:p w:rsidR="00E21983" w:rsidRPr="009C2A58" w:rsidP="0088732D" w14:paraId="45406170" w14:textId="77777777">
      <w:pPr>
        <w:pStyle w:val="BodytextIndented"/>
        <w:numPr>
          <w:ilvl w:val="1"/>
          <w:numId w:val="21"/>
        </w:numPr>
        <w:rPr>
          <w:i/>
          <w:lang w:val="en-GB"/>
        </w:rPr>
      </w:pPr>
      <w:r>
        <w:rPr>
          <w:i/>
          <w:lang w:val="en-GB"/>
        </w:rPr>
        <w:t>Data</w:t>
      </w:r>
      <w:r w:rsidR="00392C85">
        <w:rPr>
          <w:i/>
          <w:lang w:val="en-GB"/>
        </w:rPr>
        <w:t xml:space="preserve"> </w:t>
      </w:r>
      <w:r w:rsidR="00BD759A">
        <w:rPr>
          <w:i/>
          <w:lang w:val="en-GB"/>
        </w:rPr>
        <w:t xml:space="preserve">test and </w:t>
      </w:r>
      <w:r w:rsidR="00392C85">
        <w:rPr>
          <w:i/>
          <w:lang w:val="en-GB"/>
        </w:rPr>
        <w:t>a</w:t>
      </w:r>
      <w:r w:rsidRPr="009C2A58" w:rsidR="009C2A58">
        <w:rPr>
          <w:i/>
          <w:lang w:val="en-GB"/>
        </w:rPr>
        <w:t>nalysis</w:t>
      </w:r>
    </w:p>
    <w:p w:rsidR="00AF1C2F" w:rsidP="003577AA" w14:paraId="35259C90" w14:textId="33D7CA92">
      <w:pPr>
        <w:pStyle w:val="Bodytext"/>
        <w:rPr>
          <w:lang w:val="en-GB"/>
        </w:rPr>
      </w:pPr>
      <w:r w:rsidRPr="004A3CCE">
        <w:rPr>
          <w:lang w:val="en-GB"/>
        </w:rPr>
        <w:t>The results</w:t>
      </w:r>
      <w:r w:rsidR="006C22B9">
        <w:rPr>
          <w:lang w:val="en-GB"/>
        </w:rPr>
        <w:t xml:space="preserve"> </w:t>
      </w:r>
      <w:r w:rsidRPr="004A3CCE">
        <w:rPr>
          <w:lang w:val="en-GB"/>
        </w:rPr>
        <w:t xml:space="preserve">of the validity and reliability test of each variable </w:t>
      </w:r>
      <w:r w:rsidR="006C22B9">
        <w:rPr>
          <w:lang w:val="en-GB"/>
        </w:rPr>
        <w:t xml:space="preserve">(in table 1) </w:t>
      </w:r>
      <w:r w:rsidRPr="004A3CCE">
        <w:rPr>
          <w:lang w:val="en-GB"/>
        </w:rPr>
        <w:t>using SPSS 17.0 software</w:t>
      </w:r>
      <w:r w:rsidR="00CE167A">
        <w:rPr>
          <w:lang w:val="en-GB"/>
        </w:rPr>
        <w:t xml:space="preserve">. </w:t>
      </w:r>
      <w:r w:rsidRPr="007C4528" w:rsidR="007C4528">
        <w:rPr>
          <w:lang w:val="en-GB"/>
        </w:rPr>
        <w:t xml:space="preserve">The validity of each variable is based on KMO and Barlett's test respectively, namely EE 95.5%; TTF 72.6%; EI 88.4%; ATE 60.1%; SN 74.1% and PBC 74%. Furthermore, the reliability of each variable </w:t>
      </w:r>
      <w:r w:rsidRPr="007C4528" w:rsidR="007C4528">
        <w:rPr>
          <w:lang w:val="en-GB"/>
        </w:rPr>
        <w:t>based on the Cronbach Alpha value is TTF 88%; EE 95.9%; EI 90.3%; ATE 66.4%; SN 92.3%; and PBC 46.6%. To test the hypothesis using multiple regression analysis.</w:t>
      </w:r>
    </w:p>
    <w:p w:rsidR="006C22B9" w:rsidRPr="006C22B9" w:rsidP="006C22B9" w14:paraId="18128879" w14:textId="77777777">
      <w:pPr>
        <w:pStyle w:val="BodytextIndented"/>
        <w:rPr>
          <w:lang w:val="en-GB"/>
        </w:rPr>
      </w:pPr>
    </w:p>
    <w:p w:rsidR="006C22B9" w:rsidP="006C22B9" w14:paraId="0B8140ED" w14:textId="77777777">
      <w:pPr>
        <w:pStyle w:val="BodytextIndented"/>
        <w:ind w:left="360" w:firstLine="0"/>
        <w:jc w:val="center"/>
        <w:rPr>
          <w:lang w:val="en-GB"/>
        </w:rPr>
      </w:pPr>
      <w:r w:rsidRPr="00A27059">
        <w:rPr>
          <w:b/>
          <w:lang w:val="en-GB"/>
        </w:rPr>
        <w:t>Table 1.</w:t>
      </w:r>
      <w:r>
        <w:rPr>
          <w:lang w:val="en-GB"/>
        </w:rPr>
        <w:t xml:space="preserve"> Validity and Reliability Test</w:t>
      </w:r>
    </w:p>
    <w:tbl>
      <w:tblPr>
        <w:tblStyle w:val="TableGrid"/>
        <w:tblW w:w="7087" w:type="dxa"/>
        <w:tblInd w:w="993" w:type="dxa"/>
        <w:tblBorders>
          <w:left w:val="none" w:sz="0" w:space="0" w:color="auto"/>
          <w:right w:val="none" w:sz="0" w:space="0" w:color="auto"/>
          <w:insideH w:val="none" w:sz="0" w:space="0" w:color="auto"/>
          <w:insideV w:val="none" w:sz="0" w:space="0" w:color="auto"/>
        </w:tblBorders>
        <w:tblLook w:val="04A0"/>
      </w:tblPr>
      <w:tblGrid>
        <w:gridCol w:w="1275"/>
        <w:gridCol w:w="3119"/>
        <w:gridCol w:w="2566"/>
        <w:gridCol w:w="127"/>
      </w:tblGrid>
      <w:tr w14:paraId="52EADB7F" w14:textId="77777777" w:rsidTr="0002597C">
        <w:tblPrEx>
          <w:tblW w:w="7087" w:type="dxa"/>
          <w:tblInd w:w="993" w:type="dxa"/>
          <w:tblBorders>
            <w:left w:val="none" w:sz="0" w:space="0" w:color="auto"/>
            <w:right w:val="none" w:sz="0" w:space="0" w:color="auto"/>
            <w:insideH w:val="none" w:sz="0" w:space="0" w:color="auto"/>
            <w:insideV w:val="none" w:sz="0" w:space="0" w:color="auto"/>
          </w:tblBorders>
          <w:tblLook w:val="04A0"/>
        </w:tblPrEx>
        <w:tc>
          <w:tcPr>
            <w:tcW w:w="1275" w:type="dxa"/>
            <w:tcBorders>
              <w:bottom w:val="single" w:sz="4" w:space="0" w:color="auto"/>
            </w:tcBorders>
          </w:tcPr>
          <w:p w:rsidR="006C22B9" w:rsidP="0002597C" w14:paraId="78A48A27" w14:textId="77777777"/>
        </w:tc>
        <w:tc>
          <w:tcPr>
            <w:tcW w:w="3119" w:type="dxa"/>
            <w:tcBorders>
              <w:top w:val="single" w:sz="4" w:space="0" w:color="auto"/>
              <w:bottom w:val="single" w:sz="4" w:space="0" w:color="auto"/>
            </w:tcBorders>
          </w:tcPr>
          <w:p w:rsidR="006C22B9" w:rsidP="0002597C" w14:paraId="5B54F400" w14:textId="77777777">
            <w:r>
              <w:t>validity test (KMO and Barlett’s Test)</w:t>
            </w:r>
          </w:p>
        </w:tc>
        <w:tc>
          <w:tcPr>
            <w:tcW w:w="2693" w:type="dxa"/>
            <w:gridSpan w:val="2"/>
            <w:tcBorders>
              <w:top w:val="single" w:sz="4" w:space="0" w:color="auto"/>
              <w:bottom w:val="single" w:sz="4" w:space="0" w:color="auto"/>
            </w:tcBorders>
          </w:tcPr>
          <w:p w:rsidR="006C22B9" w:rsidP="0002597C" w14:paraId="65218B53" w14:textId="77777777">
            <w:r>
              <w:t>reliability test (Cronbach Alpha)</w:t>
            </w:r>
          </w:p>
        </w:tc>
      </w:tr>
      <w:tr w14:paraId="1CD06436" w14:textId="77777777" w:rsidTr="0002597C">
        <w:tblPrEx>
          <w:tblW w:w="7087" w:type="dxa"/>
          <w:tblInd w:w="993" w:type="dxa"/>
          <w:tblLook w:val="04A0"/>
        </w:tblPrEx>
        <w:trPr>
          <w:gridAfter w:val="1"/>
          <w:wAfter w:w="127" w:type="dxa"/>
        </w:trPr>
        <w:tc>
          <w:tcPr>
            <w:tcW w:w="1275" w:type="dxa"/>
            <w:tcBorders>
              <w:top w:val="single" w:sz="4" w:space="0" w:color="auto"/>
              <w:bottom w:val="nil"/>
            </w:tcBorders>
          </w:tcPr>
          <w:p w:rsidR="006C22B9" w:rsidP="0002597C" w14:paraId="16F38A01" w14:textId="77777777">
            <w:r>
              <w:t>EI</w:t>
            </w:r>
          </w:p>
        </w:tc>
        <w:tc>
          <w:tcPr>
            <w:tcW w:w="3119" w:type="dxa"/>
            <w:tcBorders>
              <w:top w:val="single" w:sz="4" w:space="0" w:color="auto"/>
            </w:tcBorders>
          </w:tcPr>
          <w:p w:rsidR="006C22B9" w:rsidP="0002597C" w14:paraId="18020D4D" w14:textId="77777777">
            <w:pPr>
              <w:jc w:val="center"/>
            </w:pPr>
            <w:r>
              <w:t>88.4 %</w:t>
            </w:r>
          </w:p>
        </w:tc>
        <w:tc>
          <w:tcPr>
            <w:tcW w:w="2566" w:type="dxa"/>
            <w:tcBorders>
              <w:top w:val="single" w:sz="4" w:space="0" w:color="auto"/>
            </w:tcBorders>
          </w:tcPr>
          <w:p w:rsidR="006C22B9" w:rsidP="0002597C" w14:paraId="21C4FAA6" w14:textId="77777777">
            <w:pPr>
              <w:jc w:val="center"/>
            </w:pPr>
            <w:r>
              <w:t>90.3%</w:t>
            </w:r>
          </w:p>
        </w:tc>
      </w:tr>
      <w:tr w14:paraId="51393FBB" w14:textId="77777777" w:rsidTr="0002597C">
        <w:tblPrEx>
          <w:tblW w:w="7087" w:type="dxa"/>
          <w:tblInd w:w="993" w:type="dxa"/>
          <w:tblLook w:val="04A0"/>
        </w:tblPrEx>
        <w:trPr>
          <w:gridAfter w:val="1"/>
          <w:wAfter w:w="127" w:type="dxa"/>
        </w:trPr>
        <w:tc>
          <w:tcPr>
            <w:tcW w:w="1275" w:type="dxa"/>
            <w:tcBorders>
              <w:top w:val="nil"/>
            </w:tcBorders>
          </w:tcPr>
          <w:p w:rsidR="006C22B9" w:rsidP="0002597C" w14:paraId="01A11E0C" w14:textId="77777777">
            <w:r>
              <w:t>ATE</w:t>
            </w:r>
          </w:p>
        </w:tc>
        <w:tc>
          <w:tcPr>
            <w:tcW w:w="3119" w:type="dxa"/>
          </w:tcPr>
          <w:p w:rsidR="006C22B9" w:rsidP="0002597C" w14:paraId="1D0A6F34" w14:textId="77777777">
            <w:pPr>
              <w:jc w:val="center"/>
            </w:pPr>
            <w:r>
              <w:t>60.1 %</w:t>
            </w:r>
          </w:p>
        </w:tc>
        <w:tc>
          <w:tcPr>
            <w:tcW w:w="2566" w:type="dxa"/>
          </w:tcPr>
          <w:p w:rsidR="006C22B9" w:rsidP="0002597C" w14:paraId="3458E440" w14:textId="77777777">
            <w:pPr>
              <w:jc w:val="center"/>
            </w:pPr>
            <w:r>
              <w:t>66.4%</w:t>
            </w:r>
          </w:p>
        </w:tc>
      </w:tr>
      <w:tr w14:paraId="2E79058A" w14:textId="77777777" w:rsidTr="0002597C">
        <w:tblPrEx>
          <w:tblW w:w="7087" w:type="dxa"/>
          <w:tblInd w:w="993" w:type="dxa"/>
          <w:tblLook w:val="04A0"/>
        </w:tblPrEx>
        <w:trPr>
          <w:gridAfter w:val="1"/>
          <w:wAfter w:w="127" w:type="dxa"/>
        </w:trPr>
        <w:tc>
          <w:tcPr>
            <w:tcW w:w="1275" w:type="dxa"/>
          </w:tcPr>
          <w:p w:rsidR="006C22B9" w:rsidP="0002597C" w14:paraId="1C4ECE47" w14:textId="77777777">
            <w:r>
              <w:t>SN</w:t>
            </w:r>
          </w:p>
        </w:tc>
        <w:tc>
          <w:tcPr>
            <w:tcW w:w="3119" w:type="dxa"/>
          </w:tcPr>
          <w:p w:rsidR="006C22B9" w:rsidP="0002597C" w14:paraId="164C33CA" w14:textId="77777777">
            <w:pPr>
              <w:jc w:val="center"/>
            </w:pPr>
            <w:r>
              <w:t>74.1 %</w:t>
            </w:r>
          </w:p>
        </w:tc>
        <w:tc>
          <w:tcPr>
            <w:tcW w:w="2566" w:type="dxa"/>
          </w:tcPr>
          <w:p w:rsidR="006C22B9" w:rsidP="0002597C" w14:paraId="046B967E" w14:textId="77777777">
            <w:pPr>
              <w:jc w:val="center"/>
            </w:pPr>
            <w:r>
              <w:t>92.3%</w:t>
            </w:r>
          </w:p>
        </w:tc>
      </w:tr>
      <w:tr w14:paraId="12F7913E" w14:textId="77777777" w:rsidTr="0002597C">
        <w:tblPrEx>
          <w:tblW w:w="7087" w:type="dxa"/>
          <w:tblInd w:w="993" w:type="dxa"/>
          <w:tblLook w:val="04A0"/>
        </w:tblPrEx>
        <w:trPr>
          <w:gridAfter w:val="1"/>
          <w:wAfter w:w="127" w:type="dxa"/>
        </w:trPr>
        <w:tc>
          <w:tcPr>
            <w:tcW w:w="1275" w:type="dxa"/>
          </w:tcPr>
          <w:p w:rsidR="006C22B9" w:rsidP="0002597C" w14:paraId="73D64796" w14:textId="77777777">
            <w:r>
              <w:t>PBC</w:t>
            </w:r>
          </w:p>
        </w:tc>
        <w:tc>
          <w:tcPr>
            <w:tcW w:w="3119" w:type="dxa"/>
          </w:tcPr>
          <w:p w:rsidR="006C22B9" w:rsidP="0002597C" w14:paraId="7E853821" w14:textId="77777777">
            <w:pPr>
              <w:jc w:val="center"/>
            </w:pPr>
            <w:r>
              <w:t>74.0%</w:t>
            </w:r>
          </w:p>
        </w:tc>
        <w:tc>
          <w:tcPr>
            <w:tcW w:w="2566" w:type="dxa"/>
          </w:tcPr>
          <w:p w:rsidR="006C22B9" w:rsidP="0002597C" w14:paraId="57C746E5" w14:textId="77777777">
            <w:pPr>
              <w:jc w:val="center"/>
            </w:pPr>
            <w:r>
              <w:t>47.6%</w:t>
            </w:r>
          </w:p>
        </w:tc>
      </w:tr>
      <w:tr w14:paraId="6EB2F7DA" w14:textId="77777777" w:rsidTr="0002597C">
        <w:tblPrEx>
          <w:tblW w:w="7087" w:type="dxa"/>
          <w:tblInd w:w="993" w:type="dxa"/>
          <w:tblLook w:val="04A0"/>
        </w:tblPrEx>
        <w:trPr>
          <w:gridAfter w:val="1"/>
          <w:wAfter w:w="127" w:type="dxa"/>
        </w:trPr>
        <w:tc>
          <w:tcPr>
            <w:tcW w:w="1275" w:type="dxa"/>
          </w:tcPr>
          <w:p w:rsidR="006C22B9" w:rsidP="0002597C" w14:paraId="3E8BA707" w14:textId="77777777">
            <w:r>
              <w:t>EE</w:t>
            </w:r>
          </w:p>
        </w:tc>
        <w:tc>
          <w:tcPr>
            <w:tcW w:w="3119" w:type="dxa"/>
          </w:tcPr>
          <w:p w:rsidR="006C22B9" w:rsidP="0002597C" w14:paraId="0E939788" w14:textId="77777777">
            <w:pPr>
              <w:jc w:val="center"/>
            </w:pPr>
            <w:r>
              <w:t>95.5%</w:t>
            </w:r>
          </w:p>
        </w:tc>
        <w:tc>
          <w:tcPr>
            <w:tcW w:w="2566" w:type="dxa"/>
          </w:tcPr>
          <w:p w:rsidR="006C22B9" w:rsidP="0002597C" w14:paraId="4F28E3AB" w14:textId="77777777">
            <w:pPr>
              <w:jc w:val="center"/>
            </w:pPr>
            <w:r>
              <w:t>95.9%</w:t>
            </w:r>
          </w:p>
        </w:tc>
      </w:tr>
      <w:tr w14:paraId="67783B43" w14:textId="77777777" w:rsidTr="0002597C">
        <w:tblPrEx>
          <w:tblW w:w="7087" w:type="dxa"/>
          <w:tblInd w:w="993" w:type="dxa"/>
          <w:tblLook w:val="04A0"/>
        </w:tblPrEx>
        <w:trPr>
          <w:gridAfter w:val="1"/>
          <w:wAfter w:w="127" w:type="dxa"/>
        </w:trPr>
        <w:tc>
          <w:tcPr>
            <w:tcW w:w="1275" w:type="dxa"/>
          </w:tcPr>
          <w:p w:rsidR="006C22B9" w:rsidP="0002597C" w14:paraId="62DB5324" w14:textId="77777777">
            <w:r>
              <w:t>TTF</w:t>
            </w:r>
          </w:p>
        </w:tc>
        <w:tc>
          <w:tcPr>
            <w:tcW w:w="3119" w:type="dxa"/>
          </w:tcPr>
          <w:p w:rsidR="006C22B9" w:rsidP="0002597C" w14:paraId="13116A1E" w14:textId="77777777">
            <w:pPr>
              <w:jc w:val="center"/>
            </w:pPr>
            <w:r>
              <w:t>72.6%</w:t>
            </w:r>
          </w:p>
        </w:tc>
        <w:tc>
          <w:tcPr>
            <w:tcW w:w="2566" w:type="dxa"/>
          </w:tcPr>
          <w:p w:rsidR="006C22B9" w:rsidP="0002597C" w14:paraId="1E20B2CE" w14:textId="77777777">
            <w:pPr>
              <w:jc w:val="center"/>
            </w:pPr>
            <w:r>
              <w:t>88.0%</w:t>
            </w:r>
          </w:p>
        </w:tc>
      </w:tr>
    </w:tbl>
    <w:p w:rsidR="006C22B9" w:rsidP="006C22B9" w14:paraId="0A865C8C" w14:textId="77777777">
      <w:pPr>
        <w:pStyle w:val="BodytextIndented"/>
        <w:ind w:firstLine="0"/>
        <w:rPr>
          <w:lang w:val="en-GB"/>
        </w:rPr>
      </w:pPr>
    </w:p>
    <w:p w:rsidR="006C22B9" w:rsidP="006C22B9" w14:paraId="5F992D37" w14:textId="77777777">
      <w:pPr>
        <w:pStyle w:val="BodytextIndented"/>
        <w:ind w:firstLine="0"/>
        <w:rPr>
          <w:lang w:val="en-GB"/>
        </w:rPr>
      </w:pPr>
      <w:r w:rsidRPr="009C2A58">
        <w:rPr>
          <w:lang w:val="en-GB"/>
        </w:rPr>
        <w:t>Hypothesis testing uses multiple regression analysis with the following formula:</w:t>
      </w:r>
      <w:r>
        <w:rPr>
          <w:lang w:val="en-GB"/>
        </w:rPr>
        <w:t xml:space="preserve"> </w:t>
      </w:r>
    </w:p>
    <w:p w:rsidR="006C22B9" w:rsidRPr="009C2A58" w:rsidP="006C22B9" w14:paraId="12688654" w14:textId="77777777">
      <w:pPr>
        <w:pStyle w:val="BodytextIndented"/>
        <w:ind w:firstLine="0"/>
        <w:rPr>
          <w:lang w:val="en-GB"/>
        </w:rPr>
      </w:pPr>
    </w:p>
    <w:p w:rsidR="006C22B9" w:rsidP="006C22B9" w14:paraId="4EF5F4D8" w14:textId="77777777">
      <w:pPr>
        <w:pStyle w:val="BodytextIndented"/>
        <w:ind w:left="1702"/>
        <w:rPr>
          <w:lang w:val="en-GB"/>
        </w:rPr>
      </w:pPr>
      <w:r w:rsidRPr="009C2A58">
        <w:rPr>
          <w:lang w:val="en-GB"/>
        </w:rPr>
        <w:t>Y = b0 + b</w:t>
      </w:r>
      <w:r w:rsidRPr="009C2A58">
        <w:rPr>
          <w:vertAlign w:val="subscript"/>
          <w:lang w:val="en-GB"/>
        </w:rPr>
        <w:t>1</w:t>
      </w:r>
      <w:r w:rsidRPr="009C2A58">
        <w:rPr>
          <w:lang w:val="en-GB"/>
        </w:rPr>
        <w:t>X</w:t>
      </w:r>
      <w:r w:rsidRPr="009C2A58">
        <w:rPr>
          <w:vertAlign w:val="subscript"/>
          <w:lang w:val="en-GB"/>
        </w:rPr>
        <w:t xml:space="preserve">1 </w:t>
      </w:r>
      <w:r w:rsidRPr="009C2A58">
        <w:rPr>
          <w:lang w:val="en-GB"/>
        </w:rPr>
        <w:t>+ b</w:t>
      </w:r>
      <w:r w:rsidRPr="009C2A58">
        <w:rPr>
          <w:vertAlign w:val="subscript"/>
          <w:lang w:val="en-GB"/>
        </w:rPr>
        <w:t>2</w:t>
      </w:r>
      <w:r w:rsidRPr="009C2A58">
        <w:rPr>
          <w:lang w:val="en-GB"/>
        </w:rPr>
        <w:t>X</w:t>
      </w:r>
      <w:r w:rsidRPr="009C2A58">
        <w:rPr>
          <w:vertAlign w:val="subscript"/>
          <w:lang w:val="en-GB"/>
        </w:rPr>
        <w:t>2</w:t>
      </w:r>
      <w:r w:rsidRPr="009C2A58">
        <w:rPr>
          <w:lang w:val="en-GB"/>
        </w:rPr>
        <w:t xml:space="preserve"> + b</w:t>
      </w:r>
      <w:r w:rsidRPr="009C2A58">
        <w:rPr>
          <w:vertAlign w:val="subscript"/>
          <w:lang w:val="en-GB"/>
        </w:rPr>
        <w:t>2</w:t>
      </w:r>
      <w:r w:rsidRPr="009C2A58">
        <w:rPr>
          <w:lang w:val="en-GB"/>
        </w:rPr>
        <w:t>X</w:t>
      </w:r>
      <w:r w:rsidRPr="009C2A58">
        <w:rPr>
          <w:vertAlign w:val="subscript"/>
          <w:lang w:val="en-GB"/>
        </w:rPr>
        <w:t>2</w:t>
      </w:r>
      <w:r w:rsidRPr="009C2A58">
        <w:rPr>
          <w:lang w:val="en-GB"/>
        </w:rPr>
        <w:t xml:space="preserve"> </w:t>
      </w:r>
      <w:r>
        <w:rPr>
          <w:lang w:val="en-GB"/>
        </w:rPr>
        <w:t xml:space="preserve">+ </w:t>
      </w:r>
      <w:r w:rsidRPr="009C2A58">
        <w:rPr>
          <w:lang w:val="en-GB"/>
        </w:rPr>
        <w:t>b</w:t>
      </w:r>
      <w:r>
        <w:rPr>
          <w:vertAlign w:val="subscript"/>
          <w:lang w:val="en-GB"/>
        </w:rPr>
        <w:t>3</w:t>
      </w:r>
      <w:r w:rsidRPr="009C2A58">
        <w:rPr>
          <w:lang w:val="en-GB"/>
        </w:rPr>
        <w:t>X</w:t>
      </w:r>
      <w:r>
        <w:rPr>
          <w:vertAlign w:val="subscript"/>
          <w:lang w:val="en-GB"/>
        </w:rPr>
        <w:t>3</w:t>
      </w:r>
      <w:r w:rsidRPr="009C2A58">
        <w:rPr>
          <w:lang w:val="en-GB"/>
        </w:rPr>
        <w:t xml:space="preserve"> </w:t>
      </w:r>
      <w:r>
        <w:rPr>
          <w:lang w:val="en-GB"/>
        </w:rPr>
        <w:t xml:space="preserve">+ </w:t>
      </w:r>
      <w:r w:rsidRPr="009C2A58">
        <w:rPr>
          <w:lang w:val="en-GB"/>
        </w:rPr>
        <w:t>b</w:t>
      </w:r>
      <w:r>
        <w:rPr>
          <w:vertAlign w:val="subscript"/>
          <w:lang w:val="en-GB"/>
        </w:rPr>
        <w:t>4</w:t>
      </w:r>
      <w:r w:rsidRPr="009C2A58">
        <w:rPr>
          <w:lang w:val="en-GB"/>
        </w:rPr>
        <w:t>X</w:t>
      </w:r>
      <w:r>
        <w:rPr>
          <w:vertAlign w:val="subscript"/>
          <w:lang w:val="en-GB"/>
        </w:rPr>
        <w:t xml:space="preserve">4 </w:t>
      </w:r>
      <w:r>
        <w:rPr>
          <w:lang w:val="en-GB"/>
        </w:rPr>
        <w:t xml:space="preserve">+ </w:t>
      </w:r>
      <w:r w:rsidRPr="009C2A58">
        <w:rPr>
          <w:lang w:val="en-GB"/>
        </w:rPr>
        <w:t>b</w:t>
      </w:r>
      <w:r>
        <w:rPr>
          <w:vertAlign w:val="subscript"/>
          <w:lang w:val="en-GB"/>
        </w:rPr>
        <w:t>5</w:t>
      </w:r>
      <w:r w:rsidRPr="009C2A58">
        <w:rPr>
          <w:lang w:val="en-GB"/>
        </w:rPr>
        <w:t>X</w:t>
      </w:r>
      <w:r>
        <w:rPr>
          <w:vertAlign w:val="subscript"/>
          <w:lang w:val="en-GB"/>
        </w:rPr>
        <w:t>5</w:t>
      </w:r>
      <w:r w:rsidRPr="009C2A58">
        <w:rPr>
          <w:lang w:val="en-GB"/>
        </w:rPr>
        <w:t xml:space="preserve"> + e</w:t>
      </w:r>
    </w:p>
    <w:p w:rsidR="006C22B9" w:rsidRPr="009C2A58" w:rsidP="006C22B9" w14:paraId="4CBEE260" w14:textId="77777777">
      <w:pPr>
        <w:pStyle w:val="BodytextIndented"/>
        <w:ind w:left="1702"/>
        <w:rPr>
          <w:lang w:val="en-GB"/>
        </w:rPr>
      </w:pPr>
    </w:p>
    <w:p w:rsidR="006C22B9" w:rsidP="006C22B9" w14:paraId="51FF69E5" w14:textId="77777777">
      <w:pPr>
        <w:pStyle w:val="BodytextIndented"/>
        <w:ind w:firstLine="0"/>
        <w:rPr>
          <w:lang w:val="en-GB"/>
        </w:rPr>
      </w:pPr>
      <w:r>
        <w:rPr>
          <w:lang w:val="en-GB"/>
        </w:rPr>
        <w:t xml:space="preserve">dependent variable, </w:t>
      </w:r>
      <w:r w:rsidRPr="009C2A58">
        <w:rPr>
          <w:lang w:val="en-GB"/>
        </w:rPr>
        <w:t>Y = (EI)</w:t>
      </w:r>
      <w:r>
        <w:rPr>
          <w:lang w:val="en-GB"/>
        </w:rPr>
        <w:t xml:space="preserve">; </w:t>
      </w:r>
    </w:p>
    <w:p w:rsidR="006C22B9" w:rsidP="006C22B9" w14:paraId="4E8E5B0B" w14:textId="77777777">
      <w:pPr>
        <w:pStyle w:val="BodytextIndented"/>
        <w:ind w:firstLine="0"/>
        <w:rPr>
          <w:lang w:val="en-GB"/>
        </w:rPr>
      </w:pPr>
      <w:r>
        <w:rPr>
          <w:lang w:val="en-GB"/>
        </w:rPr>
        <w:t xml:space="preserve">Independent variables, </w:t>
      </w:r>
      <w:r w:rsidRPr="009C2A58">
        <w:rPr>
          <w:lang w:val="en-GB"/>
        </w:rPr>
        <w:t>X</w:t>
      </w:r>
      <w:r w:rsidRPr="009C2A58">
        <w:rPr>
          <w:vertAlign w:val="subscript"/>
          <w:lang w:val="en-GB"/>
        </w:rPr>
        <w:t>1</w:t>
      </w:r>
      <w:r w:rsidRPr="009C2A58">
        <w:rPr>
          <w:lang w:val="en-GB"/>
        </w:rPr>
        <w:t xml:space="preserve"> = ATE</w:t>
      </w:r>
      <w:r>
        <w:rPr>
          <w:lang w:val="en-GB"/>
        </w:rPr>
        <w:t xml:space="preserve">; </w:t>
      </w:r>
      <w:r w:rsidRPr="009C2A58">
        <w:rPr>
          <w:lang w:val="en-GB"/>
        </w:rPr>
        <w:t>X</w:t>
      </w:r>
      <w:r w:rsidRPr="009C2A58">
        <w:rPr>
          <w:vertAlign w:val="subscript"/>
          <w:lang w:val="en-GB"/>
        </w:rPr>
        <w:t>2</w:t>
      </w:r>
      <w:r w:rsidRPr="009C2A58">
        <w:rPr>
          <w:lang w:val="en-GB"/>
        </w:rPr>
        <w:t xml:space="preserve"> = SN</w:t>
      </w:r>
      <w:r>
        <w:rPr>
          <w:lang w:val="en-GB"/>
        </w:rPr>
        <w:t xml:space="preserve">; </w:t>
      </w:r>
      <w:r w:rsidRPr="009C2A58">
        <w:rPr>
          <w:lang w:val="en-GB"/>
        </w:rPr>
        <w:t>X</w:t>
      </w:r>
      <w:r w:rsidRPr="009C2A58">
        <w:rPr>
          <w:vertAlign w:val="subscript"/>
          <w:lang w:val="en-GB"/>
        </w:rPr>
        <w:t>3</w:t>
      </w:r>
      <w:r w:rsidRPr="009C2A58">
        <w:rPr>
          <w:lang w:val="en-GB"/>
        </w:rPr>
        <w:t xml:space="preserve"> = PBC</w:t>
      </w:r>
      <w:r>
        <w:rPr>
          <w:lang w:val="en-GB"/>
        </w:rPr>
        <w:t xml:space="preserve">; </w:t>
      </w:r>
      <w:r w:rsidRPr="009C2A58">
        <w:rPr>
          <w:lang w:val="en-GB"/>
        </w:rPr>
        <w:t>X</w:t>
      </w:r>
      <w:r w:rsidRPr="009C2A58">
        <w:rPr>
          <w:vertAlign w:val="subscript"/>
          <w:lang w:val="en-GB"/>
        </w:rPr>
        <w:t>4</w:t>
      </w:r>
      <w:r w:rsidRPr="009C2A58">
        <w:rPr>
          <w:lang w:val="en-GB"/>
        </w:rPr>
        <w:t xml:space="preserve"> = EE</w:t>
      </w:r>
      <w:r>
        <w:rPr>
          <w:lang w:val="en-GB"/>
        </w:rPr>
        <w:t xml:space="preserve">; </w:t>
      </w:r>
      <w:r w:rsidRPr="009C2A58">
        <w:rPr>
          <w:lang w:val="en-GB"/>
        </w:rPr>
        <w:t>X</w:t>
      </w:r>
      <w:r w:rsidRPr="009C2A58">
        <w:rPr>
          <w:vertAlign w:val="subscript"/>
          <w:lang w:val="en-GB"/>
        </w:rPr>
        <w:t>5</w:t>
      </w:r>
      <w:r w:rsidRPr="009C2A58">
        <w:rPr>
          <w:lang w:val="en-GB"/>
        </w:rPr>
        <w:t xml:space="preserve"> = TTF</w:t>
      </w:r>
      <w:r>
        <w:rPr>
          <w:lang w:val="en-GB"/>
        </w:rPr>
        <w:t xml:space="preserve">; </w:t>
      </w:r>
    </w:p>
    <w:p w:rsidR="006C22B9" w:rsidP="006C22B9" w14:paraId="4647A191" w14:textId="77777777">
      <w:pPr>
        <w:pStyle w:val="BodytextIndented"/>
        <w:ind w:firstLine="0"/>
        <w:rPr>
          <w:lang w:val="en-GB"/>
        </w:rPr>
      </w:pPr>
      <w:r w:rsidRPr="009C2A58">
        <w:rPr>
          <w:lang w:val="en-GB"/>
        </w:rPr>
        <w:t>b</w:t>
      </w:r>
      <w:r w:rsidRPr="009C2A58">
        <w:rPr>
          <w:vertAlign w:val="subscript"/>
          <w:lang w:val="en-GB"/>
        </w:rPr>
        <w:t>0</w:t>
      </w:r>
      <w:r w:rsidRPr="009C2A58">
        <w:rPr>
          <w:lang w:val="en-GB"/>
        </w:rPr>
        <w:t xml:space="preserve"> = constant</w:t>
      </w:r>
      <w:r>
        <w:rPr>
          <w:lang w:val="en-GB"/>
        </w:rPr>
        <w:t xml:space="preserve">; </w:t>
      </w:r>
    </w:p>
    <w:p w:rsidR="006C22B9" w:rsidP="006C22B9" w14:paraId="450E1915" w14:textId="095C565B">
      <w:pPr>
        <w:pStyle w:val="BodytextIndented"/>
        <w:ind w:firstLine="0"/>
        <w:rPr>
          <w:lang w:val="en-GB"/>
        </w:rPr>
      </w:pPr>
      <w:r>
        <w:rPr>
          <w:lang w:val="en-GB"/>
        </w:rPr>
        <w:t xml:space="preserve">and </w:t>
      </w:r>
      <w:r w:rsidRPr="009C2A58">
        <w:rPr>
          <w:lang w:val="en-GB"/>
        </w:rPr>
        <w:t>b</w:t>
      </w:r>
      <w:r w:rsidRPr="009C2A58">
        <w:rPr>
          <w:vertAlign w:val="subscript"/>
          <w:lang w:val="en-GB"/>
        </w:rPr>
        <w:t xml:space="preserve">1,2,3,4,5 </w:t>
      </w:r>
      <w:r w:rsidRPr="009C2A58">
        <w:rPr>
          <w:lang w:val="en-GB"/>
        </w:rPr>
        <w:t>= beta</w:t>
      </w:r>
    </w:p>
    <w:p w:rsidR="004D6B7E" w:rsidP="006C22B9" w14:paraId="36699A88" w14:textId="6E30199A">
      <w:pPr>
        <w:pStyle w:val="BodytextIndented"/>
        <w:ind w:firstLine="0"/>
        <w:rPr>
          <w:lang w:val="en-GB"/>
        </w:rPr>
      </w:pPr>
      <w:r>
        <w:rPr>
          <w:lang w:val="en-GB"/>
        </w:rPr>
        <w:t>e = error</w:t>
      </w:r>
    </w:p>
    <w:tbl>
      <w:tblPr>
        <w:tblW w:w="491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844"/>
        <w:gridCol w:w="1207"/>
        <w:gridCol w:w="1374"/>
        <w:gridCol w:w="1374"/>
        <w:gridCol w:w="1509"/>
        <w:gridCol w:w="1052"/>
        <w:gridCol w:w="1425"/>
      </w:tblGrid>
      <w:tr w14:paraId="7306E82F" w14:textId="77777777" w:rsidTr="00053EA1">
        <w:tblPrEx>
          <w:tblW w:w="491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Ex>
        <w:trPr>
          <w:cantSplit/>
        </w:trPr>
        <w:tc>
          <w:tcPr>
            <w:tcW w:w="5000" w:type="pct"/>
            <w:gridSpan w:val="7"/>
            <w:tcBorders>
              <w:top w:val="nil"/>
              <w:left w:val="nil"/>
              <w:bottom w:val="nil"/>
              <w:right w:val="nil"/>
            </w:tcBorders>
            <w:shd w:val="clear" w:color="auto" w:fill="FFFFFF"/>
            <w:tcMar>
              <w:top w:w="30" w:type="dxa"/>
              <w:left w:w="30" w:type="dxa"/>
              <w:bottom w:w="30" w:type="dxa"/>
              <w:right w:w="30" w:type="dxa"/>
            </w:tcMar>
          </w:tcPr>
          <w:p w:rsidR="00430775" w:rsidP="00AA43A0" w14:paraId="72632F85" w14:textId="77777777">
            <w:pPr>
              <w:pStyle w:val="Section"/>
            </w:pPr>
            <w:commentRangeStart w:id="2"/>
            <w:r w:rsidRPr="00CD64E9">
              <w:t xml:space="preserve">Results </w:t>
            </w:r>
            <w:r w:rsidR="0088732D">
              <w:t>and D</w:t>
            </w:r>
            <w:r w:rsidR="009B476E">
              <w:t>iscussion</w:t>
            </w:r>
            <w:commentRangeEnd w:id="2"/>
            <w:r w:rsidR="00902859">
              <w:rPr>
                <w:rStyle w:val="CommentReference"/>
                <w:b w:val="0"/>
                <w:iCs w:val="0"/>
                <w:color w:val="auto"/>
              </w:rPr>
              <w:commentReference w:id="2"/>
            </w:r>
          </w:p>
          <w:p w:rsidR="003E3F04" w:rsidRPr="003E3F04" w:rsidP="00840B47" w14:paraId="6222FB13" w14:textId="323C78C9">
            <w:pPr>
              <w:autoSpaceDE w:val="0"/>
              <w:autoSpaceDN w:val="0"/>
              <w:adjustRightInd w:val="0"/>
              <w:jc w:val="both"/>
            </w:pPr>
            <w:r w:rsidRPr="004A3CCE">
              <w:rPr>
                <w:rFonts w:cs="Times"/>
                <w:szCs w:val="24"/>
                <w:lang w:val="en-US"/>
              </w:rPr>
              <w:t xml:space="preserve">Referring to </w:t>
            </w:r>
            <w:r w:rsidR="000A710C">
              <w:rPr>
                <w:rFonts w:cs="Times"/>
                <w:szCs w:val="24"/>
                <w:lang w:val="en-US"/>
              </w:rPr>
              <w:t>t</w:t>
            </w:r>
            <w:r w:rsidRPr="004A3CCE">
              <w:rPr>
                <w:rFonts w:cs="Times"/>
                <w:szCs w:val="24"/>
                <w:lang w:val="en-US"/>
              </w:rPr>
              <w:t>able 2, the research model fitted with</w:t>
            </w:r>
            <w:r w:rsidR="00840B47">
              <w:rPr>
                <w:rFonts w:cs="Times"/>
                <w:szCs w:val="24"/>
                <w:lang w:val="en-US"/>
              </w:rPr>
              <w:t xml:space="preserve"> five variables shown the</w:t>
            </w:r>
            <w:r w:rsidRPr="004A3CCE">
              <w:rPr>
                <w:rFonts w:cs="Times"/>
                <w:szCs w:val="24"/>
                <w:lang w:val="en-US"/>
              </w:rPr>
              <w:t xml:space="preserve"> indication that the R square value of 66.5% while the remaining 33.5% is a variable outside the research model. The results of the regression test using SPSS version 17.0 prove</w:t>
            </w:r>
            <w:r w:rsidR="00053EA1">
              <w:rPr>
                <w:rFonts w:cs="Times"/>
                <w:szCs w:val="24"/>
                <w:lang w:val="en-US"/>
              </w:rPr>
              <w:t>d</w:t>
            </w:r>
            <w:r w:rsidRPr="004A3CCE">
              <w:rPr>
                <w:rFonts w:cs="Times"/>
                <w:szCs w:val="24"/>
                <w:lang w:val="en-US"/>
              </w:rPr>
              <w:t xml:space="preserve"> that H1 and H4 are accepted with a significance level of 0.000 (p-value &lt;0.01). Meanwhile, H2 is accepted with a </w:t>
            </w:r>
            <w:r w:rsidR="00840B47">
              <w:rPr>
                <w:rFonts w:cs="Times"/>
                <w:szCs w:val="24"/>
                <w:lang w:val="en-US"/>
              </w:rPr>
              <w:t xml:space="preserve">positive </w:t>
            </w:r>
            <w:r w:rsidRPr="004A3CCE">
              <w:rPr>
                <w:rFonts w:cs="Times"/>
                <w:szCs w:val="24"/>
                <w:lang w:val="en-US"/>
              </w:rPr>
              <w:t xml:space="preserve">significance level of 0.043 (p-value &lt;0.05), and H5 accepted with a </w:t>
            </w:r>
            <w:r w:rsidR="00840B47">
              <w:rPr>
                <w:rFonts w:cs="Times"/>
                <w:szCs w:val="24"/>
                <w:lang w:val="en-US"/>
              </w:rPr>
              <w:t xml:space="preserve">negative </w:t>
            </w:r>
            <w:r w:rsidRPr="004A3CCE">
              <w:rPr>
                <w:rFonts w:cs="Times"/>
                <w:szCs w:val="24"/>
                <w:lang w:val="en-US"/>
              </w:rPr>
              <w:t xml:space="preserve">significance level of </w:t>
            </w:r>
            <w:r w:rsidR="00840B47">
              <w:rPr>
                <w:rFonts w:cs="Times"/>
                <w:szCs w:val="24"/>
                <w:lang w:val="en-US"/>
              </w:rPr>
              <w:t>-</w:t>
            </w:r>
            <w:r w:rsidRPr="004A3CCE">
              <w:rPr>
                <w:rFonts w:cs="Times"/>
                <w:szCs w:val="24"/>
                <w:lang w:val="en-US"/>
              </w:rPr>
              <w:t>0.87 (p-value &lt;0.1). Only H3 was not accepted.</w:t>
            </w:r>
          </w:p>
        </w:tc>
      </w:tr>
      <w:tr w14:paraId="694EA3A6" w14:textId="77777777" w:rsidTr="00053EA1">
        <w:tblPrEx>
          <w:tblW w:w="4919" w:type="pct"/>
          <w:tblCellMar>
            <w:left w:w="30" w:type="dxa"/>
            <w:right w:w="30" w:type="dxa"/>
          </w:tblCellMar>
          <w:tblLook w:val="0000"/>
        </w:tblPrEx>
        <w:trPr>
          <w:cantSplit/>
          <w:tblHeader/>
        </w:trPr>
        <w:tc>
          <w:tcPr>
            <w:tcW w:w="5000" w:type="pct"/>
            <w:gridSpan w:val="7"/>
            <w:tcBorders>
              <w:top w:val="nil"/>
              <w:left w:val="nil"/>
              <w:bottom w:val="single" w:sz="4" w:space="0" w:color="auto"/>
              <w:right w:val="nil"/>
            </w:tcBorders>
            <w:shd w:val="clear" w:color="auto" w:fill="FFFFFF"/>
            <w:tcMar>
              <w:top w:w="30" w:type="dxa"/>
              <w:left w:w="30" w:type="dxa"/>
              <w:bottom w:w="30" w:type="dxa"/>
              <w:right w:w="30" w:type="dxa"/>
            </w:tcMar>
            <w:vAlign w:val="center"/>
          </w:tcPr>
          <w:p w:rsidR="00430775" w:rsidRPr="00430775" w:rsidP="00547D18" w14:paraId="6B063C92" w14:textId="77777777">
            <w:pPr>
              <w:autoSpaceDE w:val="0"/>
              <w:autoSpaceDN w:val="0"/>
              <w:adjustRightInd w:val="0"/>
              <w:spacing w:line="320" w:lineRule="atLeast"/>
              <w:jc w:val="center"/>
              <w:rPr>
                <w:rFonts w:cs="Times"/>
                <w:color w:val="000000"/>
                <w:szCs w:val="22"/>
                <w:lang w:val="en-US"/>
              </w:rPr>
            </w:pPr>
            <w:r>
              <w:rPr>
                <w:rFonts w:cs="Times"/>
                <w:b/>
                <w:bCs/>
                <w:color w:val="000000"/>
                <w:szCs w:val="22"/>
                <w:lang w:val="en-US"/>
              </w:rPr>
              <w:t xml:space="preserve">Table </w:t>
            </w:r>
            <w:r w:rsidR="00547D18">
              <w:rPr>
                <w:rFonts w:cs="Times"/>
                <w:b/>
                <w:bCs/>
                <w:color w:val="000000"/>
                <w:szCs w:val="22"/>
                <w:lang w:val="en-US"/>
              </w:rPr>
              <w:t>2</w:t>
            </w:r>
            <w:r>
              <w:rPr>
                <w:rFonts w:cs="Times"/>
                <w:b/>
                <w:bCs/>
                <w:color w:val="000000"/>
                <w:szCs w:val="22"/>
                <w:lang w:val="en-US"/>
              </w:rPr>
              <w:t xml:space="preserve">. </w:t>
            </w:r>
            <w:r w:rsidRPr="00A27059">
              <w:rPr>
                <w:rFonts w:cs="Times"/>
                <w:bCs/>
                <w:color w:val="000000"/>
                <w:szCs w:val="22"/>
                <w:lang w:val="en-US"/>
              </w:rPr>
              <w:t>The result of multiple regression</w:t>
            </w:r>
            <w:r>
              <w:rPr>
                <w:rFonts w:cs="Times"/>
                <w:b/>
                <w:bCs/>
                <w:color w:val="000000"/>
                <w:szCs w:val="22"/>
                <w:lang w:val="en-US"/>
              </w:rPr>
              <w:t xml:space="preserve"> </w:t>
            </w:r>
          </w:p>
        </w:tc>
      </w:tr>
      <w:tr w14:paraId="76C6EC53" w14:textId="77777777" w:rsidTr="003577AA">
        <w:tblPrEx>
          <w:tblW w:w="4919" w:type="pct"/>
          <w:tblCellMar>
            <w:left w:w="30" w:type="dxa"/>
            <w:right w:w="30" w:type="dxa"/>
          </w:tblCellMar>
          <w:tblLook w:val="0000"/>
        </w:tblPrEx>
        <w:trPr>
          <w:cantSplit/>
          <w:tblHeader/>
        </w:trPr>
        <w:tc>
          <w:tcPr>
            <w:tcW w:w="1167" w:type="pct"/>
            <w:gridSpan w:val="2"/>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430775" w:rsidRPr="00430775" w:rsidP="00FA4E29" w14:paraId="08E905D4" w14:textId="77777777">
            <w:pPr>
              <w:autoSpaceDE w:val="0"/>
              <w:autoSpaceDN w:val="0"/>
              <w:adjustRightInd w:val="0"/>
              <w:rPr>
                <w:rFonts w:cs="Times"/>
                <w:color w:val="000000"/>
                <w:szCs w:val="22"/>
                <w:lang w:val="en-US"/>
              </w:rPr>
            </w:pPr>
            <w:r w:rsidRPr="00430775">
              <w:rPr>
                <w:rFonts w:cs="Times"/>
                <w:color w:val="000000"/>
                <w:szCs w:val="22"/>
                <w:lang w:val="en-US"/>
              </w:rPr>
              <w:t>Model</w:t>
            </w:r>
          </w:p>
        </w:tc>
        <w:tc>
          <w:tcPr>
            <w:tcW w:w="1564" w:type="pct"/>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430775" w:rsidRPr="00430775" w:rsidP="00FA4E29" w14:paraId="6E91466B" w14:textId="77777777">
            <w:pPr>
              <w:autoSpaceDE w:val="0"/>
              <w:autoSpaceDN w:val="0"/>
              <w:adjustRightInd w:val="0"/>
              <w:jc w:val="center"/>
              <w:rPr>
                <w:rFonts w:cs="Times"/>
                <w:color w:val="000000"/>
                <w:szCs w:val="22"/>
                <w:lang w:val="en-US"/>
              </w:rPr>
            </w:pPr>
            <w:r w:rsidRPr="00430775">
              <w:rPr>
                <w:rFonts w:cs="Times"/>
                <w:color w:val="000000"/>
                <w:szCs w:val="22"/>
                <w:lang w:val="en-US"/>
              </w:rPr>
              <w:t>Unstandardized Coefficients</w:t>
            </w:r>
          </w:p>
        </w:tc>
        <w:tc>
          <w:tcPr>
            <w:tcW w:w="859"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430775" w:rsidRPr="00430775" w:rsidP="00FA4E29" w14:paraId="56475DBF" w14:textId="77777777">
            <w:pPr>
              <w:autoSpaceDE w:val="0"/>
              <w:autoSpaceDN w:val="0"/>
              <w:adjustRightInd w:val="0"/>
              <w:jc w:val="center"/>
              <w:rPr>
                <w:rFonts w:cs="Times"/>
                <w:color w:val="000000"/>
                <w:szCs w:val="22"/>
                <w:lang w:val="en-US"/>
              </w:rPr>
            </w:pPr>
            <w:r w:rsidRPr="00430775">
              <w:rPr>
                <w:rFonts w:cs="Times"/>
                <w:color w:val="000000"/>
                <w:szCs w:val="22"/>
                <w:lang w:val="en-US"/>
              </w:rPr>
              <w:t>Standardized Coefficients</w:t>
            </w:r>
          </w:p>
        </w:tc>
        <w:tc>
          <w:tcPr>
            <w:tcW w:w="599" w:type="pct"/>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430775" w:rsidRPr="00430775" w:rsidP="00FA4E29" w14:paraId="0AE4515D" w14:textId="77777777">
            <w:pPr>
              <w:autoSpaceDE w:val="0"/>
              <w:autoSpaceDN w:val="0"/>
              <w:adjustRightInd w:val="0"/>
              <w:jc w:val="center"/>
              <w:rPr>
                <w:rFonts w:cs="Times"/>
                <w:color w:val="000000"/>
                <w:szCs w:val="22"/>
                <w:lang w:val="en-US"/>
              </w:rPr>
            </w:pPr>
            <w:r w:rsidRPr="00430775">
              <w:rPr>
                <w:rFonts w:cs="Times"/>
                <w:color w:val="000000"/>
                <w:szCs w:val="22"/>
                <w:lang w:val="en-US"/>
              </w:rPr>
              <w:t>t</w:t>
            </w:r>
          </w:p>
        </w:tc>
        <w:tc>
          <w:tcPr>
            <w:tcW w:w="811" w:type="pct"/>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430775" w:rsidRPr="00430775" w:rsidP="00FA4E29" w14:paraId="7412229E" w14:textId="77777777">
            <w:pPr>
              <w:autoSpaceDE w:val="0"/>
              <w:autoSpaceDN w:val="0"/>
              <w:adjustRightInd w:val="0"/>
              <w:jc w:val="center"/>
              <w:rPr>
                <w:rFonts w:cs="Times"/>
                <w:color w:val="000000"/>
                <w:szCs w:val="22"/>
                <w:lang w:val="en-US"/>
              </w:rPr>
            </w:pPr>
            <w:r w:rsidRPr="00430775">
              <w:rPr>
                <w:rFonts w:cs="Times"/>
                <w:color w:val="000000"/>
                <w:szCs w:val="22"/>
                <w:lang w:val="en-US"/>
              </w:rPr>
              <w:t>Sig.</w:t>
            </w:r>
          </w:p>
        </w:tc>
      </w:tr>
      <w:tr w14:paraId="03CD7618" w14:textId="77777777" w:rsidTr="003577AA">
        <w:tblPrEx>
          <w:tblW w:w="4919" w:type="pct"/>
          <w:tblCellMar>
            <w:left w:w="30" w:type="dxa"/>
            <w:right w:w="30" w:type="dxa"/>
          </w:tblCellMar>
          <w:tblLook w:val="0000"/>
        </w:tblPrEx>
        <w:trPr>
          <w:cantSplit/>
          <w:tblHeader/>
        </w:trPr>
        <w:tc>
          <w:tcPr>
            <w:tcW w:w="1167" w:type="pct"/>
            <w:gridSpan w:val="2"/>
            <w:vMerge/>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430775" w:rsidRPr="00430775" w:rsidP="00FA4E29" w14:paraId="48651FC4" w14:textId="77777777">
            <w:pPr>
              <w:autoSpaceDE w:val="0"/>
              <w:autoSpaceDN w:val="0"/>
              <w:adjustRightInd w:val="0"/>
              <w:rPr>
                <w:rFonts w:cs="Times"/>
                <w:color w:val="000000"/>
                <w:szCs w:val="22"/>
                <w:lang w:val="en-US"/>
              </w:rPr>
            </w:pPr>
          </w:p>
        </w:tc>
        <w:tc>
          <w:tcPr>
            <w:tcW w:w="782"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430775" w:rsidRPr="00430775" w:rsidP="00FA4E29" w14:paraId="6A808688" w14:textId="77777777">
            <w:pPr>
              <w:autoSpaceDE w:val="0"/>
              <w:autoSpaceDN w:val="0"/>
              <w:adjustRightInd w:val="0"/>
              <w:jc w:val="center"/>
              <w:rPr>
                <w:rFonts w:cs="Times"/>
                <w:color w:val="000000"/>
                <w:szCs w:val="22"/>
                <w:lang w:val="en-US"/>
              </w:rPr>
            </w:pPr>
            <w:r w:rsidRPr="00430775">
              <w:rPr>
                <w:rFonts w:cs="Times"/>
                <w:color w:val="000000"/>
                <w:szCs w:val="22"/>
                <w:lang w:val="en-US"/>
              </w:rPr>
              <w:t>B</w:t>
            </w:r>
          </w:p>
        </w:tc>
        <w:tc>
          <w:tcPr>
            <w:tcW w:w="782"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430775" w:rsidRPr="00430775" w:rsidP="00FA4E29" w14:paraId="5FB5F190" w14:textId="77777777">
            <w:pPr>
              <w:autoSpaceDE w:val="0"/>
              <w:autoSpaceDN w:val="0"/>
              <w:adjustRightInd w:val="0"/>
              <w:jc w:val="center"/>
              <w:rPr>
                <w:rFonts w:cs="Times"/>
                <w:color w:val="000000"/>
                <w:szCs w:val="22"/>
                <w:lang w:val="en-US"/>
              </w:rPr>
            </w:pPr>
            <w:r w:rsidRPr="00430775">
              <w:rPr>
                <w:rFonts w:cs="Times"/>
                <w:color w:val="000000"/>
                <w:szCs w:val="22"/>
                <w:lang w:val="en-US"/>
              </w:rPr>
              <w:t>Std. Error</w:t>
            </w:r>
          </w:p>
        </w:tc>
        <w:tc>
          <w:tcPr>
            <w:tcW w:w="859"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430775" w:rsidRPr="00430775" w:rsidP="00FA4E29" w14:paraId="6200F934" w14:textId="77777777">
            <w:pPr>
              <w:autoSpaceDE w:val="0"/>
              <w:autoSpaceDN w:val="0"/>
              <w:adjustRightInd w:val="0"/>
              <w:jc w:val="center"/>
              <w:rPr>
                <w:rFonts w:cs="Times"/>
                <w:color w:val="000000"/>
                <w:szCs w:val="22"/>
                <w:lang w:val="en-US"/>
              </w:rPr>
            </w:pPr>
            <w:r w:rsidRPr="00430775">
              <w:rPr>
                <w:rFonts w:cs="Times"/>
                <w:color w:val="000000"/>
                <w:szCs w:val="22"/>
                <w:lang w:val="en-US"/>
              </w:rPr>
              <w:t>Beta</w:t>
            </w:r>
          </w:p>
        </w:tc>
        <w:tc>
          <w:tcPr>
            <w:tcW w:w="599" w:type="pct"/>
            <w:vMerge/>
            <w:tcBorders>
              <w:top w:val="nil"/>
              <w:left w:val="nil"/>
              <w:bottom w:val="single" w:sz="4" w:space="0" w:color="auto"/>
              <w:right w:val="nil"/>
            </w:tcBorders>
            <w:shd w:val="clear" w:color="auto" w:fill="FFFFFF"/>
            <w:tcMar>
              <w:top w:w="30" w:type="dxa"/>
              <w:left w:w="30" w:type="dxa"/>
              <w:bottom w:w="30" w:type="dxa"/>
              <w:right w:w="30" w:type="dxa"/>
            </w:tcMar>
            <w:vAlign w:val="bottom"/>
          </w:tcPr>
          <w:p w:rsidR="00430775" w:rsidRPr="00430775" w:rsidP="00FA4E29" w14:paraId="5A651C33" w14:textId="77777777">
            <w:pPr>
              <w:autoSpaceDE w:val="0"/>
              <w:autoSpaceDN w:val="0"/>
              <w:adjustRightInd w:val="0"/>
              <w:jc w:val="center"/>
              <w:rPr>
                <w:rFonts w:cs="Times"/>
                <w:color w:val="000000"/>
                <w:szCs w:val="22"/>
                <w:lang w:val="en-US"/>
              </w:rPr>
            </w:pPr>
          </w:p>
        </w:tc>
        <w:tc>
          <w:tcPr>
            <w:tcW w:w="811" w:type="pct"/>
            <w:vMerge/>
            <w:tcBorders>
              <w:top w:val="nil"/>
              <w:left w:val="nil"/>
              <w:bottom w:val="single" w:sz="4" w:space="0" w:color="auto"/>
              <w:right w:val="nil"/>
            </w:tcBorders>
            <w:shd w:val="clear" w:color="auto" w:fill="FFFFFF"/>
            <w:tcMar>
              <w:top w:w="30" w:type="dxa"/>
              <w:left w:w="30" w:type="dxa"/>
              <w:bottom w:w="30" w:type="dxa"/>
              <w:right w:w="30" w:type="dxa"/>
            </w:tcMar>
            <w:vAlign w:val="bottom"/>
          </w:tcPr>
          <w:p w:rsidR="00430775" w:rsidRPr="00430775" w:rsidP="00FA4E29" w14:paraId="73F7C856" w14:textId="77777777">
            <w:pPr>
              <w:autoSpaceDE w:val="0"/>
              <w:autoSpaceDN w:val="0"/>
              <w:adjustRightInd w:val="0"/>
              <w:jc w:val="center"/>
              <w:rPr>
                <w:rFonts w:cs="Times"/>
                <w:color w:val="000000"/>
                <w:szCs w:val="22"/>
                <w:lang w:val="en-US"/>
              </w:rPr>
            </w:pPr>
          </w:p>
        </w:tc>
      </w:tr>
      <w:tr w14:paraId="04F8BCB3" w14:textId="77777777" w:rsidTr="003577AA">
        <w:tblPrEx>
          <w:tblW w:w="4919" w:type="pct"/>
          <w:tblCellMar>
            <w:left w:w="30" w:type="dxa"/>
            <w:right w:w="30" w:type="dxa"/>
          </w:tblCellMar>
          <w:tblLook w:val="0000"/>
        </w:tblPrEx>
        <w:trPr>
          <w:cantSplit/>
          <w:tblHeader/>
        </w:trPr>
        <w:tc>
          <w:tcPr>
            <w:tcW w:w="480" w:type="pct"/>
            <w:vMerge w:val="restart"/>
            <w:tcBorders>
              <w:top w:val="single" w:sz="4" w:space="0" w:color="auto"/>
              <w:left w:val="nil"/>
              <w:bottom w:val="nil"/>
              <w:right w:val="nil"/>
            </w:tcBorders>
            <w:shd w:val="clear" w:color="auto" w:fill="FFFFFF"/>
            <w:tcMar>
              <w:top w:w="30" w:type="dxa"/>
              <w:left w:w="30" w:type="dxa"/>
              <w:bottom w:w="30" w:type="dxa"/>
              <w:right w:w="30" w:type="dxa"/>
            </w:tcMar>
          </w:tcPr>
          <w:p w:rsidR="00430775" w:rsidRPr="00430775" w:rsidP="00FA4E29" w14:paraId="7C382B17" w14:textId="77777777">
            <w:pPr>
              <w:autoSpaceDE w:val="0"/>
              <w:autoSpaceDN w:val="0"/>
              <w:adjustRightInd w:val="0"/>
              <w:rPr>
                <w:rFonts w:cs="Times"/>
                <w:color w:val="000000"/>
                <w:szCs w:val="22"/>
                <w:lang w:val="en-US"/>
              </w:rPr>
            </w:pPr>
            <w:r w:rsidRPr="00430775">
              <w:rPr>
                <w:rFonts w:cs="Times"/>
                <w:color w:val="000000"/>
                <w:szCs w:val="22"/>
                <w:lang w:val="en-US"/>
              </w:rPr>
              <w:t>1</w:t>
            </w:r>
          </w:p>
        </w:tc>
        <w:tc>
          <w:tcPr>
            <w:tcW w:w="687" w:type="pct"/>
            <w:tcBorders>
              <w:top w:val="single" w:sz="4" w:space="0" w:color="auto"/>
              <w:left w:val="nil"/>
              <w:bottom w:val="nil"/>
              <w:right w:val="nil"/>
            </w:tcBorders>
            <w:shd w:val="clear" w:color="auto" w:fill="FFFFFF"/>
            <w:tcMar>
              <w:top w:w="30" w:type="dxa"/>
              <w:left w:w="30" w:type="dxa"/>
              <w:bottom w:w="30" w:type="dxa"/>
              <w:right w:w="30" w:type="dxa"/>
            </w:tcMar>
          </w:tcPr>
          <w:p w:rsidR="00430775" w:rsidRPr="00430775" w:rsidP="00FA4E29" w14:paraId="11DA104A" w14:textId="77777777">
            <w:pPr>
              <w:autoSpaceDE w:val="0"/>
              <w:autoSpaceDN w:val="0"/>
              <w:adjustRightInd w:val="0"/>
              <w:rPr>
                <w:rFonts w:cs="Times"/>
                <w:color w:val="000000"/>
                <w:szCs w:val="22"/>
                <w:lang w:val="en-US"/>
              </w:rPr>
            </w:pPr>
            <w:r w:rsidRPr="00430775">
              <w:rPr>
                <w:rFonts w:cs="Times"/>
                <w:color w:val="000000"/>
                <w:szCs w:val="22"/>
                <w:lang w:val="en-US"/>
              </w:rPr>
              <w:t>(Constant)</w:t>
            </w:r>
          </w:p>
        </w:tc>
        <w:tc>
          <w:tcPr>
            <w:tcW w:w="782" w:type="pct"/>
            <w:tcBorders>
              <w:top w:val="single" w:sz="4" w:space="0" w:color="auto"/>
              <w:left w:val="nil"/>
              <w:bottom w:val="nil"/>
              <w:right w:val="nil"/>
            </w:tcBorders>
            <w:shd w:val="clear" w:color="auto" w:fill="FFFFFF"/>
            <w:tcMar>
              <w:top w:w="30" w:type="dxa"/>
              <w:left w:w="30" w:type="dxa"/>
              <w:bottom w:w="30" w:type="dxa"/>
              <w:right w:w="30" w:type="dxa"/>
            </w:tcMar>
          </w:tcPr>
          <w:p w:rsidR="00430775" w:rsidRPr="00430775" w:rsidP="00FA4E29" w14:paraId="75AF8EF7" w14:textId="77777777">
            <w:pPr>
              <w:autoSpaceDE w:val="0"/>
              <w:autoSpaceDN w:val="0"/>
              <w:adjustRightInd w:val="0"/>
              <w:jc w:val="right"/>
              <w:rPr>
                <w:rFonts w:cs="Times"/>
                <w:color w:val="000000"/>
                <w:szCs w:val="22"/>
                <w:lang w:val="en-US"/>
              </w:rPr>
            </w:pPr>
            <w:r w:rsidRPr="00430775">
              <w:rPr>
                <w:rFonts w:cs="Times"/>
                <w:color w:val="000000"/>
                <w:szCs w:val="22"/>
                <w:lang w:val="en-US"/>
              </w:rPr>
              <w:t>.510</w:t>
            </w:r>
          </w:p>
        </w:tc>
        <w:tc>
          <w:tcPr>
            <w:tcW w:w="782" w:type="pct"/>
            <w:tcBorders>
              <w:top w:val="single" w:sz="4" w:space="0" w:color="auto"/>
              <w:left w:val="nil"/>
              <w:bottom w:val="nil"/>
              <w:right w:val="nil"/>
            </w:tcBorders>
            <w:shd w:val="clear" w:color="auto" w:fill="FFFFFF"/>
            <w:tcMar>
              <w:top w:w="30" w:type="dxa"/>
              <w:left w:w="30" w:type="dxa"/>
              <w:bottom w:w="30" w:type="dxa"/>
              <w:right w:w="30" w:type="dxa"/>
            </w:tcMar>
          </w:tcPr>
          <w:p w:rsidR="00430775" w:rsidRPr="00430775" w:rsidP="00FA4E29" w14:paraId="6B0CA0C0" w14:textId="77777777">
            <w:pPr>
              <w:autoSpaceDE w:val="0"/>
              <w:autoSpaceDN w:val="0"/>
              <w:adjustRightInd w:val="0"/>
              <w:jc w:val="right"/>
              <w:rPr>
                <w:rFonts w:cs="Times"/>
                <w:color w:val="000000"/>
                <w:szCs w:val="22"/>
                <w:lang w:val="en-US"/>
              </w:rPr>
            </w:pPr>
            <w:r w:rsidRPr="00430775">
              <w:rPr>
                <w:rFonts w:cs="Times"/>
                <w:color w:val="000000"/>
                <w:szCs w:val="22"/>
                <w:lang w:val="en-US"/>
              </w:rPr>
              <w:t>.232</w:t>
            </w:r>
          </w:p>
        </w:tc>
        <w:tc>
          <w:tcPr>
            <w:tcW w:w="859" w:type="pct"/>
            <w:tcBorders>
              <w:top w:val="single" w:sz="4" w:space="0" w:color="auto"/>
              <w:left w:val="nil"/>
              <w:bottom w:val="nil"/>
              <w:right w:val="nil"/>
            </w:tcBorders>
            <w:shd w:val="clear" w:color="auto" w:fill="FFFFFF"/>
            <w:tcMar>
              <w:top w:w="30" w:type="dxa"/>
              <w:left w:w="30" w:type="dxa"/>
              <w:bottom w:w="30" w:type="dxa"/>
              <w:right w:w="30" w:type="dxa"/>
            </w:tcMar>
            <w:vAlign w:val="center"/>
          </w:tcPr>
          <w:p w:rsidR="00430775" w:rsidRPr="00430775" w:rsidP="00FA4E29" w14:paraId="5E7FCBE0" w14:textId="77777777">
            <w:pPr>
              <w:autoSpaceDE w:val="0"/>
              <w:autoSpaceDN w:val="0"/>
              <w:adjustRightInd w:val="0"/>
              <w:jc w:val="center"/>
              <w:rPr>
                <w:rFonts w:cs="Times"/>
                <w:szCs w:val="22"/>
                <w:lang w:val="en-US"/>
              </w:rPr>
            </w:pPr>
          </w:p>
        </w:tc>
        <w:tc>
          <w:tcPr>
            <w:tcW w:w="599" w:type="pct"/>
            <w:tcBorders>
              <w:top w:val="single" w:sz="4" w:space="0" w:color="auto"/>
              <w:left w:val="nil"/>
              <w:bottom w:val="nil"/>
              <w:right w:val="nil"/>
            </w:tcBorders>
            <w:shd w:val="clear" w:color="auto" w:fill="FFFFFF"/>
            <w:tcMar>
              <w:top w:w="30" w:type="dxa"/>
              <w:left w:w="30" w:type="dxa"/>
              <w:bottom w:w="30" w:type="dxa"/>
              <w:right w:w="30" w:type="dxa"/>
            </w:tcMar>
          </w:tcPr>
          <w:p w:rsidR="00430775" w:rsidRPr="00430775" w:rsidP="00FA4E29" w14:paraId="67BD4064" w14:textId="77777777">
            <w:pPr>
              <w:autoSpaceDE w:val="0"/>
              <w:autoSpaceDN w:val="0"/>
              <w:adjustRightInd w:val="0"/>
              <w:jc w:val="center"/>
              <w:rPr>
                <w:rFonts w:cs="Times"/>
                <w:color w:val="000000"/>
                <w:szCs w:val="22"/>
                <w:lang w:val="en-US"/>
              </w:rPr>
            </w:pPr>
            <w:r w:rsidRPr="00430775">
              <w:rPr>
                <w:rFonts w:cs="Times"/>
                <w:color w:val="000000"/>
                <w:szCs w:val="22"/>
                <w:lang w:val="en-US"/>
              </w:rPr>
              <w:t>2.204</w:t>
            </w:r>
          </w:p>
        </w:tc>
        <w:tc>
          <w:tcPr>
            <w:tcW w:w="811" w:type="pct"/>
            <w:tcBorders>
              <w:top w:val="single" w:sz="4" w:space="0" w:color="auto"/>
              <w:left w:val="nil"/>
              <w:bottom w:val="nil"/>
              <w:right w:val="nil"/>
            </w:tcBorders>
            <w:shd w:val="clear" w:color="auto" w:fill="FFFFFF"/>
            <w:tcMar>
              <w:top w:w="30" w:type="dxa"/>
              <w:left w:w="30" w:type="dxa"/>
              <w:bottom w:w="30" w:type="dxa"/>
              <w:right w:w="30" w:type="dxa"/>
            </w:tcMar>
          </w:tcPr>
          <w:p w:rsidR="00430775" w:rsidRPr="00430775" w:rsidP="00FA4E29" w14:paraId="625C2B5F" w14:textId="77777777">
            <w:pPr>
              <w:autoSpaceDE w:val="0"/>
              <w:autoSpaceDN w:val="0"/>
              <w:adjustRightInd w:val="0"/>
              <w:jc w:val="center"/>
              <w:rPr>
                <w:rFonts w:cs="Times"/>
                <w:color w:val="000000"/>
                <w:szCs w:val="22"/>
                <w:lang w:val="en-US"/>
              </w:rPr>
            </w:pPr>
            <w:r w:rsidRPr="00430775">
              <w:rPr>
                <w:rFonts w:cs="Times"/>
                <w:color w:val="000000"/>
                <w:szCs w:val="22"/>
                <w:lang w:val="en-US"/>
              </w:rPr>
              <w:t>.029</w:t>
            </w:r>
          </w:p>
        </w:tc>
      </w:tr>
      <w:tr w14:paraId="2D559A16" w14:textId="77777777" w:rsidTr="003577AA">
        <w:tblPrEx>
          <w:tblW w:w="4919" w:type="pct"/>
          <w:tblCellMar>
            <w:left w:w="30" w:type="dxa"/>
            <w:right w:w="30" w:type="dxa"/>
          </w:tblCellMar>
          <w:tblLook w:val="0000"/>
        </w:tblPrEx>
        <w:trPr>
          <w:cantSplit/>
          <w:tblHeader/>
        </w:trPr>
        <w:tc>
          <w:tcPr>
            <w:tcW w:w="480" w:type="pct"/>
            <w:vMerge/>
            <w:tcBorders>
              <w:top w:val="nil"/>
              <w:left w:val="nil"/>
              <w:bottom w:val="nil"/>
              <w:right w:val="nil"/>
            </w:tcBorders>
            <w:shd w:val="clear" w:color="auto" w:fill="FFFFFF"/>
            <w:tcMar>
              <w:top w:w="30" w:type="dxa"/>
              <w:left w:w="30" w:type="dxa"/>
              <w:bottom w:w="30" w:type="dxa"/>
              <w:right w:w="30" w:type="dxa"/>
            </w:tcMar>
          </w:tcPr>
          <w:p w:rsidR="00430775" w:rsidRPr="00430775" w:rsidP="00FA4E29" w14:paraId="556BC2B1" w14:textId="77777777">
            <w:pPr>
              <w:autoSpaceDE w:val="0"/>
              <w:autoSpaceDN w:val="0"/>
              <w:adjustRightInd w:val="0"/>
              <w:rPr>
                <w:rFonts w:cs="Times"/>
                <w:color w:val="000000"/>
                <w:szCs w:val="22"/>
                <w:lang w:val="en-US"/>
              </w:rPr>
            </w:pPr>
          </w:p>
        </w:tc>
        <w:tc>
          <w:tcPr>
            <w:tcW w:w="687" w:type="pct"/>
            <w:tcBorders>
              <w:top w:val="nil"/>
              <w:left w:val="nil"/>
              <w:bottom w:val="nil"/>
              <w:right w:val="nil"/>
            </w:tcBorders>
            <w:shd w:val="clear" w:color="auto" w:fill="FFFFFF"/>
            <w:tcMar>
              <w:top w:w="30" w:type="dxa"/>
              <w:left w:w="30" w:type="dxa"/>
              <w:bottom w:w="30" w:type="dxa"/>
              <w:right w:w="30" w:type="dxa"/>
            </w:tcMar>
          </w:tcPr>
          <w:p w:rsidR="00430775" w:rsidRPr="00430775" w:rsidP="00FA4E29" w14:paraId="2218EBD3" w14:textId="77777777">
            <w:pPr>
              <w:autoSpaceDE w:val="0"/>
              <w:autoSpaceDN w:val="0"/>
              <w:adjustRightInd w:val="0"/>
              <w:rPr>
                <w:rFonts w:cs="Times"/>
                <w:color w:val="000000"/>
                <w:szCs w:val="22"/>
                <w:lang w:val="en-US"/>
              </w:rPr>
            </w:pPr>
            <w:r w:rsidRPr="00430775">
              <w:rPr>
                <w:rFonts w:cs="Times"/>
                <w:color w:val="000000"/>
                <w:szCs w:val="22"/>
                <w:lang w:val="en-US"/>
              </w:rPr>
              <w:t>ATE</w:t>
            </w:r>
          </w:p>
        </w:tc>
        <w:tc>
          <w:tcPr>
            <w:tcW w:w="782" w:type="pct"/>
            <w:tcBorders>
              <w:top w:val="nil"/>
              <w:left w:val="nil"/>
              <w:bottom w:val="nil"/>
              <w:right w:val="nil"/>
            </w:tcBorders>
            <w:shd w:val="clear" w:color="auto" w:fill="FFFFFF"/>
            <w:tcMar>
              <w:top w:w="30" w:type="dxa"/>
              <w:left w:w="30" w:type="dxa"/>
              <w:bottom w:w="30" w:type="dxa"/>
              <w:right w:w="30" w:type="dxa"/>
            </w:tcMar>
          </w:tcPr>
          <w:p w:rsidR="00430775" w:rsidRPr="00430775" w:rsidP="00FA4E29" w14:paraId="311BCA3B" w14:textId="77777777">
            <w:pPr>
              <w:autoSpaceDE w:val="0"/>
              <w:autoSpaceDN w:val="0"/>
              <w:adjustRightInd w:val="0"/>
              <w:jc w:val="right"/>
              <w:rPr>
                <w:rFonts w:cs="Times"/>
                <w:color w:val="000000"/>
                <w:szCs w:val="22"/>
                <w:lang w:val="en-US"/>
              </w:rPr>
            </w:pPr>
            <w:r w:rsidRPr="00430775">
              <w:rPr>
                <w:rFonts w:cs="Times"/>
                <w:color w:val="000000"/>
                <w:szCs w:val="22"/>
                <w:lang w:val="en-US"/>
              </w:rPr>
              <w:t>.302</w:t>
            </w:r>
          </w:p>
        </w:tc>
        <w:tc>
          <w:tcPr>
            <w:tcW w:w="782" w:type="pct"/>
            <w:tcBorders>
              <w:top w:val="nil"/>
              <w:left w:val="nil"/>
              <w:bottom w:val="nil"/>
              <w:right w:val="nil"/>
            </w:tcBorders>
            <w:shd w:val="clear" w:color="auto" w:fill="FFFFFF"/>
            <w:tcMar>
              <w:top w:w="30" w:type="dxa"/>
              <w:left w:w="30" w:type="dxa"/>
              <w:bottom w:w="30" w:type="dxa"/>
              <w:right w:w="30" w:type="dxa"/>
            </w:tcMar>
          </w:tcPr>
          <w:p w:rsidR="00430775" w:rsidRPr="00430775" w:rsidP="00FA4E29" w14:paraId="122A0557" w14:textId="77777777">
            <w:pPr>
              <w:autoSpaceDE w:val="0"/>
              <w:autoSpaceDN w:val="0"/>
              <w:adjustRightInd w:val="0"/>
              <w:jc w:val="right"/>
              <w:rPr>
                <w:rFonts w:cs="Times"/>
                <w:color w:val="000000"/>
                <w:szCs w:val="22"/>
                <w:lang w:val="en-US"/>
              </w:rPr>
            </w:pPr>
            <w:r w:rsidRPr="00430775">
              <w:rPr>
                <w:rFonts w:cs="Times"/>
                <w:color w:val="000000"/>
                <w:szCs w:val="22"/>
                <w:lang w:val="en-US"/>
              </w:rPr>
              <w:t>.047</w:t>
            </w:r>
          </w:p>
        </w:tc>
        <w:tc>
          <w:tcPr>
            <w:tcW w:w="859" w:type="pct"/>
            <w:tcBorders>
              <w:top w:val="nil"/>
              <w:left w:val="nil"/>
              <w:bottom w:val="nil"/>
              <w:right w:val="nil"/>
            </w:tcBorders>
            <w:shd w:val="clear" w:color="auto" w:fill="FFFFFF"/>
            <w:tcMar>
              <w:top w:w="30" w:type="dxa"/>
              <w:left w:w="30" w:type="dxa"/>
              <w:bottom w:w="30" w:type="dxa"/>
              <w:right w:w="30" w:type="dxa"/>
            </w:tcMar>
          </w:tcPr>
          <w:p w:rsidR="00430775" w:rsidRPr="00430775" w:rsidP="00FA4E29" w14:paraId="711B8E27" w14:textId="77777777">
            <w:pPr>
              <w:autoSpaceDE w:val="0"/>
              <w:autoSpaceDN w:val="0"/>
              <w:adjustRightInd w:val="0"/>
              <w:jc w:val="right"/>
              <w:rPr>
                <w:rFonts w:cs="Times"/>
                <w:color w:val="000000"/>
                <w:szCs w:val="22"/>
                <w:lang w:val="en-US"/>
              </w:rPr>
            </w:pPr>
            <w:r w:rsidRPr="00430775">
              <w:rPr>
                <w:rFonts w:cs="Times"/>
                <w:color w:val="000000"/>
                <w:szCs w:val="22"/>
                <w:lang w:val="en-US"/>
              </w:rPr>
              <w:t>.311</w:t>
            </w:r>
          </w:p>
        </w:tc>
        <w:tc>
          <w:tcPr>
            <w:tcW w:w="599" w:type="pct"/>
            <w:tcBorders>
              <w:top w:val="nil"/>
              <w:left w:val="nil"/>
              <w:bottom w:val="nil"/>
              <w:right w:val="nil"/>
            </w:tcBorders>
            <w:shd w:val="clear" w:color="auto" w:fill="FFFFFF"/>
            <w:tcMar>
              <w:top w:w="30" w:type="dxa"/>
              <w:left w:w="30" w:type="dxa"/>
              <w:bottom w:w="30" w:type="dxa"/>
              <w:right w:w="30" w:type="dxa"/>
            </w:tcMar>
          </w:tcPr>
          <w:p w:rsidR="00430775" w:rsidRPr="00430775" w:rsidP="00FA4E29" w14:paraId="49296D2C" w14:textId="77777777">
            <w:pPr>
              <w:autoSpaceDE w:val="0"/>
              <w:autoSpaceDN w:val="0"/>
              <w:adjustRightInd w:val="0"/>
              <w:jc w:val="center"/>
              <w:rPr>
                <w:rFonts w:cs="Times"/>
                <w:color w:val="000000"/>
                <w:szCs w:val="22"/>
                <w:lang w:val="en-US"/>
              </w:rPr>
            </w:pPr>
            <w:r w:rsidRPr="00430775">
              <w:rPr>
                <w:rFonts w:cs="Times"/>
                <w:color w:val="000000"/>
                <w:szCs w:val="22"/>
                <w:lang w:val="en-US"/>
              </w:rPr>
              <w:t>6.440</w:t>
            </w:r>
          </w:p>
        </w:tc>
        <w:tc>
          <w:tcPr>
            <w:tcW w:w="811" w:type="pct"/>
            <w:tcBorders>
              <w:top w:val="nil"/>
              <w:left w:val="nil"/>
              <w:bottom w:val="nil"/>
              <w:right w:val="nil"/>
            </w:tcBorders>
            <w:shd w:val="clear" w:color="auto" w:fill="FFFFFF"/>
            <w:tcMar>
              <w:top w:w="30" w:type="dxa"/>
              <w:left w:w="30" w:type="dxa"/>
              <w:bottom w:w="30" w:type="dxa"/>
              <w:right w:w="30" w:type="dxa"/>
            </w:tcMar>
          </w:tcPr>
          <w:p w:rsidR="00430775" w:rsidRPr="00430775" w:rsidP="00FA4E29" w14:paraId="554E0654" w14:textId="77777777">
            <w:pPr>
              <w:autoSpaceDE w:val="0"/>
              <w:autoSpaceDN w:val="0"/>
              <w:adjustRightInd w:val="0"/>
              <w:jc w:val="center"/>
              <w:rPr>
                <w:rFonts w:cs="Times"/>
                <w:color w:val="000000"/>
                <w:szCs w:val="22"/>
                <w:lang w:val="en-US"/>
              </w:rPr>
            </w:pPr>
            <w:r w:rsidRPr="00430775">
              <w:rPr>
                <w:rFonts w:cs="Times"/>
                <w:color w:val="000000"/>
                <w:szCs w:val="22"/>
                <w:lang w:val="en-US"/>
              </w:rPr>
              <w:t>.000***</w:t>
            </w:r>
          </w:p>
        </w:tc>
      </w:tr>
      <w:tr w14:paraId="48F8276D" w14:textId="77777777" w:rsidTr="003577AA">
        <w:tblPrEx>
          <w:tblW w:w="4919" w:type="pct"/>
          <w:tblCellMar>
            <w:left w:w="30" w:type="dxa"/>
            <w:right w:w="30" w:type="dxa"/>
          </w:tblCellMar>
          <w:tblLook w:val="0000"/>
        </w:tblPrEx>
        <w:trPr>
          <w:cantSplit/>
          <w:tblHeader/>
        </w:trPr>
        <w:tc>
          <w:tcPr>
            <w:tcW w:w="480" w:type="pct"/>
            <w:vMerge/>
            <w:tcBorders>
              <w:top w:val="nil"/>
              <w:left w:val="nil"/>
              <w:bottom w:val="nil"/>
              <w:right w:val="nil"/>
            </w:tcBorders>
            <w:shd w:val="clear" w:color="auto" w:fill="FFFFFF"/>
            <w:tcMar>
              <w:top w:w="30" w:type="dxa"/>
              <w:left w:w="30" w:type="dxa"/>
              <w:bottom w:w="30" w:type="dxa"/>
              <w:right w:w="30" w:type="dxa"/>
            </w:tcMar>
          </w:tcPr>
          <w:p w:rsidR="00430775" w:rsidRPr="00430775" w:rsidP="00FA4E29" w14:paraId="4805021A" w14:textId="77777777">
            <w:pPr>
              <w:autoSpaceDE w:val="0"/>
              <w:autoSpaceDN w:val="0"/>
              <w:adjustRightInd w:val="0"/>
              <w:rPr>
                <w:rFonts w:cs="Times"/>
                <w:color w:val="000000"/>
                <w:szCs w:val="22"/>
                <w:lang w:val="en-US"/>
              </w:rPr>
            </w:pPr>
          </w:p>
        </w:tc>
        <w:tc>
          <w:tcPr>
            <w:tcW w:w="687" w:type="pct"/>
            <w:tcBorders>
              <w:top w:val="nil"/>
              <w:left w:val="nil"/>
              <w:bottom w:val="nil"/>
              <w:right w:val="nil"/>
            </w:tcBorders>
            <w:shd w:val="clear" w:color="auto" w:fill="FFFFFF"/>
            <w:tcMar>
              <w:top w:w="30" w:type="dxa"/>
              <w:left w:w="30" w:type="dxa"/>
              <w:bottom w:w="30" w:type="dxa"/>
              <w:right w:w="30" w:type="dxa"/>
            </w:tcMar>
          </w:tcPr>
          <w:p w:rsidR="00430775" w:rsidRPr="00430775" w:rsidP="00FA4E29" w14:paraId="032E7D8F" w14:textId="77777777">
            <w:pPr>
              <w:autoSpaceDE w:val="0"/>
              <w:autoSpaceDN w:val="0"/>
              <w:adjustRightInd w:val="0"/>
              <w:rPr>
                <w:rFonts w:cs="Times"/>
                <w:color w:val="000000"/>
                <w:szCs w:val="22"/>
                <w:lang w:val="en-US"/>
              </w:rPr>
            </w:pPr>
            <w:r w:rsidRPr="00430775">
              <w:rPr>
                <w:rFonts w:cs="Times"/>
                <w:color w:val="000000"/>
                <w:szCs w:val="22"/>
                <w:lang w:val="en-US"/>
              </w:rPr>
              <w:t>SN</w:t>
            </w:r>
          </w:p>
        </w:tc>
        <w:tc>
          <w:tcPr>
            <w:tcW w:w="782" w:type="pct"/>
            <w:tcBorders>
              <w:top w:val="nil"/>
              <w:left w:val="nil"/>
              <w:bottom w:val="nil"/>
              <w:right w:val="nil"/>
            </w:tcBorders>
            <w:shd w:val="clear" w:color="auto" w:fill="FFFFFF"/>
            <w:tcMar>
              <w:top w:w="30" w:type="dxa"/>
              <w:left w:w="30" w:type="dxa"/>
              <w:bottom w:w="30" w:type="dxa"/>
              <w:right w:w="30" w:type="dxa"/>
            </w:tcMar>
          </w:tcPr>
          <w:p w:rsidR="00430775" w:rsidRPr="00430775" w:rsidP="00FA4E29" w14:paraId="29938FD2" w14:textId="77777777">
            <w:pPr>
              <w:autoSpaceDE w:val="0"/>
              <w:autoSpaceDN w:val="0"/>
              <w:adjustRightInd w:val="0"/>
              <w:jc w:val="right"/>
              <w:rPr>
                <w:rFonts w:cs="Times"/>
                <w:color w:val="000000"/>
                <w:szCs w:val="22"/>
                <w:lang w:val="en-US"/>
              </w:rPr>
            </w:pPr>
            <w:r w:rsidRPr="00430775">
              <w:rPr>
                <w:rFonts w:cs="Times"/>
                <w:color w:val="000000"/>
                <w:szCs w:val="22"/>
                <w:lang w:val="en-US"/>
              </w:rPr>
              <w:t>.058</w:t>
            </w:r>
          </w:p>
        </w:tc>
        <w:tc>
          <w:tcPr>
            <w:tcW w:w="782" w:type="pct"/>
            <w:tcBorders>
              <w:top w:val="nil"/>
              <w:left w:val="nil"/>
              <w:bottom w:val="nil"/>
              <w:right w:val="nil"/>
            </w:tcBorders>
            <w:shd w:val="clear" w:color="auto" w:fill="FFFFFF"/>
            <w:tcMar>
              <w:top w:w="30" w:type="dxa"/>
              <w:left w:w="30" w:type="dxa"/>
              <w:bottom w:w="30" w:type="dxa"/>
              <w:right w:w="30" w:type="dxa"/>
            </w:tcMar>
          </w:tcPr>
          <w:p w:rsidR="00430775" w:rsidRPr="00430775" w:rsidP="00FA4E29" w14:paraId="1D013FF6" w14:textId="77777777">
            <w:pPr>
              <w:autoSpaceDE w:val="0"/>
              <w:autoSpaceDN w:val="0"/>
              <w:adjustRightInd w:val="0"/>
              <w:jc w:val="right"/>
              <w:rPr>
                <w:rFonts w:cs="Times"/>
                <w:color w:val="000000"/>
                <w:szCs w:val="22"/>
                <w:lang w:val="en-US"/>
              </w:rPr>
            </w:pPr>
            <w:r w:rsidRPr="00430775">
              <w:rPr>
                <w:rFonts w:cs="Times"/>
                <w:color w:val="000000"/>
                <w:szCs w:val="22"/>
                <w:lang w:val="en-US"/>
              </w:rPr>
              <w:t>.029</w:t>
            </w:r>
          </w:p>
        </w:tc>
        <w:tc>
          <w:tcPr>
            <w:tcW w:w="859" w:type="pct"/>
            <w:tcBorders>
              <w:top w:val="nil"/>
              <w:left w:val="nil"/>
              <w:bottom w:val="nil"/>
              <w:right w:val="nil"/>
            </w:tcBorders>
            <w:shd w:val="clear" w:color="auto" w:fill="FFFFFF"/>
            <w:tcMar>
              <w:top w:w="30" w:type="dxa"/>
              <w:left w:w="30" w:type="dxa"/>
              <w:bottom w:w="30" w:type="dxa"/>
              <w:right w:w="30" w:type="dxa"/>
            </w:tcMar>
          </w:tcPr>
          <w:p w:rsidR="00430775" w:rsidRPr="00430775" w:rsidP="00FA4E29" w14:paraId="53FF9496" w14:textId="77777777">
            <w:pPr>
              <w:autoSpaceDE w:val="0"/>
              <w:autoSpaceDN w:val="0"/>
              <w:adjustRightInd w:val="0"/>
              <w:jc w:val="right"/>
              <w:rPr>
                <w:rFonts w:cs="Times"/>
                <w:color w:val="000000"/>
                <w:szCs w:val="22"/>
                <w:lang w:val="en-US"/>
              </w:rPr>
            </w:pPr>
            <w:r w:rsidRPr="00430775">
              <w:rPr>
                <w:rFonts w:cs="Times"/>
                <w:color w:val="000000"/>
                <w:szCs w:val="22"/>
                <w:lang w:val="en-US"/>
              </w:rPr>
              <w:t>.098</w:t>
            </w:r>
          </w:p>
        </w:tc>
        <w:tc>
          <w:tcPr>
            <w:tcW w:w="599" w:type="pct"/>
            <w:tcBorders>
              <w:top w:val="nil"/>
              <w:left w:val="nil"/>
              <w:bottom w:val="nil"/>
              <w:right w:val="nil"/>
            </w:tcBorders>
            <w:shd w:val="clear" w:color="auto" w:fill="FFFFFF"/>
            <w:tcMar>
              <w:top w:w="30" w:type="dxa"/>
              <w:left w:w="30" w:type="dxa"/>
              <w:bottom w:w="30" w:type="dxa"/>
              <w:right w:w="30" w:type="dxa"/>
            </w:tcMar>
          </w:tcPr>
          <w:p w:rsidR="00430775" w:rsidRPr="00430775" w:rsidP="00FA4E29" w14:paraId="0EF41EA1" w14:textId="77777777">
            <w:pPr>
              <w:autoSpaceDE w:val="0"/>
              <w:autoSpaceDN w:val="0"/>
              <w:adjustRightInd w:val="0"/>
              <w:jc w:val="center"/>
              <w:rPr>
                <w:rFonts w:cs="Times"/>
                <w:color w:val="000000"/>
                <w:szCs w:val="22"/>
                <w:lang w:val="en-US"/>
              </w:rPr>
            </w:pPr>
            <w:r w:rsidRPr="00430775">
              <w:rPr>
                <w:rFonts w:cs="Times"/>
                <w:color w:val="000000"/>
                <w:szCs w:val="22"/>
                <w:lang w:val="en-US"/>
              </w:rPr>
              <w:t>2.036</w:t>
            </w:r>
          </w:p>
        </w:tc>
        <w:tc>
          <w:tcPr>
            <w:tcW w:w="811" w:type="pct"/>
            <w:tcBorders>
              <w:top w:val="nil"/>
              <w:left w:val="nil"/>
              <w:bottom w:val="nil"/>
              <w:right w:val="nil"/>
            </w:tcBorders>
            <w:shd w:val="clear" w:color="auto" w:fill="FFFFFF"/>
            <w:tcMar>
              <w:top w:w="30" w:type="dxa"/>
              <w:left w:w="30" w:type="dxa"/>
              <w:bottom w:w="30" w:type="dxa"/>
              <w:right w:w="30" w:type="dxa"/>
            </w:tcMar>
          </w:tcPr>
          <w:p w:rsidR="00430775" w:rsidRPr="00430775" w:rsidP="00FA4E29" w14:paraId="4647BBB0" w14:textId="77777777">
            <w:pPr>
              <w:autoSpaceDE w:val="0"/>
              <w:autoSpaceDN w:val="0"/>
              <w:adjustRightInd w:val="0"/>
              <w:jc w:val="center"/>
              <w:rPr>
                <w:rFonts w:cs="Times"/>
                <w:color w:val="000000"/>
                <w:szCs w:val="22"/>
                <w:lang w:val="en-US"/>
              </w:rPr>
            </w:pPr>
            <w:r w:rsidRPr="00430775">
              <w:rPr>
                <w:rFonts w:cs="Times"/>
                <w:color w:val="000000"/>
                <w:szCs w:val="22"/>
                <w:lang w:val="en-US"/>
              </w:rPr>
              <w:t>.043**</w:t>
            </w:r>
          </w:p>
        </w:tc>
      </w:tr>
      <w:tr w14:paraId="0C916C20" w14:textId="77777777" w:rsidTr="003577AA">
        <w:tblPrEx>
          <w:tblW w:w="4919" w:type="pct"/>
          <w:tblCellMar>
            <w:left w:w="30" w:type="dxa"/>
            <w:right w:w="30" w:type="dxa"/>
          </w:tblCellMar>
          <w:tblLook w:val="0000"/>
        </w:tblPrEx>
        <w:trPr>
          <w:cantSplit/>
          <w:tblHeader/>
        </w:trPr>
        <w:tc>
          <w:tcPr>
            <w:tcW w:w="480" w:type="pct"/>
            <w:vMerge/>
            <w:tcBorders>
              <w:top w:val="nil"/>
              <w:left w:val="nil"/>
              <w:bottom w:val="nil"/>
              <w:right w:val="nil"/>
            </w:tcBorders>
            <w:shd w:val="clear" w:color="auto" w:fill="FFFFFF"/>
            <w:tcMar>
              <w:top w:w="30" w:type="dxa"/>
              <w:left w:w="30" w:type="dxa"/>
              <w:bottom w:w="30" w:type="dxa"/>
              <w:right w:w="30" w:type="dxa"/>
            </w:tcMar>
          </w:tcPr>
          <w:p w:rsidR="00430775" w:rsidRPr="00430775" w:rsidP="00FA4E29" w14:paraId="730D6E4A" w14:textId="77777777">
            <w:pPr>
              <w:autoSpaceDE w:val="0"/>
              <w:autoSpaceDN w:val="0"/>
              <w:adjustRightInd w:val="0"/>
              <w:rPr>
                <w:rFonts w:cs="Times"/>
                <w:color w:val="000000"/>
                <w:szCs w:val="22"/>
                <w:lang w:val="en-US"/>
              </w:rPr>
            </w:pPr>
          </w:p>
        </w:tc>
        <w:tc>
          <w:tcPr>
            <w:tcW w:w="687" w:type="pct"/>
            <w:tcBorders>
              <w:top w:val="nil"/>
              <w:left w:val="nil"/>
              <w:bottom w:val="nil"/>
              <w:right w:val="nil"/>
            </w:tcBorders>
            <w:shd w:val="clear" w:color="auto" w:fill="FFFFFF"/>
            <w:tcMar>
              <w:top w:w="30" w:type="dxa"/>
              <w:left w:w="30" w:type="dxa"/>
              <w:bottom w:w="30" w:type="dxa"/>
              <w:right w:w="30" w:type="dxa"/>
            </w:tcMar>
          </w:tcPr>
          <w:p w:rsidR="00430775" w:rsidRPr="00430775" w:rsidP="00FA4E29" w14:paraId="654D0A16" w14:textId="77777777">
            <w:pPr>
              <w:autoSpaceDE w:val="0"/>
              <w:autoSpaceDN w:val="0"/>
              <w:adjustRightInd w:val="0"/>
              <w:rPr>
                <w:rFonts w:cs="Times"/>
                <w:color w:val="000000"/>
                <w:szCs w:val="22"/>
                <w:lang w:val="en-US"/>
              </w:rPr>
            </w:pPr>
            <w:r w:rsidRPr="00430775">
              <w:rPr>
                <w:rFonts w:cs="Times"/>
                <w:color w:val="000000"/>
                <w:szCs w:val="22"/>
                <w:lang w:val="en-US"/>
              </w:rPr>
              <w:t>PBC</w:t>
            </w:r>
          </w:p>
        </w:tc>
        <w:tc>
          <w:tcPr>
            <w:tcW w:w="782" w:type="pct"/>
            <w:tcBorders>
              <w:top w:val="nil"/>
              <w:left w:val="nil"/>
              <w:bottom w:val="nil"/>
              <w:right w:val="nil"/>
            </w:tcBorders>
            <w:shd w:val="clear" w:color="auto" w:fill="FFFFFF"/>
            <w:tcMar>
              <w:top w:w="30" w:type="dxa"/>
              <w:left w:w="30" w:type="dxa"/>
              <w:bottom w:w="30" w:type="dxa"/>
              <w:right w:w="30" w:type="dxa"/>
            </w:tcMar>
          </w:tcPr>
          <w:p w:rsidR="00430775" w:rsidRPr="00430775" w:rsidP="00FA4E29" w14:paraId="5788DBE9" w14:textId="77777777">
            <w:pPr>
              <w:autoSpaceDE w:val="0"/>
              <w:autoSpaceDN w:val="0"/>
              <w:adjustRightInd w:val="0"/>
              <w:jc w:val="right"/>
              <w:rPr>
                <w:rFonts w:cs="Times"/>
                <w:color w:val="000000"/>
                <w:szCs w:val="22"/>
                <w:lang w:val="en-US"/>
              </w:rPr>
            </w:pPr>
            <w:r w:rsidRPr="00430775">
              <w:rPr>
                <w:rFonts w:cs="Times"/>
                <w:color w:val="000000"/>
                <w:szCs w:val="22"/>
                <w:lang w:val="en-US"/>
              </w:rPr>
              <w:t>-.052</w:t>
            </w:r>
          </w:p>
        </w:tc>
        <w:tc>
          <w:tcPr>
            <w:tcW w:w="782" w:type="pct"/>
            <w:tcBorders>
              <w:top w:val="nil"/>
              <w:left w:val="nil"/>
              <w:bottom w:val="nil"/>
              <w:right w:val="nil"/>
            </w:tcBorders>
            <w:shd w:val="clear" w:color="auto" w:fill="FFFFFF"/>
            <w:tcMar>
              <w:top w:w="30" w:type="dxa"/>
              <w:left w:w="30" w:type="dxa"/>
              <w:bottom w:w="30" w:type="dxa"/>
              <w:right w:w="30" w:type="dxa"/>
            </w:tcMar>
          </w:tcPr>
          <w:p w:rsidR="00430775" w:rsidRPr="00430775" w:rsidP="00FA4E29" w14:paraId="38696564" w14:textId="77777777">
            <w:pPr>
              <w:autoSpaceDE w:val="0"/>
              <w:autoSpaceDN w:val="0"/>
              <w:adjustRightInd w:val="0"/>
              <w:jc w:val="right"/>
              <w:rPr>
                <w:rFonts w:cs="Times"/>
                <w:color w:val="000000"/>
                <w:szCs w:val="22"/>
                <w:lang w:val="en-US"/>
              </w:rPr>
            </w:pPr>
            <w:r w:rsidRPr="00430775">
              <w:rPr>
                <w:rFonts w:cs="Times"/>
                <w:color w:val="000000"/>
                <w:szCs w:val="22"/>
                <w:lang w:val="en-US"/>
              </w:rPr>
              <w:t>.064</w:t>
            </w:r>
          </w:p>
        </w:tc>
        <w:tc>
          <w:tcPr>
            <w:tcW w:w="859" w:type="pct"/>
            <w:tcBorders>
              <w:top w:val="nil"/>
              <w:left w:val="nil"/>
              <w:bottom w:val="nil"/>
              <w:right w:val="nil"/>
            </w:tcBorders>
            <w:shd w:val="clear" w:color="auto" w:fill="FFFFFF"/>
            <w:tcMar>
              <w:top w:w="30" w:type="dxa"/>
              <w:left w:w="30" w:type="dxa"/>
              <w:bottom w:w="30" w:type="dxa"/>
              <w:right w:w="30" w:type="dxa"/>
            </w:tcMar>
          </w:tcPr>
          <w:p w:rsidR="00430775" w:rsidRPr="00430775" w:rsidP="00FA4E29" w14:paraId="3E638ECF" w14:textId="77777777">
            <w:pPr>
              <w:autoSpaceDE w:val="0"/>
              <w:autoSpaceDN w:val="0"/>
              <w:adjustRightInd w:val="0"/>
              <w:jc w:val="right"/>
              <w:rPr>
                <w:rFonts w:cs="Times"/>
                <w:color w:val="000000"/>
                <w:szCs w:val="22"/>
                <w:lang w:val="en-US"/>
              </w:rPr>
            </w:pPr>
            <w:r w:rsidRPr="00430775">
              <w:rPr>
                <w:rFonts w:cs="Times"/>
                <w:color w:val="000000"/>
                <w:szCs w:val="22"/>
                <w:lang w:val="en-US"/>
              </w:rPr>
              <w:t>-.035</w:t>
            </w:r>
          </w:p>
        </w:tc>
        <w:tc>
          <w:tcPr>
            <w:tcW w:w="599" w:type="pct"/>
            <w:tcBorders>
              <w:top w:val="nil"/>
              <w:left w:val="nil"/>
              <w:bottom w:val="nil"/>
              <w:right w:val="nil"/>
            </w:tcBorders>
            <w:shd w:val="clear" w:color="auto" w:fill="FFFFFF"/>
            <w:tcMar>
              <w:top w:w="30" w:type="dxa"/>
              <w:left w:w="30" w:type="dxa"/>
              <w:bottom w:w="30" w:type="dxa"/>
              <w:right w:w="30" w:type="dxa"/>
            </w:tcMar>
          </w:tcPr>
          <w:p w:rsidR="00430775" w:rsidRPr="00430775" w:rsidP="00FA4E29" w14:paraId="0C6A811B" w14:textId="77777777">
            <w:pPr>
              <w:autoSpaceDE w:val="0"/>
              <w:autoSpaceDN w:val="0"/>
              <w:adjustRightInd w:val="0"/>
              <w:jc w:val="center"/>
              <w:rPr>
                <w:rFonts w:cs="Times"/>
                <w:color w:val="000000"/>
                <w:szCs w:val="22"/>
                <w:lang w:val="en-US"/>
              </w:rPr>
            </w:pPr>
            <w:r w:rsidRPr="00430775">
              <w:rPr>
                <w:rFonts w:cs="Times"/>
                <w:color w:val="000000"/>
                <w:szCs w:val="22"/>
                <w:lang w:val="en-US"/>
              </w:rPr>
              <w:t>-.807</w:t>
            </w:r>
          </w:p>
        </w:tc>
        <w:tc>
          <w:tcPr>
            <w:tcW w:w="811" w:type="pct"/>
            <w:tcBorders>
              <w:top w:val="nil"/>
              <w:left w:val="nil"/>
              <w:bottom w:val="nil"/>
              <w:right w:val="nil"/>
            </w:tcBorders>
            <w:shd w:val="clear" w:color="auto" w:fill="FFFFFF"/>
            <w:tcMar>
              <w:top w:w="30" w:type="dxa"/>
              <w:left w:w="30" w:type="dxa"/>
              <w:bottom w:w="30" w:type="dxa"/>
              <w:right w:w="30" w:type="dxa"/>
            </w:tcMar>
          </w:tcPr>
          <w:p w:rsidR="00430775" w:rsidRPr="00430775" w:rsidP="00FA4E29" w14:paraId="6CE79D7B" w14:textId="77777777">
            <w:pPr>
              <w:autoSpaceDE w:val="0"/>
              <w:autoSpaceDN w:val="0"/>
              <w:adjustRightInd w:val="0"/>
              <w:jc w:val="center"/>
              <w:rPr>
                <w:rFonts w:cs="Times"/>
                <w:color w:val="000000"/>
                <w:szCs w:val="22"/>
                <w:lang w:val="en-US"/>
              </w:rPr>
            </w:pPr>
            <w:r w:rsidRPr="00430775">
              <w:rPr>
                <w:rFonts w:cs="Times"/>
                <w:color w:val="000000"/>
                <w:szCs w:val="22"/>
                <w:lang w:val="en-US"/>
              </w:rPr>
              <w:t>.420</w:t>
            </w:r>
          </w:p>
        </w:tc>
      </w:tr>
      <w:tr w14:paraId="62C01DC5" w14:textId="77777777" w:rsidTr="003577AA">
        <w:tblPrEx>
          <w:tblW w:w="4919" w:type="pct"/>
          <w:tblCellMar>
            <w:left w:w="30" w:type="dxa"/>
            <w:right w:w="30" w:type="dxa"/>
          </w:tblCellMar>
          <w:tblLook w:val="0000"/>
        </w:tblPrEx>
        <w:trPr>
          <w:cantSplit/>
          <w:tblHeader/>
        </w:trPr>
        <w:tc>
          <w:tcPr>
            <w:tcW w:w="480" w:type="pct"/>
            <w:vMerge/>
            <w:tcBorders>
              <w:top w:val="nil"/>
              <w:left w:val="nil"/>
              <w:bottom w:val="nil"/>
              <w:right w:val="nil"/>
            </w:tcBorders>
            <w:shd w:val="clear" w:color="auto" w:fill="FFFFFF"/>
            <w:tcMar>
              <w:top w:w="30" w:type="dxa"/>
              <w:left w:w="30" w:type="dxa"/>
              <w:bottom w:w="30" w:type="dxa"/>
              <w:right w:w="30" w:type="dxa"/>
            </w:tcMar>
          </w:tcPr>
          <w:p w:rsidR="00430775" w:rsidRPr="00430775" w:rsidP="00FA4E29" w14:paraId="41EDC597" w14:textId="77777777">
            <w:pPr>
              <w:autoSpaceDE w:val="0"/>
              <w:autoSpaceDN w:val="0"/>
              <w:adjustRightInd w:val="0"/>
              <w:rPr>
                <w:rFonts w:cs="Times"/>
                <w:color w:val="000000"/>
                <w:szCs w:val="22"/>
                <w:lang w:val="en-US"/>
              </w:rPr>
            </w:pPr>
          </w:p>
        </w:tc>
        <w:tc>
          <w:tcPr>
            <w:tcW w:w="687" w:type="pct"/>
            <w:tcBorders>
              <w:top w:val="nil"/>
              <w:left w:val="nil"/>
              <w:bottom w:val="nil"/>
              <w:right w:val="nil"/>
            </w:tcBorders>
            <w:shd w:val="clear" w:color="auto" w:fill="FFFFFF"/>
            <w:tcMar>
              <w:top w:w="30" w:type="dxa"/>
              <w:left w:w="30" w:type="dxa"/>
              <w:bottom w:w="30" w:type="dxa"/>
              <w:right w:w="30" w:type="dxa"/>
            </w:tcMar>
          </w:tcPr>
          <w:p w:rsidR="00430775" w:rsidRPr="00430775" w:rsidP="00FA4E29" w14:paraId="59C21403" w14:textId="77777777">
            <w:pPr>
              <w:autoSpaceDE w:val="0"/>
              <w:autoSpaceDN w:val="0"/>
              <w:adjustRightInd w:val="0"/>
              <w:rPr>
                <w:rFonts w:cs="Times"/>
                <w:color w:val="000000"/>
                <w:szCs w:val="22"/>
                <w:lang w:val="en-US"/>
              </w:rPr>
            </w:pPr>
            <w:r w:rsidRPr="00430775">
              <w:rPr>
                <w:rFonts w:cs="Times"/>
                <w:color w:val="000000"/>
                <w:szCs w:val="22"/>
                <w:lang w:val="en-US"/>
              </w:rPr>
              <w:t>EE</w:t>
            </w:r>
          </w:p>
        </w:tc>
        <w:tc>
          <w:tcPr>
            <w:tcW w:w="782" w:type="pct"/>
            <w:tcBorders>
              <w:top w:val="nil"/>
              <w:left w:val="nil"/>
              <w:bottom w:val="nil"/>
              <w:right w:val="nil"/>
            </w:tcBorders>
            <w:shd w:val="clear" w:color="auto" w:fill="FFFFFF"/>
            <w:tcMar>
              <w:top w:w="30" w:type="dxa"/>
              <w:left w:w="30" w:type="dxa"/>
              <w:bottom w:w="30" w:type="dxa"/>
              <w:right w:w="30" w:type="dxa"/>
            </w:tcMar>
          </w:tcPr>
          <w:p w:rsidR="00430775" w:rsidRPr="00430775" w:rsidP="00FA4E29" w14:paraId="05868EFC" w14:textId="77777777">
            <w:pPr>
              <w:autoSpaceDE w:val="0"/>
              <w:autoSpaceDN w:val="0"/>
              <w:adjustRightInd w:val="0"/>
              <w:jc w:val="right"/>
              <w:rPr>
                <w:rFonts w:cs="Times"/>
                <w:color w:val="000000"/>
                <w:szCs w:val="22"/>
                <w:lang w:val="en-US"/>
              </w:rPr>
            </w:pPr>
            <w:r w:rsidRPr="00430775">
              <w:rPr>
                <w:rFonts w:cs="Times"/>
                <w:color w:val="000000"/>
                <w:szCs w:val="22"/>
                <w:lang w:val="en-US"/>
              </w:rPr>
              <w:t>.609</w:t>
            </w:r>
          </w:p>
        </w:tc>
        <w:tc>
          <w:tcPr>
            <w:tcW w:w="782" w:type="pct"/>
            <w:tcBorders>
              <w:top w:val="nil"/>
              <w:left w:val="nil"/>
              <w:bottom w:val="nil"/>
              <w:right w:val="nil"/>
            </w:tcBorders>
            <w:shd w:val="clear" w:color="auto" w:fill="FFFFFF"/>
            <w:tcMar>
              <w:top w:w="30" w:type="dxa"/>
              <w:left w:w="30" w:type="dxa"/>
              <w:bottom w:w="30" w:type="dxa"/>
              <w:right w:w="30" w:type="dxa"/>
            </w:tcMar>
          </w:tcPr>
          <w:p w:rsidR="00430775" w:rsidRPr="00430775" w:rsidP="00FA4E29" w14:paraId="16280F80" w14:textId="77777777">
            <w:pPr>
              <w:autoSpaceDE w:val="0"/>
              <w:autoSpaceDN w:val="0"/>
              <w:adjustRightInd w:val="0"/>
              <w:jc w:val="right"/>
              <w:rPr>
                <w:rFonts w:cs="Times"/>
                <w:color w:val="000000"/>
                <w:szCs w:val="22"/>
                <w:lang w:val="en-US"/>
              </w:rPr>
            </w:pPr>
            <w:r w:rsidRPr="00430775">
              <w:rPr>
                <w:rFonts w:cs="Times"/>
                <w:color w:val="000000"/>
                <w:szCs w:val="22"/>
                <w:lang w:val="en-US"/>
              </w:rPr>
              <w:t>.060</w:t>
            </w:r>
          </w:p>
        </w:tc>
        <w:tc>
          <w:tcPr>
            <w:tcW w:w="859" w:type="pct"/>
            <w:tcBorders>
              <w:top w:val="nil"/>
              <w:left w:val="nil"/>
              <w:bottom w:val="nil"/>
              <w:right w:val="nil"/>
            </w:tcBorders>
            <w:shd w:val="clear" w:color="auto" w:fill="FFFFFF"/>
            <w:tcMar>
              <w:top w:w="30" w:type="dxa"/>
              <w:left w:w="30" w:type="dxa"/>
              <w:bottom w:w="30" w:type="dxa"/>
              <w:right w:w="30" w:type="dxa"/>
            </w:tcMar>
          </w:tcPr>
          <w:p w:rsidR="00430775" w:rsidRPr="00430775" w:rsidP="00FA4E29" w14:paraId="19E74C96" w14:textId="77777777">
            <w:pPr>
              <w:autoSpaceDE w:val="0"/>
              <w:autoSpaceDN w:val="0"/>
              <w:adjustRightInd w:val="0"/>
              <w:jc w:val="right"/>
              <w:rPr>
                <w:rFonts w:cs="Times"/>
                <w:color w:val="000000"/>
                <w:szCs w:val="22"/>
                <w:lang w:val="en-US"/>
              </w:rPr>
            </w:pPr>
            <w:r w:rsidRPr="00430775">
              <w:rPr>
                <w:rFonts w:cs="Times"/>
                <w:color w:val="000000"/>
                <w:szCs w:val="22"/>
                <w:lang w:val="en-US"/>
              </w:rPr>
              <w:t>.584</w:t>
            </w:r>
          </w:p>
        </w:tc>
        <w:tc>
          <w:tcPr>
            <w:tcW w:w="599" w:type="pct"/>
            <w:tcBorders>
              <w:top w:val="nil"/>
              <w:left w:val="nil"/>
              <w:bottom w:val="nil"/>
              <w:right w:val="nil"/>
            </w:tcBorders>
            <w:shd w:val="clear" w:color="auto" w:fill="FFFFFF"/>
            <w:tcMar>
              <w:top w:w="30" w:type="dxa"/>
              <w:left w:w="30" w:type="dxa"/>
              <w:bottom w:w="30" w:type="dxa"/>
              <w:right w:w="30" w:type="dxa"/>
            </w:tcMar>
          </w:tcPr>
          <w:p w:rsidR="00430775" w:rsidRPr="00430775" w:rsidP="00FA4E29" w14:paraId="5971DAFA" w14:textId="77777777">
            <w:pPr>
              <w:autoSpaceDE w:val="0"/>
              <w:autoSpaceDN w:val="0"/>
              <w:adjustRightInd w:val="0"/>
              <w:jc w:val="center"/>
              <w:rPr>
                <w:rFonts w:cs="Times"/>
                <w:color w:val="000000"/>
                <w:szCs w:val="22"/>
                <w:lang w:val="en-US"/>
              </w:rPr>
            </w:pPr>
            <w:r w:rsidRPr="00430775">
              <w:rPr>
                <w:rFonts w:cs="Times"/>
                <w:color w:val="000000"/>
                <w:szCs w:val="22"/>
                <w:lang w:val="en-US"/>
              </w:rPr>
              <w:t>10.192</w:t>
            </w:r>
          </w:p>
        </w:tc>
        <w:tc>
          <w:tcPr>
            <w:tcW w:w="811" w:type="pct"/>
            <w:tcBorders>
              <w:top w:val="nil"/>
              <w:left w:val="nil"/>
              <w:bottom w:val="nil"/>
              <w:right w:val="nil"/>
            </w:tcBorders>
            <w:shd w:val="clear" w:color="auto" w:fill="FFFFFF"/>
            <w:tcMar>
              <w:top w:w="30" w:type="dxa"/>
              <w:left w:w="30" w:type="dxa"/>
              <w:bottom w:w="30" w:type="dxa"/>
              <w:right w:w="30" w:type="dxa"/>
            </w:tcMar>
          </w:tcPr>
          <w:p w:rsidR="00430775" w:rsidRPr="00430775" w:rsidP="00FA4E29" w14:paraId="7FEA8368" w14:textId="77777777">
            <w:pPr>
              <w:autoSpaceDE w:val="0"/>
              <w:autoSpaceDN w:val="0"/>
              <w:adjustRightInd w:val="0"/>
              <w:jc w:val="center"/>
              <w:rPr>
                <w:rFonts w:cs="Times"/>
                <w:color w:val="000000"/>
                <w:szCs w:val="22"/>
                <w:lang w:val="en-US"/>
              </w:rPr>
            </w:pPr>
            <w:r w:rsidRPr="00430775">
              <w:rPr>
                <w:rFonts w:cs="Times"/>
                <w:color w:val="000000"/>
                <w:szCs w:val="22"/>
                <w:lang w:val="en-US"/>
              </w:rPr>
              <w:t>.000***</w:t>
            </w:r>
          </w:p>
        </w:tc>
      </w:tr>
      <w:tr w14:paraId="1599FBC4" w14:textId="77777777" w:rsidTr="003577AA">
        <w:tblPrEx>
          <w:tblW w:w="4919" w:type="pct"/>
          <w:tblCellMar>
            <w:left w:w="30" w:type="dxa"/>
            <w:right w:w="30" w:type="dxa"/>
          </w:tblCellMar>
          <w:tblLook w:val="0000"/>
        </w:tblPrEx>
        <w:trPr>
          <w:cantSplit/>
          <w:tblHeader/>
        </w:trPr>
        <w:tc>
          <w:tcPr>
            <w:tcW w:w="480" w:type="pct"/>
            <w:vMerge/>
            <w:tcBorders>
              <w:top w:val="nil"/>
              <w:left w:val="nil"/>
              <w:bottom w:val="single" w:sz="4" w:space="0" w:color="auto"/>
              <w:right w:val="nil"/>
            </w:tcBorders>
            <w:shd w:val="clear" w:color="auto" w:fill="FFFFFF"/>
            <w:tcMar>
              <w:top w:w="30" w:type="dxa"/>
              <w:left w:w="30" w:type="dxa"/>
              <w:bottom w:w="30" w:type="dxa"/>
              <w:right w:w="30" w:type="dxa"/>
            </w:tcMar>
          </w:tcPr>
          <w:p w:rsidR="00430775" w:rsidRPr="00430775" w:rsidP="00FA4E29" w14:paraId="7F430B78" w14:textId="77777777">
            <w:pPr>
              <w:autoSpaceDE w:val="0"/>
              <w:autoSpaceDN w:val="0"/>
              <w:adjustRightInd w:val="0"/>
              <w:rPr>
                <w:rFonts w:cs="Times"/>
                <w:color w:val="000000"/>
                <w:szCs w:val="22"/>
                <w:lang w:val="en-US"/>
              </w:rPr>
            </w:pPr>
          </w:p>
        </w:tc>
        <w:tc>
          <w:tcPr>
            <w:tcW w:w="687" w:type="pct"/>
            <w:tcBorders>
              <w:top w:val="nil"/>
              <w:left w:val="nil"/>
              <w:bottom w:val="single" w:sz="4" w:space="0" w:color="auto"/>
              <w:right w:val="nil"/>
            </w:tcBorders>
            <w:shd w:val="clear" w:color="auto" w:fill="FFFFFF"/>
            <w:tcMar>
              <w:top w:w="30" w:type="dxa"/>
              <w:left w:w="30" w:type="dxa"/>
              <w:bottom w:w="30" w:type="dxa"/>
              <w:right w:w="30" w:type="dxa"/>
            </w:tcMar>
          </w:tcPr>
          <w:p w:rsidR="00430775" w:rsidRPr="00430775" w:rsidP="00FA4E29" w14:paraId="4A1BF2EE" w14:textId="77777777">
            <w:pPr>
              <w:autoSpaceDE w:val="0"/>
              <w:autoSpaceDN w:val="0"/>
              <w:adjustRightInd w:val="0"/>
              <w:rPr>
                <w:rFonts w:cs="Times"/>
                <w:color w:val="000000"/>
                <w:szCs w:val="22"/>
                <w:lang w:val="en-US"/>
              </w:rPr>
            </w:pPr>
            <w:r w:rsidRPr="00430775">
              <w:rPr>
                <w:rFonts w:cs="Times"/>
                <w:color w:val="000000"/>
                <w:szCs w:val="22"/>
                <w:lang w:val="en-US"/>
              </w:rPr>
              <w:t>TTF</w:t>
            </w:r>
          </w:p>
        </w:tc>
        <w:tc>
          <w:tcPr>
            <w:tcW w:w="782" w:type="pct"/>
            <w:tcBorders>
              <w:top w:val="nil"/>
              <w:left w:val="nil"/>
              <w:bottom w:val="single" w:sz="4" w:space="0" w:color="auto"/>
              <w:right w:val="nil"/>
            </w:tcBorders>
            <w:shd w:val="clear" w:color="auto" w:fill="FFFFFF"/>
            <w:tcMar>
              <w:top w:w="30" w:type="dxa"/>
              <w:left w:w="30" w:type="dxa"/>
              <w:bottom w:w="30" w:type="dxa"/>
              <w:right w:w="30" w:type="dxa"/>
            </w:tcMar>
          </w:tcPr>
          <w:p w:rsidR="00430775" w:rsidRPr="00430775" w:rsidP="00FA4E29" w14:paraId="2D436383" w14:textId="77777777">
            <w:pPr>
              <w:autoSpaceDE w:val="0"/>
              <w:autoSpaceDN w:val="0"/>
              <w:adjustRightInd w:val="0"/>
              <w:jc w:val="right"/>
              <w:rPr>
                <w:rFonts w:cs="Times"/>
                <w:color w:val="000000"/>
                <w:szCs w:val="22"/>
                <w:lang w:val="en-US"/>
              </w:rPr>
            </w:pPr>
            <w:r w:rsidRPr="00430775">
              <w:rPr>
                <w:rFonts w:cs="Times"/>
                <w:color w:val="000000"/>
                <w:szCs w:val="22"/>
                <w:lang w:val="en-US"/>
              </w:rPr>
              <w:t>-.027</w:t>
            </w:r>
          </w:p>
        </w:tc>
        <w:tc>
          <w:tcPr>
            <w:tcW w:w="782" w:type="pct"/>
            <w:tcBorders>
              <w:top w:val="nil"/>
              <w:left w:val="nil"/>
              <w:bottom w:val="single" w:sz="4" w:space="0" w:color="auto"/>
              <w:right w:val="nil"/>
            </w:tcBorders>
            <w:shd w:val="clear" w:color="auto" w:fill="FFFFFF"/>
            <w:tcMar>
              <w:top w:w="30" w:type="dxa"/>
              <w:left w:w="30" w:type="dxa"/>
              <w:bottom w:w="30" w:type="dxa"/>
              <w:right w:w="30" w:type="dxa"/>
            </w:tcMar>
          </w:tcPr>
          <w:p w:rsidR="00430775" w:rsidRPr="00430775" w:rsidP="00FA4E29" w14:paraId="0D4D6445" w14:textId="77777777">
            <w:pPr>
              <w:autoSpaceDE w:val="0"/>
              <w:autoSpaceDN w:val="0"/>
              <w:adjustRightInd w:val="0"/>
              <w:jc w:val="right"/>
              <w:rPr>
                <w:rFonts w:cs="Times"/>
                <w:color w:val="000000"/>
                <w:szCs w:val="22"/>
                <w:lang w:val="en-US"/>
              </w:rPr>
            </w:pPr>
            <w:r w:rsidRPr="00430775">
              <w:rPr>
                <w:rFonts w:cs="Times"/>
                <w:color w:val="000000"/>
                <w:szCs w:val="22"/>
                <w:lang w:val="en-US"/>
              </w:rPr>
              <w:t>.016</w:t>
            </w:r>
          </w:p>
        </w:tc>
        <w:tc>
          <w:tcPr>
            <w:tcW w:w="859" w:type="pct"/>
            <w:tcBorders>
              <w:top w:val="nil"/>
              <w:left w:val="nil"/>
              <w:bottom w:val="single" w:sz="4" w:space="0" w:color="auto"/>
              <w:right w:val="nil"/>
            </w:tcBorders>
            <w:shd w:val="clear" w:color="auto" w:fill="FFFFFF"/>
            <w:tcMar>
              <w:top w:w="30" w:type="dxa"/>
              <w:left w:w="30" w:type="dxa"/>
              <w:bottom w:w="30" w:type="dxa"/>
              <w:right w:w="30" w:type="dxa"/>
            </w:tcMar>
          </w:tcPr>
          <w:p w:rsidR="00430775" w:rsidRPr="00430775" w:rsidP="00FA4E29" w14:paraId="6D0C7013" w14:textId="77777777">
            <w:pPr>
              <w:autoSpaceDE w:val="0"/>
              <w:autoSpaceDN w:val="0"/>
              <w:adjustRightInd w:val="0"/>
              <w:jc w:val="right"/>
              <w:rPr>
                <w:rFonts w:cs="Times"/>
                <w:color w:val="000000"/>
                <w:szCs w:val="22"/>
                <w:lang w:val="en-US"/>
              </w:rPr>
            </w:pPr>
            <w:r w:rsidRPr="00430775">
              <w:rPr>
                <w:rFonts w:cs="Times"/>
                <w:color w:val="000000"/>
                <w:szCs w:val="22"/>
                <w:lang w:val="en-US"/>
              </w:rPr>
              <w:t>-.076</w:t>
            </w:r>
          </w:p>
        </w:tc>
        <w:tc>
          <w:tcPr>
            <w:tcW w:w="599" w:type="pct"/>
            <w:tcBorders>
              <w:top w:val="nil"/>
              <w:left w:val="nil"/>
              <w:bottom w:val="single" w:sz="4" w:space="0" w:color="auto"/>
              <w:right w:val="nil"/>
            </w:tcBorders>
            <w:shd w:val="clear" w:color="auto" w:fill="FFFFFF"/>
            <w:tcMar>
              <w:top w:w="30" w:type="dxa"/>
              <w:left w:w="30" w:type="dxa"/>
              <w:bottom w:w="30" w:type="dxa"/>
              <w:right w:w="30" w:type="dxa"/>
            </w:tcMar>
          </w:tcPr>
          <w:p w:rsidR="00430775" w:rsidRPr="00430775" w:rsidP="00FA4E29" w14:paraId="11346DE9" w14:textId="77777777">
            <w:pPr>
              <w:autoSpaceDE w:val="0"/>
              <w:autoSpaceDN w:val="0"/>
              <w:adjustRightInd w:val="0"/>
              <w:jc w:val="center"/>
              <w:rPr>
                <w:rFonts w:cs="Times"/>
                <w:color w:val="000000"/>
                <w:szCs w:val="22"/>
                <w:lang w:val="en-US"/>
              </w:rPr>
            </w:pPr>
            <w:r w:rsidRPr="00430775">
              <w:rPr>
                <w:rFonts w:cs="Times"/>
                <w:color w:val="000000"/>
                <w:szCs w:val="22"/>
                <w:lang w:val="en-US"/>
              </w:rPr>
              <w:t>-1.719</w:t>
            </w:r>
          </w:p>
        </w:tc>
        <w:tc>
          <w:tcPr>
            <w:tcW w:w="811" w:type="pct"/>
            <w:tcBorders>
              <w:top w:val="nil"/>
              <w:left w:val="nil"/>
              <w:bottom w:val="single" w:sz="4" w:space="0" w:color="auto"/>
              <w:right w:val="nil"/>
            </w:tcBorders>
            <w:shd w:val="clear" w:color="auto" w:fill="FFFFFF"/>
            <w:tcMar>
              <w:top w:w="30" w:type="dxa"/>
              <w:left w:w="30" w:type="dxa"/>
              <w:bottom w:w="30" w:type="dxa"/>
              <w:right w:w="30" w:type="dxa"/>
            </w:tcMar>
          </w:tcPr>
          <w:p w:rsidR="00430775" w:rsidRPr="00430775" w:rsidP="00631891" w14:paraId="2369316E" w14:textId="77777777">
            <w:pPr>
              <w:autoSpaceDE w:val="0"/>
              <w:autoSpaceDN w:val="0"/>
              <w:adjustRightInd w:val="0"/>
              <w:jc w:val="center"/>
              <w:rPr>
                <w:rFonts w:cs="Times"/>
                <w:color w:val="000000"/>
                <w:szCs w:val="22"/>
                <w:lang w:val="en-US"/>
              </w:rPr>
            </w:pPr>
            <w:r w:rsidRPr="00430775">
              <w:rPr>
                <w:rFonts w:cs="Times"/>
                <w:color w:val="000000"/>
                <w:szCs w:val="22"/>
                <w:lang w:val="en-US"/>
              </w:rPr>
              <w:t>.087</w:t>
            </w:r>
            <w:r w:rsidR="001A4562">
              <w:rPr>
                <w:rFonts w:cs="Times"/>
                <w:color w:val="000000"/>
                <w:szCs w:val="22"/>
                <w:lang w:val="en-US"/>
              </w:rPr>
              <w:t>*</w:t>
            </w:r>
          </w:p>
        </w:tc>
      </w:tr>
      <w:tr w14:paraId="2230B7CC" w14:textId="77777777" w:rsidTr="00053EA1">
        <w:tblPrEx>
          <w:tblW w:w="4919" w:type="pct"/>
          <w:tblCellMar>
            <w:left w:w="30" w:type="dxa"/>
            <w:right w:w="30" w:type="dxa"/>
          </w:tblCellMar>
          <w:tblLook w:val="0000"/>
        </w:tblPrEx>
        <w:trPr>
          <w:cantSplit/>
        </w:trPr>
        <w:tc>
          <w:tcPr>
            <w:tcW w:w="5000" w:type="pct"/>
            <w:gridSpan w:val="7"/>
            <w:tcBorders>
              <w:top w:val="single" w:sz="4" w:space="0" w:color="auto"/>
              <w:left w:val="nil"/>
              <w:bottom w:val="nil"/>
              <w:right w:val="nil"/>
            </w:tcBorders>
            <w:shd w:val="clear" w:color="auto" w:fill="FFFFFF"/>
            <w:tcMar>
              <w:top w:w="30" w:type="dxa"/>
              <w:left w:w="30" w:type="dxa"/>
              <w:bottom w:w="30" w:type="dxa"/>
              <w:right w:w="30" w:type="dxa"/>
            </w:tcMar>
          </w:tcPr>
          <w:p w:rsidR="00430775" w:rsidRPr="00430775" w:rsidP="00680B0E" w14:paraId="4F5C4786" w14:textId="77777777">
            <w:pPr>
              <w:autoSpaceDE w:val="0"/>
              <w:autoSpaceDN w:val="0"/>
              <w:adjustRightInd w:val="0"/>
              <w:rPr>
                <w:rFonts w:cs="Times"/>
                <w:color w:val="000000"/>
                <w:szCs w:val="22"/>
                <w:lang w:val="en-US"/>
              </w:rPr>
            </w:pPr>
            <w:r w:rsidRPr="00430775">
              <w:rPr>
                <w:rFonts w:cs="Times"/>
                <w:color w:val="000000"/>
                <w:szCs w:val="22"/>
                <w:lang w:val="en-US"/>
              </w:rPr>
              <w:t>a. Dependent Variable: EI</w:t>
            </w:r>
            <w:r w:rsidR="00CC792C">
              <w:rPr>
                <w:rFonts w:cs="Times"/>
                <w:color w:val="000000"/>
                <w:szCs w:val="22"/>
                <w:lang w:val="en-US"/>
              </w:rPr>
              <w:t>, R</w:t>
            </w:r>
            <w:r w:rsidRPr="00CC792C" w:rsidR="00CC792C">
              <w:rPr>
                <w:rFonts w:cs="Times"/>
                <w:color w:val="000000"/>
                <w:szCs w:val="22"/>
                <w:vertAlign w:val="superscript"/>
                <w:lang w:val="en-US"/>
              </w:rPr>
              <w:t>2</w:t>
            </w:r>
            <w:r w:rsidR="00CC792C">
              <w:rPr>
                <w:rFonts w:cs="Times"/>
                <w:color w:val="000000"/>
                <w:szCs w:val="22"/>
                <w:lang w:val="en-US"/>
              </w:rPr>
              <w:t xml:space="preserve"> = 66.5%</w:t>
            </w:r>
          </w:p>
        </w:tc>
      </w:tr>
    </w:tbl>
    <w:p w:rsidR="00430775" w:rsidRPr="00430775" w:rsidP="00680B0E" w14:paraId="4207D7F7" w14:textId="50F724DB">
      <w:pPr>
        <w:autoSpaceDE w:val="0"/>
        <w:autoSpaceDN w:val="0"/>
        <w:adjustRightInd w:val="0"/>
        <w:rPr>
          <w:rFonts w:cs="Times"/>
          <w:szCs w:val="22"/>
          <w:lang w:val="en-US"/>
        </w:rPr>
      </w:pPr>
      <w:r w:rsidRPr="00430775">
        <w:rPr>
          <w:rFonts w:cs="Times"/>
          <w:szCs w:val="22"/>
          <w:lang w:val="en-US"/>
        </w:rPr>
        <w:t>Note: *** p value &lt; 0.00</w:t>
      </w:r>
      <w:r w:rsidR="000D1348">
        <w:rPr>
          <w:rFonts w:cs="Times"/>
          <w:szCs w:val="22"/>
          <w:lang w:val="en-US"/>
        </w:rPr>
        <w:t>1</w:t>
      </w:r>
      <w:r w:rsidRPr="00430775">
        <w:rPr>
          <w:rFonts w:cs="Times"/>
          <w:szCs w:val="22"/>
          <w:lang w:val="en-US"/>
        </w:rPr>
        <w:t>; ** p value &lt; 0.005; * p value &lt; 0.10</w:t>
      </w:r>
    </w:p>
    <w:p w:rsidR="00E21983" w:rsidP="00E21983" w14:paraId="41F4E3D1" w14:textId="77777777">
      <w:pPr>
        <w:pStyle w:val="BodytextIndented"/>
        <w:ind w:firstLine="0"/>
        <w:rPr>
          <w:lang w:val="en-GB"/>
        </w:rPr>
      </w:pPr>
    </w:p>
    <w:p w:rsidR="000E58D8" w:rsidRPr="001D7320" w:rsidP="00C127B1" w14:paraId="59C9AD81" w14:textId="0A8EE405">
      <w:pPr>
        <w:jc w:val="both"/>
        <w:rPr>
          <w:iCs/>
          <w:lang w:val="en-US"/>
        </w:rPr>
      </w:pPr>
      <w:r w:rsidRPr="007C4528">
        <w:t>Based on table 2 and mapped in Figure 1</w:t>
      </w:r>
      <w:r w:rsidRPr="00A27059" w:rsidR="00B16AA4">
        <w:t xml:space="preserve">, </w:t>
      </w:r>
      <w:r w:rsidR="00840B47">
        <w:t xml:space="preserve">H1 was supported. It is shown that </w:t>
      </w:r>
      <w:r w:rsidRPr="00A27059" w:rsidR="00B16AA4">
        <w:t xml:space="preserve">the strongest factors affecting the entrepreneurship intention of nascent entrepreneurs </w:t>
      </w:r>
      <w:r w:rsidRPr="00A27059" w:rsidR="00B16AA4">
        <w:t>are EE</w:t>
      </w:r>
      <w:r w:rsidR="000D1348">
        <w:t xml:space="preserve"> with </w:t>
      </w:r>
      <w:r w:rsidR="00840B47">
        <w:rPr>
          <w:rFonts w:cs="Times"/>
        </w:rPr>
        <w:t xml:space="preserve">β=0.609 and </w:t>
      </w:r>
      <w:r w:rsidR="000D1348">
        <w:t>p-value &lt; 0.001</w:t>
      </w:r>
      <w:r w:rsidR="00840B47">
        <w:t xml:space="preserve">. </w:t>
      </w:r>
      <w:r w:rsidRPr="00A27059" w:rsidR="000D1348">
        <w:t xml:space="preserve">This </w:t>
      </w:r>
      <w:r w:rsidR="00840B47">
        <w:t xml:space="preserve">result confirms of </w:t>
      </w:r>
      <w:r w:rsidR="00462729">
        <w:t xml:space="preserve">some </w:t>
      </w:r>
      <w:r w:rsidRPr="00A27059" w:rsidR="000D1348">
        <w:t>research</w:t>
      </w:r>
      <w:r w:rsidR="00462729">
        <w:t>es such as</w:t>
      </w:r>
      <w:r w:rsidR="000D1348">
        <w:t xml:space="preserve"> </w:t>
      </w:r>
      <w:r w:rsidR="000D1348">
        <w:fldChar w:fldCharType="begin" w:fldLock="1"/>
      </w:r>
      <w:r>
        <w:instrText>ADDIN CSL_CITATION {"citationItems":[{"id":"ITEM-1","itemData":{"DOI":"10.1016/j.ijme.2019.100327","ISSN":"14728117","abstract":"This paper develops and tests a model of pathways between participation in entrepreneurship education programmes (EEPs) and entrepreneurial intention. EEPs are degree programmes designed to provide mastery and experience over several years of academic study. Structural equation modelling on survey data gathered from 348 graduating students from eight universities in Pakistan showed how three EEP components (learning, inspiration and resources) influence intention: learning and inspiration activities both increase perceived norms for being an entrepreneur and students' perceptions that they can be entrepreneurs (perceived control). Access to incubation resources had the strongest effect on intention by increasing perceived norms which in turn increases positive attitudes and perceived control. These findings provide insight into the conclusions drawn from previous studies by showing how positive student experience across different components of entrepreneurship programme have a positive impact on students’ intentions to start their own business.","author":[{"dropping-particle":"","family":"Ahmed","given":"Tariq","non-dropping-particle":"","parse-names":false,"suffix":""},{"dropping-particle":"","family":"Chandran","given":"V. G.R.","non-dropping-particle":"","parse-names":false,"suffix":""},{"dropping-particle":"","family":"Klobas","given":"Jane E.","non-dropping-particle":"","parse-names":false,"suffix":""},{"dropping-particle":"","family":"Liñán","given":"Francisco","non-dropping-particle":"","parse-names":false,"suffix":""},{"dropping-particle":"","family":"Kokkalis","given":"Panagiotis","non-dropping-particle":"","parse-names":false,"suffix":""}],"container-title":"International Journal of Management Education","id":"ITEM-1","issue":"1","issued":{"date-parts":[["2020"]]},"page":"100327","publisher":"Elsevier","title":"Entrepreneurship education programmes: How learning, inspiration and resources affect intentions for new venture creation in a developing economy","type":"article-journal","volume":"18"},"uris":["http://www.mendeley.com/documents/?uuid=37cc4f97-8266-4b9d-8c3c-ea89b9aba057"]}],"mendeley":{"formattedCitation":"[8]","plainTextFormattedCitation":"[8]","previouslyFormattedCitation":"[8]"},"properties":{"noteIndex":0},"schema":"https://github.com/citation-style-language/schema/raw/master/csl-citation.json"}</w:instrText>
      </w:r>
      <w:r w:rsidR="000D1348">
        <w:fldChar w:fldCharType="separate"/>
      </w:r>
      <w:r w:rsidRPr="007C4528">
        <w:rPr>
          <w:noProof/>
        </w:rPr>
        <w:t>[8]</w:t>
      </w:r>
      <w:r w:rsidR="000D1348">
        <w:fldChar w:fldCharType="end"/>
      </w:r>
      <w:r w:rsidR="000D1348">
        <w:t xml:space="preserve"> </w:t>
      </w:r>
      <w:r w:rsidR="00840B47">
        <w:fldChar w:fldCharType="begin" w:fldLock="1"/>
      </w:r>
      <w:r>
        <w:instrText>ADDIN CSL_CITATION {"citationItems":[{"id":"ITEM-1","itemData":{"DOI":"10.1108/JIEB-02-2019-0009","ISSN":"18363261","abstract":"Purpose: Considering entrepreneurship education (EE) theory as a base, this paper aims to examine the impact of EE upon building entrepreneurial intentions. In addition, it investigates the impact of student’s age, gender and degree or course background in developing students entrepreneurial intentions. Design/methodology/approach: A sample of 309 student respondents from higher education institution (HEI’s) was used to understand the relationship and its impact over intention building. Regression and ANOVA technique was used to understand the cause and effect as well as mean differences between the construct. Findings: The results signify a positive impact of EE for stimulating the start-up intention in these interdisciplinary students of HEIs. These results resemble the existing studies in this endeavour. Findings also verify that individual intention to start a new business in terms of the theory of planned behaviour (attitude, perceived behavioural control and social norms), student background (gender and degree specialization) are positively related to individual intention to start a new business. Research limitations/implications: The results confirm previous studies in this field and highlight the need for EE in HEI. The paper highlights the vitality for EE for India’s start-up growth. Originality/value: This study adds to the paucity of research on EE and its impact on entrepreneurial intentions in higher education institutions in India.","author":[{"dropping-particle":"","family":"Paray","given":"Zahoor Ahmad","non-dropping-particle":"","parse-names":false,"suffix":""},{"dropping-particle":"","family":"Kumar","given":"Sumit","non-dropping-particle":"","parse-names":false,"suffix":""}],"container-title":"Journal of International Education in Business","id":"ITEM-1","issue":"1","issued":{"date-parts":[["2020"]]},"page":"55-72","title":"Does entrepreneurship education influence entrepreneurial intention among students in HEI’s?: The role of age, gender and degree background","type":"article-journal","volume":"13"},"uris":["http://www.mendeley.com/documents/?uuid=3691fa00-b72a-44a0-8261-bdd5b16f29bd"]}],"mendeley":{"formattedCitation":"[7]","plainTextFormattedCitation":"[7]","previouslyFormattedCitation":"[7]"},"properties":{"noteIndex":0},"schema":"https://github.com/citation-style-language/schema/raw/master/csl-citation.json"}</w:instrText>
      </w:r>
      <w:r w:rsidR="00840B47">
        <w:fldChar w:fldCharType="separate"/>
      </w:r>
      <w:r w:rsidRPr="007C4528">
        <w:rPr>
          <w:noProof/>
        </w:rPr>
        <w:t>[7]</w:t>
      </w:r>
      <w:r w:rsidR="00840B47">
        <w:fldChar w:fldCharType="end"/>
      </w:r>
      <w:r w:rsidR="00840B47">
        <w:t xml:space="preserve">; </w:t>
      </w:r>
      <w:r w:rsidR="00840B47">
        <w:fldChar w:fldCharType="begin" w:fldLock="1"/>
      </w:r>
      <w:r>
        <w:instrText>ADDIN CSL_CITATION {"citationItems":[{"id":"ITEM-1","itemData":{"DOI":"10.1016/j.lrp.2014.09.003","ISSN":"18731872","abstract":"Prior research suggests that entrepreneurial orientation (EO) confers discretion in manipulating resources to create value, but the research lacks empirical evidence from interorganizational relationships and especially strategic alliances. The authors establish a parsimonious model that links alliance-partnering firms' EO to their performance through two knowledge management practices: knowledge acquisition from partners and knowledge creation within organizational boundaries. To further understand how interpartner co-opetition conditions entrepreneurial learning processes, the authors also examine the moderating effects of knowledge-leakage risk on the EO-knowledge management relationships. Data collected from 205 Chinese firms engaged in strategic alliances generally support the theoretical predictions and associated hypotheses.","author":[{"dropping-particle":"","family":"Jiang","given":"Xu","non-dropping-particle":"","parse-names":false,"suffix":""},{"dropping-particle":"","family":"Yang","given":"Yan","non-dropping-particle":"","parse-names":false,"suffix":""},{"dropping-particle":"","family":"Pei","given":"Yun Long","non-dropping-particle":"","parse-names":false,"suffix":""},{"dropping-particle":"","family":"Wang","given":"Gang","non-dropping-particle":"","parse-names":false,"suffix":""}],"container-title":"Long Range Planning","id":"ITEM-1","issue":"1","issued":{"date-parts":[["2016"]]},"page":"103-116","publisher":"Elsevier Ltd","title":"Entrepreneurial Orientation, Strategic Alliances, and Firm Performance: Inside the Black Box","type":"article-journal","volume":"49"},"uris":["http://www.mendeley.com/documents/?uuid=fa724e39-9d74-4d07-8427-2ae9885d39e4"]}],"mendeley":{"formattedCitation":"[9]","plainTextFormattedCitation":"[9]","previouslyFormattedCitation":"[9]"},"properties":{"noteIndex":0},"schema":"https://github.com/citation-style-language/schema/raw/master/csl-citation.json"}</w:instrText>
      </w:r>
      <w:r w:rsidR="00840B47">
        <w:fldChar w:fldCharType="separate"/>
      </w:r>
      <w:r w:rsidRPr="007C4528">
        <w:rPr>
          <w:noProof/>
        </w:rPr>
        <w:t>[9]</w:t>
      </w:r>
      <w:r w:rsidR="00840B47">
        <w:fldChar w:fldCharType="end"/>
      </w:r>
      <w:r w:rsidR="00840B47">
        <w:t xml:space="preserve"> </w:t>
      </w:r>
      <w:r w:rsidR="00840B47">
        <w:fldChar w:fldCharType="begin" w:fldLock="1"/>
      </w:r>
      <w:r>
        <w:instrText>ADDIN CSL_CITATION {"citationItems":[{"id":"ITEM-1","itemData":{"DOI":"10.1111/jsbm.12065","ISSN":"1540627X","abstract":"Do entrepreneurship education programs (EEPs) really influence participants' attitudes and intention toward entrepreneurship? How is this influence related to past experience and how does it persist? Researchers and entrepreneurship education stakeholders alike have been looking into this question for quite a while, with a view to validating the efficacy of such programs. The authors of this paper propose to operationalize the concept of entrepreneurial intention and its antecedents in an attempt to address those issues. In particular, we propose an original research design where (1) we measure the initial state and persistence of the impact and not only short-term effects; (2) we deal with a compulsory program, allowing to avoid self-selection biases; and (3) we deal with an homogeneous \"compact\" program rather than programs combining multiple teaching components whose effects cannot be disentangled. Our main research results show that the positive effects of an EEP are all the more marked when previous entrepreneurial exposure has been weak or inexistent. Conversely, for those students who had previously significantly been exposed to entrepreneurship, the results highlight significant countereffects of the EEP on those participants.","author":[{"dropping-particle":"","family":"Fayolle","given":"Alain","non-dropping-particle":"","parse-names":false,"suffix":""},{"dropping-particle":"","family":"Gailly","given":"Benoit","non-dropping-particle":"","parse-names":false,"suffix":""}],"container-title":"Journal of Small Business Management","id":"ITEM-1","issue":"1","issued":{"date-parts":[["2015"]]},"page":"75-93","title":"The impact of entrepreneurship education on entrepreneurial attitudes and intention: Hysteresis and persistence","type":"article-journal","volume":"53"},"uris":["http://www.mendeley.com/documents/?uuid=a3ae6988-1e97-4bf8-93ce-a17b74fe0d78"]}],"mendeley":{"formattedCitation":"[14]","plainTextFormattedCitation":"[14]","previouslyFormattedCitation":"[13]"},"properties":{"noteIndex":0},"schema":"https://github.com/citation-style-language/schema/raw/master/csl-citation.json"}</w:instrText>
      </w:r>
      <w:r w:rsidR="00840B47">
        <w:fldChar w:fldCharType="separate"/>
      </w:r>
      <w:r w:rsidRPr="007C4528">
        <w:rPr>
          <w:noProof/>
        </w:rPr>
        <w:t>[14]</w:t>
      </w:r>
      <w:r w:rsidR="00840B47">
        <w:fldChar w:fldCharType="end"/>
      </w:r>
      <w:r w:rsidR="00840B47">
        <w:t xml:space="preserve"> which stated</w:t>
      </w:r>
      <w:r w:rsidRPr="00A27059" w:rsidR="000D1348">
        <w:t xml:space="preserve"> that EE </w:t>
      </w:r>
      <w:r w:rsidR="00840B47">
        <w:t>had</w:t>
      </w:r>
      <w:r w:rsidRPr="00A27059" w:rsidR="000D1348">
        <w:t xml:space="preserve"> an important tool to accelerate student entrepreneurial activities. </w:t>
      </w:r>
      <w:r w:rsidRPr="001D7320" w:rsidR="00462729">
        <w:rPr>
          <w:iCs/>
          <w:lang w:val="en-US"/>
        </w:rPr>
        <w:fldChar w:fldCharType="begin" w:fldLock="1"/>
      </w:r>
      <w:r>
        <w:rPr>
          <w:iCs/>
          <w:lang w:val="en-US"/>
        </w:rPr>
        <w:instrText>ADDIN CSL_CITATION {"citationItems":[{"id":"ITEM-1","itemData":{"DOI":"10.1108/CR-05-2017-0034","ISSN":"20513143","abstract":"Purpose: Networking and being a part of an established business network supports the process of translating new ideas into marketable solutions and acquiring customers. The purpose of this paper is to investigate how aspiring entrepreneurs in a Danish rural area setting manage to get embedded into relevant business networks. Before the literature background on social capital and regional development, the authors use the embeddedness approach in explaining whether weak or strong ties are most beneficial to get the business started and how lacking strong ties can be compensated. Design/methodology/approach: This paper takes an economic sociology perspective on social capital and is empirically based on a case study. The sample consists of a group of young aspiring entrepreneurs, living in the rural area of Southern Jutland, who are all committed to an organization which supports regional start-ups. Findings: The authors found that aspiring entrepreneurs have different needs depending on their development status and type of innovation. Founders, who are developing or have developed new product innovations, seem to have an increased need for “strong ties” with consultants and those with knowledge about building up a professional network. Founders, who are developing or have developed a significantly improved service, have strong ties with former fellow students and researchers at the university. Originality/value: This study illustrates that aspiring entrepreneurs connected to a regional entrepreneurship center gained access to a wider relevant network. Depending on their level of embeddedness, they could build new strong relationships and exploit information stemming from new “weak ties” and as such harness more benefits. The study shows that less privileged start-ups can substitute strong ties, especially through the support of professional managers of startup-supporting organizations. Finally, a model explaining the impact of social capital on the entrepreneurial sphere of regional business networks and on its innovativeness is deduced.","author":[{"dropping-particle":"","family":"Gretzinger","given":"Susanne","non-dropping-particle":"","parse-names":false,"suffix":""},{"dropping-particle":"","family":"Fietze","given":"Simon","non-dropping-particle":"","parse-names":false,"suffix":""},{"dropping-particle":"","family":"Brem","given":"Alexander","non-dropping-particle":"","parse-names":false,"suffix":""},{"dropping-particle":"","family":"Ogbonna","given":"Tochukwu (Toby) Ugonna","non-dropping-particle":"","parse-names":false,"suffix":""}],"container-title":"Competitiveness Review","id":"ITEM-1","issue":"1","issued":{"date-parts":[["2018"]]},"page":"22-42","title":"Small scale entrepreneurship – understanding behaviors of aspiring entrepreneurs in a rural area","type":"article-journal","volume":"28"},"uris":["http://www.mendeley.com/documents/?uuid=1b8effd1-5c00-43f6-91e5-1688e47f4282"]}],"mendeley":{"formattedCitation":"[15]","plainTextFormattedCitation":"[15]","previouslyFormattedCitation":"[14]"},"properties":{"noteIndex":0},"schema":"https://github.com/citation-style-language/schema/raw/master/csl-citation.json"}</w:instrText>
      </w:r>
      <w:r w:rsidRPr="001D7320" w:rsidR="00462729">
        <w:rPr>
          <w:iCs/>
          <w:lang w:val="en-US"/>
        </w:rPr>
        <w:fldChar w:fldCharType="separate"/>
      </w:r>
      <w:r w:rsidRPr="007C4528">
        <w:rPr>
          <w:iCs/>
          <w:noProof/>
          <w:lang w:val="en-US"/>
        </w:rPr>
        <w:t>[15]</w:t>
      </w:r>
      <w:r w:rsidRPr="001D7320" w:rsidR="00462729">
        <w:rPr>
          <w:iCs/>
          <w:lang w:val="en-US"/>
        </w:rPr>
        <w:fldChar w:fldCharType="end"/>
      </w:r>
      <w:r w:rsidRPr="001D7320" w:rsidR="00462729">
        <w:rPr>
          <w:iCs/>
          <w:lang w:val="en-US"/>
        </w:rPr>
        <w:t xml:space="preserve"> </w:t>
      </w:r>
      <w:r w:rsidR="00462729">
        <w:rPr>
          <w:iCs/>
          <w:lang w:val="en-US"/>
        </w:rPr>
        <w:t>stated</w:t>
      </w:r>
      <w:r w:rsidRPr="001D7320" w:rsidR="00462729">
        <w:rPr>
          <w:iCs/>
          <w:lang w:val="en-US"/>
        </w:rPr>
        <w:t xml:space="preserve"> that educational level, academic major, and academic achievement influenced personal attitude and had an impact on EI.</w:t>
      </w:r>
      <w:r w:rsidRPr="000E58D8">
        <w:rPr>
          <w:iCs/>
          <w:lang w:val="en-US"/>
        </w:rPr>
        <w:t xml:space="preserve"> </w:t>
      </w:r>
      <w:r w:rsidRPr="001D7320">
        <w:rPr>
          <w:iCs/>
          <w:lang w:val="en-US"/>
        </w:rPr>
        <w:t xml:space="preserve">Correspondingly with </w:t>
      </w:r>
      <w:r w:rsidRPr="001D7320">
        <w:rPr>
          <w:iCs/>
          <w:lang w:val="en-US"/>
        </w:rPr>
        <w:fldChar w:fldCharType="begin" w:fldLock="1"/>
      </w:r>
      <w:r>
        <w:rPr>
          <w:iCs/>
          <w:lang w:val="en-US"/>
        </w:rPr>
        <w:instrText>ADDIN CSL_CITATION {"citationItems":[{"id":"ITEM-1","itemData":{"DOI":"10.1108/JSBED-02-2012-0027","abstract":"Purpose – The purpose of this paper is to increase the understanding of how entrepreneurial potential is developed among young people. Changes in individuals’ entrepreneurial intentions and the antecedents of intentions are investigated, as well as the impact of entrepreneurship education on the changes. Design/methodology/approach – Ajzen’s Theory of Planned Behavior (TPB) is applied. Longitudinal data from 197 HE students, in their first and third year of studies, is examined using path analysis. Findings – Overall the entrepreneurial intentions of HE students decreased over time. Intentions decreased particularly for those with high initial level of intentions, whereas the group with increasing intentions rose from low to neutral level of intentions. Changes in attitudes and perceived behavioral control have a significant positive impact. Versatile entrepreneurship courses have direct effect on changes in attitudes. Changes in attitudes have a dual role, as they influence change in both intentions and perceived behavioral control. The developed model explains 19 percent of the variance among women and 28 percent among men, suggesting gender differences in development of intentions. Research limitations/implications – Only one way of developing entrepreneurial potential in young people (i.e. education) is covered. The empirical sample is limited to one university. Practical implications – The results suggest versatile methods of entrepreneurship education are more effective in developing intentions than perhaps purely active modes. Gender differences should be considered when designing interventions to foster entrepreneurial potential. Originality/value – The research confirms with longitudinal individual-level data the applicability of TPB on entrepreneurial intentions and demonstrates the mediated impact of versatile entrepreneurship courses on changes in intentions","author":[{"dropping-particle":"","family":"Varamäki","given":"Elina","non-dropping-particle":"","parse-names":false,"suffix":""},{"dropping-particle":"","family":"Joensuu","given":"Sanna","non-dropping-particle":"","parse-names":false,"suffix":""}],"container-title":"Journal of Small Business and Enterprise Development","id":"ITEM-1","issue":"3","issued":{"date-parts":[["2015"]]},"page":"563-589","title":"The development of entrepreneurial potential among higher education students","type":"article-journal","volume":"22"},"uris":["http://www.mendeley.com/documents/?uuid=ea45934a-b2b4-40d9-93c4-35217e2d11a3"]}],"mendeley":{"formattedCitation":"[16]","plainTextFormattedCitation":"[16]","previouslyFormattedCitation":"[15]"},"properties":{"noteIndex":0},"schema":"https://github.com/citation-style-language/schema/raw/master/csl-citation.json"}</w:instrText>
      </w:r>
      <w:r w:rsidRPr="001D7320">
        <w:rPr>
          <w:iCs/>
          <w:lang w:val="en-US"/>
        </w:rPr>
        <w:fldChar w:fldCharType="separate"/>
      </w:r>
      <w:r w:rsidRPr="007C4528">
        <w:rPr>
          <w:iCs/>
          <w:noProof/>
          <w:lang w:val="en-US"/>
        </w:rPr>
        <w:t>[16]</w:t>
      </w:r>
      <w:r w:rsidRPr="001D7320">
        <w:rPr>
          <w:iCs/>
          <w:lang w:val="en-US"/>
        </w:rPr>
        <w:fldChar w:fldCharType="end"/>
      </w:r>
      <w:r w:rsidRPr="001D7320">
        <w:rPr>
          <w:iCs/>
          <w:lang w:val="en-US"/>
        </w:rPr>
        <w:t xml:space="preserve"> </w:t>
      </w:r>
      <w:r w:rsidRPr="001D7320">
        <w:rPr>
          <w:iCs/>
          <w:lang w:val="en-US"/>
        </w:rPr>
        <w:fldChar w:fldCharType="begin" w:fldLock="1"/>
      </w:r>
      <w:r>
        <w:rPr>
          <w:iCs/>
          <w:lang w:val="en-US"/>
        </w:rPr>
        <w:instrText>ADDIN CSL_CITATION {"citationItems":[{"id":"ITEM-1","itemData":{"DOI":"10.1108/SAJBS-04-2016-0032","author":[{"dropping-particle":"","family":"Tiwari","given":"Preeti","non-dropping-particle":"","parse-names":false,"suffix":""},{"dropping-particle":"","family":"Bhat","given":"Anil K","non-dropping-particle":"","parse-names":false,"suffix":""},{"dropping-particle":"","family":"Tikoria","given":"Jyoti","non-dropping-particle":"","parse-names":false,"suffix":""}],"id":"ITEM-1","issue":"1","issued":{"date-parts":[["2017"]]},"page":"53-79","title":"Predictors of social entrepreneurial intention : an empirical study","type":"article-journal","volume":"6"},"uris":["http://www.mendeley.com/documents/?uuid=5c2e3446-45f0-43af-8292-c03e7b996e98"]}],"mendeley":{"formattedCitation":"[17]","plainTextFormattedCitation":"[17]","previouslyFormattedCitation":"[16]"},"properties":{"noteIndex":0},"schema":"https://github.com/citation-style-language/schema/raw/master/csl-citation.json"}</w:instrText>
      </w:r>
      <w:r w:rsidRPr="001D7320">
        <w:rPr>
          <w:iCs/>
          <w:lang w:val="en-US"/>
        </w:rPr>
        <w:fldChar w:fldCharType="separate"/>
      </w:r>
      <w:r w:rsidRPr="007C4528">
        <w:rPr>
          <w:iCs/>
          <w:noProof/>
          <w:lang w:val="en-US"/>
        </w:rPr>
        <w:t>[17]</w:t>
      </w:r>
      <w:r w:rsidRPr="001D7320">
        <w:rPr>
          <w:iCs/>
          <w:lang w:val="en-US"/>
        </w:rPr>
        <w:fldChar w:fldCharType="end"/>
      </w:r>
      <w:r w:rsidRPr="001D7320">
        <w:rPr>
          <w:iCs/>
          <w:lang w:val="en-US"/>
        </w:rPr>
        <w:t xml:space="preserve">; </w:t>
      </w:r>
      <w:r w:rsidRPr="001D7320">
        <w:rPr>
          <w:iCs/>
          <w:lang w:val="en-US"/>
        </w:rPr>
        <w:fldChar w:fldCharType="begin" w:fldLock="1"/>
      </w:r>
      <w:r>
        <w:rPr>
          <w:iCs/>
          <w:lang w:val="en-US"/>
        </w:rPr>
        <w:instrText>ADDIN CSL_CITATION {"citationItems":[{"id":"ITEM-1","itemData":{"DOI":"10.1016/j.ijme.2019.100327","ISSN":"14728117","abstract":"This paper develops and tests a model of pathways between participation in entrepreneurship education programmes (EEPs) and entrepreneurial intention. EEPs are degree programmes designed to provide mastery and experience over several years of academic study. Structural equation modelling on survey data gathered from 348 graduating students from eight universities in Pakistan showed how three EEP components (learning, inspiration and resources) influence intention: learning and inspiration activities both increase perceived norms for being an entrepreneur and students' perceptions that they can be entrepreneurs (perceived control). Access to incubation resources had the strongest effect on intention by increasing perceived norms which in turn increases positive attitudes and perceived control. These findings provide insight into the conclusions drawn from previous studies by showing how positive student experience across different components of entrepreneurship programme have a positive impact on students’ intentions to start their own business.","author":[{"dropping-particle":"","family":"Ahmed","given":"Tariq","non-dropping-particle":"","parse-names":false,"suffix":""},{"dropping-particle":"","family":"Chandran","given":"V. G.R.","non-dropping-particle":"","parse-names":false,"suffix":""},{"dropping-particle":"","family":"Klobas","given":"Jane E.","non-dropping-particle":"","parse-names":false,"suffix":""},{"dropping-particle":"","family":"Liñán","given":"Francisco","non-dropping-particle":"","parse-names":false,"suffix":""},{"dropping-particle":"","family":"Kokkalis","given":"Panagiotis","non-dropping-particle":"","parse-names":false,"suffix":""}],"container-title":"International Journal of Management Education","id":"ITEM-1","issue":"1","issued":{"date-parts":[["2020"]]},"page":"100327","publisher":"Elsevier","title":"Entrepreneurship education programmes: How learning, inspiration and resources affect intentions for new venture creation in a developing economy","type":"article-journal","volume":"18"},"uris":["http://www.mendeley.com/documents/?uuid=37cc4f97-8266-4b9d-8c3c-ea89b9aba057"]}],"mendeley":{"formattedCitation":"[8]","plainTextFormattedCitation":"[8]","previouslyFormattedCitation":"[8]"},"properties":{"noteIndex":0},"schema":"https://github.com/citation-style-language/schema/raw/master/csl-citation.json"}</w:instrText>
      </w:r>
      <w:r w:rsidRPr="001D7320">
        <w:rPr>
          <w:iCs/>
          <w:lang w:val="en-US"/>
        </w:rPr>
        <w:fldChar w:fldCharType="separate"/>
      </w:r>
      <w:r w:rsidRPr="007C4528">
        <w:rPr>
          <w:iCs/>
          <w:noProof/>
          <w:lang w:val="en-US"/>
        </w:rPr>
        <w:t>[8]</w:t>
      </w:r>
      <w:r w:rsidRPr="001D7320">
        <w:rPr>
          <w:iCs/>
          <w:lang w:val="en-US"/>
        </w:rPr>
        <w:fldChar w:fldCharType="end"/>
      </w:r>
      <w:r w:rsidRPr="001D7320">
        <w:rPr>
          <w:iCs/>
          <w:lang w:val="en-US"/>
        </w:rPr>
        <w:t>, this suggests that EE has an impact on students' entrepreneurial intentions.</w:t>
      </w:r>
    </w:p>
    <w:p w:rsidR="00A84E76" w:rsidP="00B04332" w14:paraId="6AD48E88" w14:textId="36308A3D">
      <w:pPr>
        <w:pStyle w:val="BodytextIndented"/>
        <w:rPr>
          <w:lang w:val="en-GB"/>
        </w:rPr>
      </w:pPr>
      <w:r w:rsidRPr="007C4528">
        <w:rPr>
          <w:lang w:val="en-GB"/>
        </w:rPr>
        <w:t>The second strongest effect is ATE on EI with a value of β = 0.302 and a p-value &lt;0.001 so that H3a is supported.</w:t>
      </w:r>
      <w:r>
        <w:rPr>
          <w:lang w:val="en-GB"/>
        </w:rPr>
        <w:t xml:space="preserve"> </w:t>
      </w:r>
      <w:r w:rsidRPr="0075562C" w:rsidR="00462729">
        <w:t xml:space="preserve">The more positive the individual's perception of entrepreneurship, the higher the individual's tendency to have high entrepreneurship intention. </w:t>
      </w:r>
      <w:r w:rsidR="00462729">
        <w:t xml:space="preserve"> </w:t>
      </w:r>
      <w:r w:rsidR="00462729">
        <w:rPr>
          <w:lang w:val="en-GB"/>
        </w:rPr>
        <w:t>A</w:t>
      </w:r>
      <w:r w:rsidRPr="0075562C" w:rsidR="00462729">
        <w:t xml:space="preserve"> "high" or strongly positive attitude towards becoming an entrepreneur is believed to predict that an individua</w:t>
      </w:r>
      <w:r w:rsidR="007D1B26">
        <w:t>l is more inclined to start his</w:t>
      </w:r>
      <w:r w:rsidRPr="0075562C" w:rsidR="00462729">
        <w:t xml:space="preserve">/her own business rather than becoming an organizational employee" </w:t>
      </w:r>
      <w:r w:rsidR="00462729">
        <w:rPr>
          <w:iCs w:val="0"/>
        </w:rPr>
        <w:fldChar w:fldCharType="begin" w:fldLock="1"/>
      </w:r>
      <w:r>
        <w:rPr>
          <w:iCs w:val="0"/>
        </w:rPr>
        <w:instrText>ADDIN CSL_CITATION {"citationItems":[{"id":"ITEM-1","itemData":{"DOI":"10.1108/IJEBR-01-2016-0005","ISBN":"9781138922310","ISSN":"13552554","abstract":"Purpose: There is a long-standing debate on whether the entrepreneurship education program (EEP) of university graduates can promote entrepreneurship intention and behaviour. The purpose of this paper is to use the theory of planned behaviour as a conceptual framework and compare the differences in entrepreneurial attitude, subjective norms, perceived behavioural control and intentions among students who participated in entrepreneurship education with a control group of Master of Business Administration (MBA) students in Pakistan. The study further examines what drives intentions between the two groups. Design/methodology/approach: Data were collected using a questionnaire survey from 348 entrepreneurship students and 329 MBAs in their final year (both groups did a total of four years’ tertiary study). One-way analysis of variance test and regression analysis were used to examine the differences and the antecedents of entrepreneurship intention between the two groups. Findings: MBAs have higher entrepreneurial intentions (EIs) than EEP students and the EIs are statistically significant. Nevertheless, the authors did not find any differences in attitude, perceived control behaviour and subjective norms towards entrepreneurship in both the groups. The entrepreneurship intentions of the MBA students are more influenced by social pressure as opposed to EEP students who are influenced by perceived control behaviours. Research limitations/implications: First, although the study introduced a control group, comparisons were based only on EIs and their antecedents in participants’ final year of study. This cross-sectional design provides no information about how much intentions and antecedents changed over time. A longitudinal study would provide information about such changes. Second, the groups in the study were matched in terms of gender, age distribution, family background, years of study and presumed disposition towards running their business. It would be useful if future comparative and longitudinal research measured these individual factors and their effects. Practical implications: Educational activities render the starting of a business desirable and feasible by changing the attitudes and intentions. Nevertheless, various exposures to the challenges of being an entrepreneur via the education programmes may lower their intention to be entrepreneurs. As such, entrepreneurial programmes should be designed with care. Social implications: The study provides …","author":[{"dropping-particle":"","family":"Ahmed","given":"Tariq","non-dropping-particle":"","parse-names":false,"suffix":""},{"dropping-particle":"","family":"Chandran","given":"V. G.R.","non-dropping-particle":"","parse-names":false,"suffix":""},{"dropping-particle":"","family":"Klobas","given":"Jane","non-dropping-particle":"","parse-names":false,"suffix":""}],"container-title":"International Journal of Entrepreneurial Behaviour and Research","id":"ITEM-1","issue":"1","issued":{"date-parts":[["2017"]]},"page":"4-19","title":"Specialized entrepreneurship education: does it really matter? Fresh evidence from Pakistan","type":"article-journal","volume":"23"},"uris":["http://www.mendeley.com/documents/?uuid=61793343-7776-4cd3-ab0b-0d7872890267"]}],"mendeley":{"formattedCitation":"[10]","plainTextFormattedCitation":"[10]","previouslyFormattedCitation":"[10]"},"properties":{"noteIndex":0},"schema":"https://github.com/citation-style-language/schema/raw/master/csl-citation.json"}</w:instrText>
      </w:r>
      <w:r w:rsidR="00462729">
        <w:rPr>
          <w:iCs w:val="0"/>
        </w:rPr>
        <w:fldChar w:fldCharType="separate"/>
      </w:r>
      <w:r w:rsidRPr="007C4528">
        <w:rPr>
          <w:iCs w:val="0"/>
          <w:noProof/>
        </w:rPr>
        <w:t>[10]</w:t>
      </w:r>
      <w:r w:rsidR="00462729">
        <w:rPr>
          <w:iCs w:val="0"/>
        </w:rPr>
        <w:fldChar w:fldCharType="end"/>
      </w:r>
      <w:r w:rsidRPr="0075562C" w:rsidR="00462729">
        <w:t>.</w:t>
      </w:r>
      <w:r w:rsidR="000B66F6">
        <w:rPr>
          <w:lang w:val="en-GB"/>
        </w:rPr>
        <w:t xml:space="preserve"> This result</w:t>
      </w:r>
      <w:r w:rsidRPr="00A27059" w:rsidR="00B16AA4">
        <w:rPr>
          <w:lang w:val="en-GB"/>
        </w:rPr>
        <w:t xml:space="preserve"> is in line with the research results </w:t>
      </w:r>
      <w:r w:rsidR="00B16AA4">
        <w:rPr>
          <w:lang w:val="en-GB"/>
        </w:rPr>
        <w:t xml:space="preserve">from </w:t>
      </w:r>
      <w:r w:rsidR="001C7DB8">
        <w:rPr>
          <w:lang w:val="en-GB"/>
        </w:rPr>
        <w:fldChar w:fldCharType="begin" w:fldLock="1"/>
      </w:r>
      <w:r>
        <w:rPr>
          <w:lang w:val="en-GB"/>
        </w:rPr>
        <w:instrText>ADDIN CSL_CITATION {"citationItems":[{"id":"ITEM-1","itemData":{"DOI":"10.1016/j.ijme.2019.100327","ISSN":"14728117","abstract":"This paper develops and tests a model of pathways between participation in entrepreneurship education programmes (EEPs) and entrepreneurial intention. EEPs are degree programmes designed to provide mastery and experience over several years of academic study. Structural equation modelling on survey data gathered from 348 graduating students from eight universities in Pakistan showed how three EEP components (learning, inspiration and resources) influence intention: learning and inspiration activities both increase perceived norms for being an entrepreneur and students' perceptions that they can be entrepreneurs (perceived control). Access to incubation resources had the strongest effect on intention by increasing perceived norms which in turn increases positive attitudes and perceived control. These findings provide insight into the conclusions drawn from previous studies by showing how positive student experience across different components of entrepreneurship programme have a positive impact on students’ intentions to start their own business.","author":[{"dropping-particle":"","family":"Ahmed","given":"Tariq","non-dropping-particle":"","parse-names":false,"suffix":""},{"dropping-particle":"","family":"Chandran","given":"V. G.R.","non-dropping-particle":"","parse-names":false,"suffix":""},{"dropping-particle":"","family":"Klobas","given":"Jane E.","non-dropping-particle":"","parse-names":false,"suffix":""},{"dropping-particle":"","family":"Liñán","given":"Francisco","non-dropping-particle":"","parse-names":false,"suffix":""},{"dropping-particle":"","family":"Kokkalis","given":"Panagiotis","non-dropping-particle":"","parse-names":false,"suffix":""}],"container-title":"International Journal of Management Education","id":"ITEM-1","issue":"1","issued":{"date-parts":[["2020"]]},"page":"100327","publisher":"Elsevier","title":"Entrepreneurship education programmes: How learning, inspiration and resources affect intentions for new venture creation in a developing economy","type":"article-journal","volume":"18"},"uris":["http://www.mendeley.com/documents/?uuid=37cc4f97-8266-4b9d-8c3c-ea89b9aba057"]}],"mendeley":{"formattedCitation":"[8]","plainTextFormattedCitation":"[8]","previouslyFormattedCitation":"[8]"},"properties":{"noteIndex":0},"schema":"https://github.com/citation-style-language/schema/raw/master/csl-citation.json"}</w:instrText>
      </w:r>
      <w:r w:rsidR="001C7DB8">
        <w:rPr>
          <w:lang w:val="en-GB"/>
        </w:rPr>
        <w:fldChar w:fldCharType="separate"/>
      </w:r>
      <w:r w:rsidRPr="007C4528">
        <w:rPr>
          <w:noProof/>
          <w:lang w:val="en-GB"/>
        </w:rPr>
        <w:t>[8]</w:t>
      </w:r>
      <w:r w:rsidR="001C7DB8">
        <w:rPr>
          <w:lang w:val="en-GB"/>
        </w:rPr>
        <w:fldChar w:fldCharType="end"/>
      </w:r>
      <w:r w:rsidR="001C7DB8">
        <w:rPr>
          <w:lang w:val="en-GB"/>
        </w:rPr>
        <w:t xml:space="preserve"> </w:t>
      </w:r>
      <w:r w:rsidR="00B16AA4">
        <w:rPr>
          <w:lang w:val="en-GB"/>
        </w:rPr>
        <w:t>and</w:t>
      </w:r>
      <w:r w:rsidR="001C7DB8">
        <w:rPr>
          <w:lang w:val="en-GB"/>
        </w:rPr>
        <w:t xml:space="preserve">  </w:t>
      </w:r>
      <w:r w:rsidR="001C7DB8">
        <w:rPr>
          <w:lang w:val="en-GB"/>
        </w:rPr>
        <w:fldChar w:fldCharType="begin" w:fldLock="1"/>
      </w:r>
      <w:r>
        <w:rPr>
          <w:lang w:val="en-GB"/>
        </w:rPr>
        <w:instrText>ADDIN CSL_CITATION {"citationItems":[{"id":"ITEM-1","itemData":{"DOI":"10.1108/JIEB-02-2019-0009","ISSN":"18363261","abstract":"Purpose: Considering entrepreneurship education (EE) theory as a base, this paper aims to examine the impact of EE upon building entrepreneurial intentions. In addition, it investigates the impact of student’s age, gender and degree or course background in developing students entrepreneurial intentions. Design/methodology/approach: A sample of 309 student respondents from higher education institution (HEI’s) was used to understand the relationship and its impact over intention building. Regression and ANOVA technique was used to understand the cause and effect as well as mean differences between the construct. Findings: The results signify a positive impact of EE for stimulating the start-up intention in these interdisciplinary students of HEIs. These results resemble the existing studies in this endeavour. Findings also verify that individual intention to start a new business in terms of the theory of planned behaviour (attitude, perceived behavioural control and social norms), student background (gender and degree specialization) are positively related to individual intention to start a new business. Research limitations/implications: The results confirm previous studies in this field and highlight the need for EE in HEI. The paper highlights the vitality for EE for India’s start-up growth. Originality/value: This study adds to the paucity of research on EE and its impact on entrepreneurial intentions in higher education institutions in India.","author":[{"dropping-particle":"","family":"Paray","given":"Zahoor Ahmad","non-dropping-particle":"","parse-names":false,"suffix":""},{"dropping-particle":"","family":"Kumar","given":"Sumit","non-dropping-particle":"","parse-names":false,"suffix":""}],"container-title":"Journal of International Education in Business","id":"ITEM-1","issue":"1","issued":{"date-parts":[["2020"]]},"page":"55-72","title":"Does entrepreneurship education influence entrepreneurial intention among students in HEI’s?: The role of age, gender and degree background","type":"article-journal","volume":"13"},"uris":["http://www.mendeley.com/documents/?uuid=3691fa00-b72a-44a0-8261-bdd5b16f29bd"]}],"mendeley":{"formattedCitation":"[7]","plainTextFormattedCitation":"[7]","previouslyFormattedCitation":"[7]"},"properties":{"noteIndex":0},"schema":"https://github.com/citation-style-language/schema/raw/master/csl-citation.json"}</w:instrText>
      </w:r>
      <w:r w:rsidR="001C7DB8">
        <w:rPr>
          <w:lang w:val="en-GB"/>
        </w:rPr>
        <w:fldChar w:fldCharType="separate"/>
      </w:r>
      <w:r w:rsidRPr="007C4528">
        <w:rPr>
          <w:noProof/>
          <w:lang w:val="en-GB"/>
        </w:rPr>
        <w:t>[7]</w:t>
      </w:r>
      <w:r w:rsidR="001C7DB8">
        <w:rPr>
          <w:lang w:val="en-GB"/>
        </w:rPr>
        <w:fldChar w:fldCharType="end"/>
      </w:r>
      <w:r w:rsidR="001C7DB8">
        <w:rPr>
          <w:lang w:val="en-GB"/>
        </w:rPr>
        <w:t>.</w:t>
      </w:r>
    </w:p>
    <w:p w:rsidR="00100FFD" w:rsidP="00100FFD" w14:paraId="1A33F46C" w14:textId="774FD707">
      <w:pPr>
        <w:pStyle w:val="BodytextIndented"/>
        <w:jc w:val="center"/>
        <w:rPr>
          <w:lang w:val="en-GB"/>
        </w:rPr>
      </w:pPr>
      <w:r w:rsidRPr="004A12EB">
        <w:rPr>
          <w:noProof/>
        </w:rPr>
        <w:drawing>
          <wp:inline distT="0" distB="0" distL="0" distR="0">
            <wp:extent cx="5670550" cy="3343275"/>
            <wp:effectExtent l="0" t="0" r="635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5670550" cy="3343275"/>
                    </a:xfrm>
                    <a:prstGeom prst="rect">
                      <a:avLst/>
                    </a:prstGeom>
                  </pic:spPr>
                </pic:pic>
              </a:graphicData>
            </a:graphic>
          </wp:inline>
        </w:drawing>
      </w:r>
    </w:p>
    <w:p w:rsidR="00C00553" w:rsidRPr="0075562C" w:rsidP="00396289" w14:paraId="4D419DD2" w14:textId="05C67CBE">
      <w:pPr>
        <w:pStyle w:val="BodytextIndented"/>
        <w:rPr>
          <w:iCs w:val="0"/>
        </w:rPr>
      </w:pPr>
      <w:r w:rsidRPr="00A27059">
        <w:rPr>
          <w:lang w:val="en-GB"/>
        </w:rPr>
        <w:t xml:space="preserve">SN factor as one of the antecedent variables of TPB to EI has a </w:t>
      </w:r>
      <w:r w:rsidR="000B66F6">
        <w:rPr>
          <w:lang w:val="en-GB"/>
        </w:rPr>
        <w:t>low</w:t>
      </w:r>
      <w:r w:rsidRPr="00A27059">
        <w:rPr>
          <w:lang w:val="en-GB"/>
        </w:rPr>
        <w:t xml:space="preserve"> effect</w:t>
      </w:r>
      <w:r w:rsidR="000B66F6">
        <w:rPr>
          <w:lang w:val="en-GB"/>
        </w:rPr>
        <w:t xml:space="preserve"> </w:t>
      </w:r>
      <w:r w:rsidR="000B66F6">
        <w:rPr>
          <w:rFonts w:cs="Times"/>
          <w:lang w:val="en-GB"/>
        </w:rPr>
        <w:t xml:space="preserve">β=0.058 </w:t>
      </w:r>
      <w:r w:rsidR="00776E01">
        <w:rPr>
          <w:rFonts w:cs="Times"/>
          <w:lang w:val="en-GB"/>
        </w:rPr>
        <w:t>and p-</w:t>
      </w:r>
      <w:r w:rsidR="000B66F6">
        <w:rPr>
          <w:rFonts w:cs="Times"/>
          <w:lang w:val="en-GB"/>
        </w:rPr>
        <w:t>value &lt;0.05</w:t>
      </w:r>
      <w:r w:rsidRPr="00A27059">
        <w:rPr>
          <w:lang w:val="en-GB"/>
        </w:rPr>
        <w:t>. This means that the influence of family, friends, and the surrounding environment related to EI is less strong even if they have parents who have a family business</w:t>
      </w:r>
      <w:r w:rsidR="00396289">
        <w:rPr>
          <w:lang w:val="en-GB"/>
        </w:rPr>
        <w:t xml:space="preserve"> to </w:t>
      </w:r>
      <w:r w:rsidRPr="0075562C" w:rsidR="00396289">
        <w:t xml:space="preserve">support students in fostering a tendency towards entrepreneurial interest. </w:t>
      </w:r>
      <w:r w:rsidR="00396289">
        <w:rPr>
          <w:lang w:val="en-GB"/>
        </w:rPr>
        <w:fldChar w:fldCharType="begin" w:fldLock="1"/>
      </w:r>
      <w:r w:rsidR="007C4528">
        <w:rPr>
          <w:lang w:val="en-GB"/>
        </w:rPr>
        <w:instrText>ADDIN CSL_CITATION {"citationItems":[{"id":"ITEM-1","itemData":{"DOI":"10.1108/ET-03-2019-0042","ISSN":"00400912","abstract":"Purpose: The main goal of this work is to argue the theoretical validity of two competitive models that integrate entrepreneurial alertness in the Theory of Planned Behavior (TPB), and also to propose an explanation for the conceptual approach with a higher explicative ability. Design/Methodology/Approach: A total of 281 undergraduate students participated in the survey, and the data were analyzed using structural equation modeling and competitive models. Findings: The research shows it is possible to defend and test two competing TPB models with entrepreneurial alertness (EA), which alerts other field researchers to consider more than one possibility. The model showing the impact EA has on attitude toward the behavior (ATB) and perceived behavioral control (PBC), as well as the model showing the impact of ATB and PBC on EA are both valid. The shared characteristic of the sample may explain a higher predictive power in the first model. Research limitations/implications: The sample was limited to undergraduate students of one university. Practical implications: For educators and policymakers, these results highlight the need to include content related to EA in entrepreneurship education programs since it could trigger the entrepreneurial process. Originality/value: The paper is the first of its kind to demonstrate competing arguments for the role of EA in TPB.","author":[{"dropping-particle":"","family":"Bueckmann-Diegoli","given":"Rafaela","non-dropping-particle":"","parse-names":false,"suffix":""},{"dropping-particle":"","family":"García de los Salmones Sánchez","given":"María del Mar","non-dropping-particle":"","parse-names":false,"suffix":""},{"dropping-particle":"","family":"San Martín Gutiérrez","given":"Héctor","non-dropping-particle":"","parse-names":false,"suffix":""}],"container-title":"Education and Training","id":"ITEM-1","issued":{"date-parts":[["2020"]]},"title":"The development of entrepreneurial alertness in undergraduate students","type":"article-journal"},"uris":["http://www.mendeley.com/documents/?uuid=3c4098d4-76f3-48de-ada8-002d5380c094"]}],"mendeley":{"formattedCitation":"[18]","plainTextFormattedCitation":"[18]","previouslyFormattedCitation":"[17]"},"properties":{"noteIndex":0},"schema":"https://github.com/citation-style-language/schema/raw/master/csl-citation.json"}</w:instrText>
      </w:r>
      <w:r w:rsidR="00396289">
        <w:rPr>
          <w:lang w:val="en-GB"/>
        </w:rPr>
        <w:fldChar w:fldCharType="separate"/>
      </w:r>
      <w:r w:rsidRPr="007C4528" w:rsidR="007C4528">
        <w:rPr>
          <w:noProof/>
          <w:lang w:val="en-GB"/>
        </w:rPr>
        <w:t>[18]</w:t>
      </w:r>
      <w:r w:rsidR="00396289">
        <w:rPr>
          <w:lang w:val="en-GB"/>
        </w:rPr>
        <w:fldChar w:fldCharType="end"/>
      </w:r>
      <w:r w:rsidR="00396289">
        <w:rPr>
          <w:lang w:val="en-GB"/>
        </w:rPr>
        <w:t>.</w:t>
      </w:r>
      <w:r w:rsidRPr="000B66F6" w:rsidR="00396289">
        <w:rPr>
          <w:lang w:val="en-GB"/>
        </w:rPr>
        <w:t xml:space="preserve"> </w:t>
      </w:r>
      <w:r w:rsidRPr="0075562C" w:rsidR="00396289">
        <w:t xml:space="preserve">Students who receive support from their families, lecturers, and friends to become entrepreneurs have high hopes for their business fields so that they can think and act motivated to be more creative and innovative </w:t>
      </w:r>
      <w:r w:rsidR="00396289">
        <w:rPr>
          <w:iCs w:val="0"/>
        </w:rPr>
        <w:fldChar w:fldCharType="begin" w:fldLock="1"/>
      </w:r>
      <w:r w:rsidR="007C4528">
        <w:rPr>
          <w:iCs w:val="0"/>
        </w:rPr>
        <w:instrText>ADDIN CSL_CITATION {"citationItems":[{"id":"ITEM-1","itemData":{"DOI":"10.1016/j.tsc.2018.11.004","ISSN":"18711871","abstract":"Creativity is a commonly assumed characteristic of entrepreneurs. It is proposed to be a necessary, although not sufficient, prerequisite for entrepreneurship. This study aimed to deepen our understanding of the relationship between self-perceived creativity and entrepreneurial intentions. To do so, we conducted a cross-sectional survey study among 559 university students. We tested an expanded model based on the theory of planned behaviour (TPB), which included self-perceived creativity as a distal antecedent of entrepreneurial intentions. In addition, we examined both the role of perceived family and university support for creativity, as well as taking a creativity course, in boosting self-perceived creativity. While some empirical evidence has indicated a direct link between (perceived) creativity and entrepreneurial intentions, the TPB posits that three antecedents (attitudes, subjective norms and perceived behavioural control/self-efficacy) would be the only direct determinants of intentions. All other factors are theorized to indirectly influence intentions through one or more of these components. The results of partial least squares structural modelling refuted this assumption. Entrepreneurial self-efficacy and positive attitudes did indeed mediate the self-perceived creativity – entrepreneurial intentions link, but self-perceived creativity explained additional variance in entrepreneurial intentions, beyond these TPB components. In addition, our results showed that family and university support for creativity, as well as taking a creativity course, were significant predictors of self-perceived creativity. Postgraduate students, and particularly male students, perceived greater university and family support and reported greater self-perceived creativity than did undergraduate students. We conclude that teaching creativity contents and practice are a useful way to enrich entrepreneurship programmes.","author":[{"dropping-particle":"","family":"Laguía","given":"Ana","non-dropping-particle":"","parse-names":false,"suffix":""},{"dropping-particle":"","family":"Moriano","given":"Juan A.","non-dropping-particle":"","parse-names":false,"suffix":""},{"dropping-particle":"","family":"Gorgievski","given":"Marjan J.","non-dropping-particle":"","parse-names":false,"suffix":""}],"container-title":"Thinking Skills and Creativity","id":"ITEM-1","issued":{"date-parts":[["2019"]]},"title":"A psychosocial study of self-perceived creativity and entrepreneurial intentions in a sample of university students","type":"article-journal"},"uris":["http://www.mendeley.com/documents/?uuid=9f3e7622-9194-4003-b172-2e2dde04c8ce"]}],"mendeley":{"formattedCitation":"[19]","plainTextFormattedCitation":"[19]","previouslyFormattedCitation":"[18]"},"properties":{"noteIndex":0},"schema":"https://github.com/citation-style-language/schema/raw/master/csl-citation.json"}</w:instrText>
      </w:r>
      <w:r w:rsidR="00396289">
        <w:rPr>
          <w:iCs w:val="0"/>
        </w:rPr>
        <w:fldChar w:fldCharType="separate"/>
      </w:r>
      <w:r w:rsidRPr="007C4528" w:rsidR="007C4528">
        <w:rPr>
          <w:noProof/>
        </w:rPr>
        <w:t>[19]</w:t>
      </w:r>
      <w:r w:rsidR="00396289">
        <w:rPr>
          <w:iCs w:val="0"/>
        </w:rPr>
        <w:fldChar w:fldCharType="end"/>
      </w:r>
      <w:r w:rsidRPr="00A27059">
        <w:rPr>
          <w:lang w:val="en-GB"/>
        </w:rPr>
        <w:t xml:space="preserve">. </w:t>
      </w:r>
      <w:r w:rsidR="007D1B26">
        <w:rPr>
          <w:rStyle w:val="jlqj4b"/>
          <w:lang w:val="en"/>
        </w:rPr>
        <w:t>Thus H3b is supported</w:t>
      </w:r>
      <w:r w:rsidR="00396289">
        <w:rPr>
          <w:lang w:val="en-GB"/>
        </w:rPr>
        <w:t xml:space="preserve">. </w:t>
      </w:r>
      <w:r w:rsidRPr="00A27059">
        <w:rPr>
          <w:lang w:val="en-GB"/>
        </w:rPr>
        <w:t>This confirms the research</w:t>
      </w:r>
      <w:r w:rsidR="00B04332">
        <w:rPr>
          <w:lang w:val="en-GB"/>
        </w:rPr>
        <w:t xml:space="preserve"> </w:t>
      </w:r>
      <w:r w:rsidR="00B04332">
        <w:rPr>
          <w:lang w:val="en-GB"/>
        </w:rPr>
        <w:fldChar w:fldCharType="begin" w:fldLock="1"/>
      </w:r>
      <w:r w:rsidR="007C4528">
        <w:rPr>
          <w:lang w:val="en-GB"/>
        </w:rPr>
        <w:instrText>ADDIN CSL_CITATION {"citationItems":[{"id":"ITEM-1","itemData":{"DOI":"10.1016/j.ijme.2019.100327","ISSN":"14728117","abstract":"This paper develops and tests a model of pathways between participation in entrepreneurship education programmes (EEPs) and entrepreneurial intention. EEPs are degree programmes designed to provide mastery and experience over several years of academic study. Structural equation modelling on survey data gathered from 348 graduating students from eight universities in Pakistan showed how three EEP components (learning, inspiration and resources) influence intention: learning and inspiration activities both increase perceived norms for being an entrepreneur and students' perceptions that they can be entrepreneurs (perceived control). Access to incubation resources had the strongest effect on intention by increasing perceived norms which in turn increases positive attitudes and perceived control. These findings provide insight into the conclusions drawn from previous studies by showing how positive student experience across different components of entrepreneurship programme have a positive impact on students’ intentions to start their own business.","author":[{"dropping-particle":"","family":"Ahmed","given":"Tariq","non-dropping-particle":"","parse-names":false,"suffix":""},{"dropping-particle":"","family":"Chandran","given":"V. G.R.","non-dropping-particle":"","parse-names":false,"suffix":""},{"dropping-particle":"","family":"Klobas","given":"Jane E.","non-dropping-particle":"","parse-names":false,"suffix":""},{"dropping-particle":"","family":"Liñán","given":"Francisco","non-dropping-particle":"","parse-names":false,"suffix":""},{"dropping-particle":"","family":"Kokkalis","given":"Panagiotis","non-dropping-particle":"","parse-names":false,"suffix":""}],"container-title":"International Journal of Management Education","id":"ITEM-1","issue":"1","issued":{"date-parts":[["2020"]]},"page":"100327","publisher":"Elsevier","title":"Entrepreneurship education programmes: How learning, inspiration and resources affect intentions for new venture creation in a developing economy","type":"article-journal","volume":"18"},"uris":["http://www.mendeley.com/documents/?uuid=37cc4f97-8266-4b9d-8c3c-ea89b9aba057"]}],"mendeley":{"formattedCitation":"[8]","plainTextFormattedCitation":"[8]","previouslyFormattedCitation":"[8]"},"properties":{"noteIndex":0},"schema":"https://github.com/citation-style-language/schema/raw/master/csl-citation.json"}</w:instrText>
      </w:r>
      <w:r w:rsidR="00B04332">
        <w:rPr>
          <w:lang w:val="en-GB"/>
        </w:rPr>
        <w:fldChar w:fldCharType="separate"/>
      </w:r>
      <w:r w:rsidRPr="007C4528" w:rsidR="007C4528">
        <w:rPr>
          <w:noProof/>
          <w:lang w:val="en-GB"/>
        </w:rPr>
        <w:t>[8]</w:t>
      </w:r>
      <w:r w:rsidR="00B04332">
        <w:rPr>
          <w:lang w:val="en-GB"/>
        </w:rPr>
        <w:fldChar w:fldCharType="end"/>
      </w:r>
      <w:r w:rsidRPr="00A27059">
        <w:rPr>
          <w:lang w:val="en-GB"/>
        </w:rPr>
        <w:t xml:space="preserve"> but does not confirm the research </w:t>
      </w:r>
    </w:p>
    <w:p w:rsidR="007C4528" w:rsidP="00A27059" w14:paraId="395C29E5" w14:textId="4327D780">
      <w:pPr>
        <w:pStyle w:val="BodytextIndented"/>
        <w:rPr>
          <w:color w:val="auto"/>
        </w:rPr>
      </w:pPr>
      <w:r w:rsidRPr="007C4528">
        <w:rPr>
          <w:color w:val="auto"/>
        </w:rPr>
        <w:t>H2 is supported even though the significance is weak with p-value &lt;0.1 and TTF has a negative effect on EI. These results can be interpreted that the higher the use of technology in participating in entrepreneurship course assignments, it actually reduces students' interest in entrepreneurship. This is an anomaly. Owned information technology, following the task, the independence of completing tasks, and following tasks related to entrepreneurial activities actually reduce students' interest in entrepreneurship. The logical reason that can be used to explain this phenomenon is when data collection was carried out in September 2020 and it was still in the state of the Covid 19 pandemic. Learning is still being carried out online, all course assignments are accessed through the lecture site either synchronously or synchronously. Thus, TTF is not only for carrying out special course assignments for entrepreneurship but for all courses offered in the odd semester of the 2020/2021 academic year.</w:t>
      </w:r>
    </w:p>
    <w:p w:rsidR="003D1C3F" w:rsidP="00A27059" w14:paraId="6A8333D2" w14:textId="4667F5D3">
      <w:pPr>
        <w:pStyle w:val="BodytextIndented"/>
        <w:rPr>
          <w:color w:val="auto"/>
        </w:rPr>
      </w:pPr>
    </w:p>
    <w:p w:rsidR="003D1C3F" w:rsidP="00A27059" w14:paraId="1D4E8721" w14:textId="68A2D0E8">
      <w:pPr>
        <w:pStyle w:val="BodytextIndented"/>
        <w:rPr>
          <w:color w:val="auto"/>
        </w:rPr>
      </w:pPr>
    </w:p>
    <w:p w:rsidR="003D1C3F" w:rsidP="00A27059" w14:paraId="49353EE7" w14:textId="77777777">
      <w:pPr>
        <w:pStyle w:val="BodytextIndented"/>
        <w:rPr>
          <w:color w:val="auto"/>
        </w:rPr>
      </w:pPr>
    </w:p>
    <w:p w:rsidR="007A625A" w:rsidP="00A27059" w14:paraId="28EB5E4A" w14:textId="3BCCC2DB">
      <w:pPr>
        <w:pStyle w:val="BodytextIndented"/>
        <w:rPr>
          <w:lang w:val="en-GB"/>
        </w:rPr>
      </w:pPr>
      <w:r>
        <w:rPr>
          <w:lang w:val="en-GB"/>
        </w:rPr>
        <w:t xml:space="preserve"> </w:t>
      </w:r>
      <w:r w:rsidR="00396289">
        <w:rPr>
          <w:iCs w:val="0"/>
        </w:rPr>
        <w:fldChar w:fldCharType="begin" w:fldLock="1"/>
      </w:r>
      <w:r w:rsidR="007C4528">
        <w:rPr>
          <w:iCs w:val="0"/>
        </w:rPr>
        <w:instrText>ADDIN CSL_CITATION {"citationItems":[{"id":"ITEM-1","itemData":{"DOI":"10.1016/j.procs.2017.12.164","ISSN":"1877-0509","abstract":"In this era of smartphone utilization, business owners such as textile cyberpreneurs may conduct mobile retail (m- retail) via cloud-based m-retail application. As cloud and e-commerce services are still lowly adopted by Malaysian business owners, further investigation must be done in examining their adoption intention. Normally for businessmen, the technology utilization may associate with tasks which are required to be performed. Moreover, their own behaviour may influence the usage intention. Hence, this study intends to investigate the influences of task-technology fit (TTF) model and theory of planned behaviour (TPB) towards textile cyberpreneur’s intention to adopt cloud-based m-retail application. 348 respondents have participated in this study and analysis of findings have shown that task-technology fit, attitude, subjective norm and perceived behavioural control have significant positive effects on textile cyberpreneur’s behavioural intention. Task-technology fit construct has also been found as the most influential factor towards adoption intention. The practical implications and future recommendations are presented in this study for additional knowledge.","author":[{"dropping-particle":"","family":"Safra","given":"Wan","non-dropping-particle":"","parse-names":false,"suffix":""},{"dropping-particle":"","family":"Wan","given":"Diyana","non-dropping-particle":"","parse-names":false,"suffix":""},{"dropping-particle":"","family":"Ghani","given":"Abdul","non-dropping-particle":"","parse-names":false,"suffix":""},{"dropping-particle":"","family":"Zulkarnaen","given":"Nik","non-dropping-particle":"","parse-names":false,"suffix":""},{"dropping-particle":"","family":"Tse","given":"Tan","non-dropping-particle":"","parse-names":false,"suffix":""}],"container-title":"Procedia Computer Science","id":"ITEM-1","issued":{"date-parts":[["2018"]]},"page":"345-353","publisher":"Elsevier B.V.","title":"ScienceDirect ScienceDirect Analysis on Factors Influencing Textile Cyberpreneur ’ s Intention to Adopt Cloud-Based m-Retail Application","type":"article-journal","volume":"124"},"uris":["http://www.mendeley.com/documents/?uuid=bed31866-ab6d-470c-b478-1983444ae601"]}],"mendeley":{"formattedCitation":"[20]","plainTextFormattedCitation":"[20]","previouslyFormattedCitation":"[19]"},"properties":{"noteIndex":0},"schema":"https://github.com/citation-style-language/schema/raw/master/csl-citation.json"}</w:instrText>
      </w:r>
      <w:r w:rsidR="00396289">
        <w:rPr>
          <w:iCs w:val="0"/>
        </w:rPr>
        <w:fldChar w:fldCharType="separate"/>
      </w:r>
      <w:r w:rsidRPr="007C4528" w:rsidR="007C4528">
        <w:rPr>
          <w:noProof/>
        </w:rPr>
        <w:t>[20]</w:t>
      </w:r>
      <w:r w:rsidR="00396289">
        <w:rPr>
          <w:iCs w:val="0"/>
        </w:rPr>
        <w:fldChar w:fldCharType="end"/>
      </w:r>
      <w:r w:rsidRPr="0075562C" w:rsidR="00396289">
        <w:t xml:space="preserve"> combined TTF variables with TPB to test their effect on the intention to adopt cloud-based retail application (CBMA) used on 348 Malaysian textile cyberpreneurers. The results of the study proved that the combination of TTF and TPB was able to describe the adoption intention of textile cyberpreneurs. Furthermore, the result had proved that both task-related and human behavior factors play significant roles in influencing textile cyberpreneurs' intention to adopt CBMA.</w:t>
      </w:r>
    </w:p>
    <w:p w:rsidR="00C3515C" w:rsidRPr="0075562C" w:rsidP="00C3515C" w14:paraId="05677CF3" w14:textId="1FA6F8FB">
      <w:pPr>
        <w:ind w:firstLine="284"/>
        <w:jc w:val="both"/>
        <w:rPr>
          <w:iCs/>
          <w:szCs w:val="22"/>
          <w:lang w:val="en-US"/>
        </w:rPr>
      </w:pPr>
      <w:r>
        <w:t>Last</w:t>
      </w:r>
      <w:r>
        <w:t>, PBC as one o</w:t>
      </w:r>
      <w:r w:rsidRPr="00A27059" w:rsidR="00B16AA4">
        <w:t xml:space="preserve">f the three antecedent variables of the </w:t>
      </w:r>
      <w:r w:rsidR="005C02EC">
        <w:t>T</w:t>
      </w:r>
      <w:r w:rsidRPr="00A27059" w:rsidR="00B16AA4">
        <w:t xml:space="preserve">PB </w:t>
      </w:r>
      <w:r>
        <w:t>did</w:t>
      </w:r>
      <w:r w:rsidRPr="00A27059" w:rsidR="00B16AA4">
        <w:t xml:space="preserve"> not affect</w:t>
      </w:r>
      <w:r>
        <w:t xml:space="preserve"> EI</w:t>
      </w:r>
      <w:r w:rsidRPr="00A27059" w:rsidR="00B16AA4">
        <w:t xml:space="preserve">. It is suspected that the cause is because the points of the questionnaire statements are not understood by the respondents. </w:t>
      </w:r>
      <w:r w:rsidRPr="0075562C" w:rsidR="00385A29">
        <w:rPr>
          <w:iCs/>
          <w:szCs w:val="22"/>
          <w:lang w:val="en-US"/>
        </w:rPr>
        <w:t xml:space="preserve">PBC in entrepreneurship refers to behavior people's perception of how easier or difficult to start a business, and how much to control it </w:t>
      </w:r>
      <w:r w:rsidR="00385A29">
        <w:rPr>
          <w:iCs/>
          <w:szCs w:val="22"/>
          <w:lang w:val="en-US"/>
        </w:rPr>
        <w:t xml:space="preserve"> </w:t>
      </w:r>
      <w:r w:rsidR="00385A29">
        <w:rPr>
          <w:iCs/>
          <w:szCs w:val="22"/>
          <w:lang w:val="en-US"/>
        </w:rPr>
        <w:fldChar w:fldCharType="begin" w:fldLock="1"/>
      </w:r>
      <w:r w:rsidR="007C4528">
        <w:rPr>
          <w:iCs/>
          <w:szCs w:val="22"/>
          <w:lang w:val="en-US"/>
        </w:rPr>
        <w:instrText>ADDIN CSL_CITATION {"citationItems":[{"id":"ITEM-1","itemData":{"author":[{"dropping-particle":"","family":"Al-jubari","given":"Ibrahim","non-dropping-particle":"","parse-names":false,"suffix":""}],"container-title":"International Entrepreneurship and Management Journal","id":"ITEM-1","issued":{"date-parts":[["2018"]]},"publisher":"International Entrepreneurship and Management Journal","title":"Entrepreneurial intention among University students in Malaysia : integrating self-determination theory and the theory of planned behavior","type":"article-journal"},"uris":["http://www.mendeley.com/documents/?uuid=50e685d4-8232-418f-927a-f1993d47369c"]}],"mendeley":{"formattedCitation":"[21]","plainTextFormattedCitation":"[21]","previouslyFormattedCitation":"[20]"},"properties":{"noteIndex":0},"schema":"https://github.com/citation-style-language/schema/raw/master/csl-citation.json"}</w:instrText>
      </w:r>
      <w:r w:rsidR="00385A29">
        <w:rPr>
          <w:iCs/>
          <w:szCs w:val="22"/>
          <w:lang w:val="en-US"/>
        </w:rPr>
        <w:fldChar w:fldCharType="separate"/>
      </w:r>
      <w:r w:rsidRPr="007C4528" w:rsidR="007C4528">
        <w:rPr>
          <w:iCs/>
          <w:noProof/>
          <w:szCs w:val="22"/>
          <w:lang w:val="en-US"/>
        </w:rPr>
        <w:t>[21]</w:t>
      </w:r>
      <w:r w:rsidR="00385A29">
        <w:rPr>
          <w:iCs/>
          <w:szCs w:val="22"/>
          <w:lang w:val="en-US"/>
        </w:rPr>
        <w:fldChar w:fldCharType="end"/>
      </w:r>
      <w:r w:rsidR="00385A29">
        <w:rPr>
          <w:iCs/>
          <w:szCs w:val="22"/>
          <w:lang w:val="en-US"/>
        </w:rPr>
        <w:t xml:space="preserve">. </w:t>
      </w:r>
      <w:r w:rsidRPr="00A27059" w:rsidR="00B16AA4">
        <w:t xml:space="preserve">Moreover, </w:t>
      </w:r>
      <w:r w:rsidR="00B16AA4">
        <w:t xml:space="preserve">filling in this questionnaire </w:t>
      </w:r>
      <w:r w:rsidRPr="00A27059" w:rsidR="00B16AA4">
        <w:t>during the Covid 19 pandemic has made respondents feel uncertain about self-control. As a result, most respondents answered these statements by choosing neutral. The results did not confirm the study</w:t>
      </w:r>
      <w:r w:rsidR="00B04332">
        <w:t xml:space="preserve"> </w:t>
      </w:r>
      <w:r w:rsidR="00B04332">
        <w:fldChar w:fldCharType="begin" w:fldLock="1"/>
      </w:r>
      <w:r w:rsidR="007C4528">
        <w:instrText>ADDIN CSL_CITATION {"citationItems":[{"id":"ITEM-1","itemData":{"DOI":"10.1108/ET-03-2019-0042","ISSN":"00400912","abstract":"Purpose: The main goal of this work is to argue the theoretical validity of two competitive models that integrate entrepreneurial alertness in the Theory of Planned Behavior (TPB), and also to propose an explanation for the conceptual approach with a higher explicative ability. Design/Methodology/Approach: A total of 281 undergraduate students participated in the survey, and the data were analyzed using structural equation modeling and competitive models. Findings: The research shows it is possible to defend and test two competing TPB models with entrepreneurial alertness (EA), which alerts other field researchers to consider more than one possibility. The model showing the impact EA has on attitude toward the behavior (ATB) and perceived behavioral control (PBC), as well as the model showing the impact of ATB and PBC on EA are both valid. The shared characteristic of the sample may explain a higher predictive power in the first model. Research limitations/implications: The sample was limited to undergraduate students of one university. Practical implications: For educators and policymakers, these results highlight the need to include content related to EA in entrepreneurship education programs since it could trigger the entrepreneurial process. Originality/value: The paper is the first of its kind to demonstrate competing arguments for the role of EA in TPB.","author":[{"dropping-particle":"","family":"Bueckmann-Diegoli","given":"Rafaela","non-dropping-particle":"","parse-names":false,"suffix":""},{"dropping-particle":"","family":"García de los Salmones Sánchez","given":"María del Mar","non-dropping-particle":"","parse-names":false,"suffix":""},{"dropping-particle":"","family":"San Martín Gutiérrez","given":"Héctor","non-dropping-particle":"","parse-names":false,"suffix":""}],"container-title":"Education and Training","id":"ITEM-1","issued":{"date-parts":[["2020"]]},"title":"The development of entrepreneurial alertness in undergraduate students","type":"article-journal"},"uris":["http://www.mendeley.com/documents/?uuid=3c4098d4-76f3-48de-ada8-002d5380c094"]}],"mendeley":{"formattedCitation":"[18]","plainTextFormattedCitation":"[18]","previouslyFormattedCitation":"[17]"},"properties":{"noteIndex":0},"schema":"https://github.com/citation-style-language/schema/raw/master/csl-citation.json"}</w:instrText>
      </w:r>
      <w:r w:rsidR="00B04332">
        <w:fldChar w:fldCharType="separate"/>
      </w:r>
      <w:r w:rsidRPr="007C4528" w:rsidR="007C4528">
        <w:rPr>
          <w:noProof/>
        </w:rPr>
        <w:t>[18]</w:t>
      </w:r>
      <w:r w:rsidR="00B04332">
        <w:fldChar w:fldCharType="end"/>
      </w:r>
    </w:p>
    <w:p w:rsidR="001A4562" w:rsidP="001A4562" w14:paraId="63626D9C" w14:textId="77777777">
      <w:pPr>
        <w:pStyle w:val="Section"/>
      </w:pPr>
      <w:commentRangeStart w:id="3"/>
      <w:r>
        <w:t>C</w:t>
      </w:r>
      <w:r w:rsidR="0088732D">
        <w:t>onclusion</w:t>
      </w:r>
      <w:commentRangeEnd w:id="3"/>
      <w:r w:rsidR="00902859">
        <w:rPr>
          <w:rStyle w:val="CommentReference"/>
          <w:b w:val="0"/>
          <w:iCs w:val="0"/>
          <w:color w:val="auto"/>
        </w:rPr>
        <w:commentReference w:id="3"/>
      </w:r>
    </w:p>
    <w:p w:rsidR="001A4562" w:rsidP="00CA4A3C" w14:paraId="731CDF7A" w14:textId="6D9ECFD5">
      <w:pPr>
        <w:pStyle w:val="BodytextIndented"/>
        <w:ind w:firstLine="0"/>
        <w:rPr>
          <w:lang w:val="en-GB"/>
        </w:rPr>
      </w:pPr>
      <w:r w:rsidRPr="007D1B26">
        <w:rPr>
          <w:lang w:val="en-GB"/>
        </w:rPr>
        <w:t>This study proves that EE (H1) and ATE (H3a) have a strong positive effect on EI. Meanwhile, SN (H3b) had a moderate effect on student EI. However, PBC (H3c) as an antecedent variable of Theory of Planned Behavior was not proven to be able to increase student EI. While TTF (H2) has a weak negative effect on EI. This is an anomaly. The logical explanation is that respondents feel TF is not only for helping with entrepreneurial-related subject assignments but for all subjects. Because data collection was carried out during the COVID-19 pandemic, the learning process was carried out online. So tha</w:t>
      </w:r>
      <w:r>
        <w:rPr>
          <w:lang w:val="en-GB"/>
        </w:rPr>
        <w:t>t all the technology used is fit</w:t>
      </w:r>
      <w:r w:rsidRPr="007D1B26">
        <w:rPr>
          <w:lang w:val="en-GB"/>
        </w:rPr>
        <w:t xml:space="preserve"> for all coursework for all courses online using the internet. Furthermore, the results of this study cannot be generalized because it only uses students at one university as respondents. The second limitation is assured validity for the PBC variable &lt;0.6. Nevertheless</w:t>
      </w:r>
      <w:r>
        <w:rPr>
          <w:lang w:val="en-GB"/>
        </w:rPr>
        <w:t xml:space="preserve">, the </w:t>
      </w:r>
      <w:r w:rsidRPr="00A27059" w:rsidR="00B16AA4">
        <w:rPr>
          <w:lang w:val="en-GB"/>
        </w:rPr>
        <w:t>implication of this study is to fill the knowledge gap of the influence of the EE and TTF variables on EI by using the TPB. Besides, the results of this study are useful for mapping the high EI of students so that it can be used by lecturers and decision-makers in higher education settings.</w:t>
      </w:r>
    </w:p>
    <w:p w:rsidR="00A27059" w:rsidP="00A27059" w14:paraId="35B6429B" w14:textId="77777777">
      <w:pPr>
        <w:pStyle w:val="BodytextIndented"/>
        <w:ind w:firstLine="0"/>
        <w:rPr>
          <w:lang w:val="en-GB"/>
        </w:rPr>
      </w:pPr>
    </w:p>
    <w:p w:rsidR="00645BE0" w:rsidRPr="00645BE0" w:rsidP="00053EA1" w14:paraId="2C2614BE" w14:textId="77777777">
      <w:pPr>
        <w:pStyle w:val="Section"/>
        <w:spacing w:before="0"/>
      </w:pPr>
      <w:r w:rsidRPr="00645BE0">
        <w:t>Acknowledgment</w:t>
      </w:r>
    </w:p>
    <w:p w:rsidR="00053EA1" w:rsidP="00053EA1" w14:paraId="4BF68E18" w14:textId="77777777">
      <w:pPr>
        <w:pStyle w:val="Section"/>
        <w:numPr>
          <w:ilvl w:val="0"/>
          <w:numId w:val="0"/>
        </w:numPr>
        <w:spacing w:before="0"/>
        <w:jc w:val="both"/>
        <w:rPr>
          <w:rFonts w:eastAsia="SimSun" w:cs="Times"/>
          <w:b w:val="0"/>
          <w:iCs w:val="0"/>
          <w:color w:val="auto"/>
          <w:lang w:val="en-AU" w:eastAsia="zh-CN"/>
        </w:rPr>
      </w:pPr>
      <w:r w:rsidRPr="00053EA1">
        <w:rPr>
          <w:rFonts w:eastAsia="SimSun" w:cs="Times"/>
          <w:b w:val="0"/>
          <w:iCs w:val="0"/>
          <w:color w:val="auto"/>
          <w:lang w:val="en-AU" w:eastAsia="zh-CN"/>
        </w:rPr>
        <w:t xml:space="preserve">We would like to express our appreciation to the Center for Advanced Computing Technology (C-ACT), Faculty of Information and Communication Technology (FTMK), Centre for Technopreneurship Development (C-TeD), Faculty of Technology Management and Technopreneurship (FPTT), Universiti Teknikal Malaysia Melaka, and Fakultas Bisnis dan Ekonomika, Universitas Atma Jaya Yogyakarta for supporting this research. </w:t>
      </w:r>
    </w:p>
    <w:p w:rsidR="009A0487" w:rsidP="00053EA1" w14:paraId="4CB61D16" w14:textId="77777777">
      <w:pPr>
        <w:pStyle w:val="Section"/>
      </w:pPr>
      <w:r>
        <w:t>References</w:t>
      </w:r>
    </w:p>
    <w:p w:rsidR="007C4528" w:rsidRPr="007C4528" w:rsidP="007C4528" w14:paraId="27F3E857" w14:textId="20C540E1">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Pr="007C4528">
        <w:rPr>
          <w:rFonts w:cs="Times"/>
          <w:noProof/>
          <w:szCs w:val="24"/>
        </w:rPr>
        <w:t>[1]</w:t>
      </w:r>
      <w:r w:rsidRPr="007C4528">
        <w:rPr>
          <w:rFonts w:cs="Times"/>
          <w:noProof/>
          <w:szCs w:val="24"/>
        </w:rPr>
        <w:tab/>
        <w:t xml:space="preserve"> Elia G, Margherita A and Passiante G 2020 Digital entrepreneurship ecosystem: How digital technologies and collective intelligence are reshaping the entrepreneurial process </w:t>
      </w:r>
      <w:r w:rsidRPr="007C4528">
        <w:rPr>
          <w:rFonts w:cs="Times"/>
          <w:i/>
          <w:iCs/>
          <w:noProof/>
          <w:szCs w:val="24"/>
        </w:rPr>
        <w:t>Technol. Forecast. Soc. Change</w:t>
      </w:r>
    </w:p>
    <w:p w:rsidR="007C4528" w:rsidRPr="007C4528" w:rsidP="007C4528" w14:paraId="53251ABC" w14:textId="77777777">
      <w:pPr>
        <w:widowControl w:val="0"/>
        <w:autoSpaceDE w:val="0"/>
        <w:autoSpaceDN w:val="0"/>
        <w:adjustRightInd w:val="0"/>
        <w:ind w:left="640" w:hanging="640"/>
        <w:rPr>
          <w:rFonts w:cs="Times"/>
          <w:noProof/>
          <w:szCs w:val="24"/>
        </w:rPr>
      </w:pPr>
      <w:r w:rsidRPr="007C4528">
        <w:rPr>
          <w:rFonts w:cs="Times"/>
          <w:noProof/>
          <w:szCs w:val="24"/>
        </w:rPr>
        <w:t>[2]</w:t>
      </w:r>
      <w:r w:rsidRPr="007C4528">
        <w:rPr>
          <w:rFonts w:cs="Times"/>
          <w:noProof/>
          <w:szCs w:val="24"/>
        </w:rPr>
        <w:tab/>
        <w:t xml:space="preserve"> Obschonka M 2017 ScienceDirect The quest for the entrepreneurial culture : psychological Big Data in entrepreneurship research </w:t>
      </w:r>
      <w:r w:rsidRPr="007C4528">
        <w:rPr>
          <w:rFonts w:cs="Times"/>
          <w:i/>
          <w:iCs/>
          <w:noProof/>
          <w:szCs w:val="24"/>
        </w:rPr>
        <w:t>COBEHA</w:t>
      </w:r>
      <w:r w:rsidRPr="007C4528">
        <w:rPr>
          <w:rFonts w:cs="Times"/>
          <w:noProof/>
          <w:szCs w:val="24"/>
        </w:rPr>
        <w:t xml:space="preserve"> </w:t>
      </w:r>
      <w:r w:rsidRPr="007C4528">
        <w:rPr>
          <w:rFonts w:cs="Times"/>
          <w:b/>
          <w:bCs/>
          <w:noProof/>
          <w:szCs w:val="24"/>
        </w:rPr>
        <w:t>18</w:t>
      </w:r>
      <w:r w:rsidRPr="007C4528">
        <w:rPr>
          <w:rFonts w:cs="Times"/>
          <w:noProof/>
          <w:szCs w:val="24"/>
        </w:rPr>
        <w:t xml:space="preserve"> 69–74</w:t>
      </w:r>
    </w:p>
    <w:p w:rsidR="007C4528" w:rsidRPr="007C4528" w:rsidP="007C4528" w14:paraId="517F82ED" w14:textId="77777777">
      <w:pPr>
        <w:widowControl w:val="0"/>
        <w:autoSpaceDE w:val="0"/>
        <w:autoSpaceDN w:val="0"/>
        <w:adjustRightInd w:val="0"/>
        <w:ind w:left="640" w:hanging="640"/>
        <w:rPr>
          <w:rFonts w:cs="Times"/>
          <w:noProof/>
          <w:szCs w:val="24"/>
        </w:rPr>
      </w:pPr>
      <w:r w:rsidRPr="007C4528">
        <w:rPr>
          <w:rFonts w:cs="Times"/>
          <w:noProof/>
          <w:szCs w:val="24"/>
        </w:rPr>
        <w:t>[3]</w:t>
      </w:r>
      <w:r w:rsidRPr="007C4528">
        <w:rPr>
          <w:rFonts w:cs="Times"/>
          <w:noProof/>
          <w:szCs w:val="24"/>
        </w:rPr>
        <w:tab/>
        <w:t xml:space="preserve"> Liguori E and Winkler C 2020 From Offline to Online: Challenges and Opportunities for Entrepreneurship Education Following the COVID-19 Pandemic </w:t>
      </w:r>
      <w:r w:rsidRPr="007C4528">
        <w:rPr>
          <w:rFonts w:cs="Times"/>
          <w:i/>
          <w:iCs/>
          <w:noProof/>
          <w:szCs w:val="24"/>
        </w:rPr>
        <w:t>Entrep. Educ. Pedagog.</w:t>
      </w:r>
      <w:r w:rsidRPr="007C4528">
        <w:rPr>
          <w:rFonts w:cs="Times"/>
          <w:noProof/>
          <w:szCs w:val="24"/>
        </w:rPr>
        <w:t xml:space="preserve"> 251512742091673</w:t>
      </w:r>
    </w:p>
    <w:p w:rsidR="007C4528" w:rsidRPr="007C4528" w:rsidP="007C4528" w14:paraId="23CE95C4" w14:textId="77777777">
      <w:pPr>
        <w:widowControl w:val="0"/>
        <w:autoSpaceDE w:val="0"/>
        <w:autoSpaceDN w:val="0"/>
        <w:adjustRightInd w:val="0"/>
        <w:ind w:left="640" w:hanging="640"/>
        <w:rPr>
          <w:rFonts w:cs="Times"/>
          <w:noProof/>
          <w:szCs w:val="24"/>
        </w:rPr>
      </w:pPr>
      <w:r w:rsidRPr="007C4528">
        <w:rPr>
          <w:rFonts w:cs="Times"/>
          <w:noProof/>
          <w:szCs w:val="24"/>
        </w:rPr>
        <w:t>[4]</w:t>
      </w:r>
      <w:r w:rsidRPr="007C4528">
        <w:rPr>
          <w:rFonts w:cs="Times"/>
          <w:noProof/>
          <w:szCs w:val="24"/>
        </w:rPr>
        <w:tab/>
        <w:t xml:space="preserve"> Goodhue D L and Thompson R L 1995 Task-technology fit and individual performance </w:t>
      </w:r>
      <w:r w:rsidRPr="007C4528">
        <w:rPr>
          <w:rFonts w:cs="Times"/>
          <w:i/>
          <w:iCs/>
          <w:noProof/>
          <w:szCs w:val="24"/>
        </w:rPr>
        <w:t>MIS Q. Manag. Inf. Syst.</w:t>
      </w:r>
      <w:r w:rsidRPr="007C4528">
        <w:rPr>
          <w:rFonts w:cs="Times"/>
          <w:noProof/>
          <w:szCs w:val="24"/>
        </w:rPr>
        <w:t xml:space="preserve"> </w:t>
      </w:r>
      <w:r w:rsidRPr="007C4528">
        <w:rPr>
          <w:rFonts w:cs="Times"/>
          <w:b/>
          <w:bCs/>
          <w:noProof/>
          <w:szCs w:val="24"/>
        </w:rPr>
        <w:t>19</w:t>
      </w:r>
      <w:r w:rsidRPr="007C4528">
        <w:rPr>
          <w:rFonts w:cs="Times"/>
          <w:noProof/>
          <w:szCs w:val="24"/>
        </w:rPr>
        <w:t xml:space="preserve"> 213–33</w:t>
      </w:r>
    </w:p>
    <w:p w:rsidR="007C4528" w:rsidRPr="007C4528" w:rsidP="007C4528" w14:paraId="4754479C" w14:textId="77777777">
      <w:pPr>
        <w:widowControl w:val="0"/>
        <w:autoSpaceDE w:val="0"/>
        <w:autoSpaceDN w:val="0"/>
        <w:adjustRightInd w:val="0"/>
        <w:ind w:left="640" w:hanging="640"/>
        <w:rPr>
          <w:rFonts w:cs="Times"/>
          <w:noProof/>
          <w:szCs w:val="24"/>
        </w:rPr>
      </w:pPr>
      <w:r w:rsidRPr="007C4528">
        <w:rPr>
          <w:rFonts w:cs="Times"/>
          <w:noProof/>
          <w:szCs w:val="24"/>
        </w:rPr>
        <w:t>[5]</w:t>
      </w:r>
      <w:r w:rsidRPr="007C4528">
        <w:rPr>
          <w:rFonts w:cs="Times"/>
          <w:noProof/>
          <w:szCs w:val="24"/>
        </w:rPr>
        <w:tab/>
        <w:t xml:space="preserve"> Cheng Y M 2019 How does task-technology fit influence cloud-based e-learning continuance and impact? </w:t>
      </w:r>
      <w:r w:rsidRPr="007C4528">
        <w:rPr>
          <w:rFonts w:cs="Times"/>
          <w:i/>
          <w:iCs/>
          <w:noProof/>
          <w:szCs w:val="24"/>
        </w:rPr>
        <w:t>Educ. Train.</w:t>
      </w:r>
      <w:r w:rsidRPr="007C4528">
        <w:rPr>
          <w:rFonts w:cs="Times"/>
          <w:noProof/>
          <w:szCs w:val="24"/>
        </w:rPr>
        <w:t xml:space="preserve"> </w:t>
      </w:r>
      <w:r w:rsidRPr="007C4528">
        <w:rPr>
          <w:rFonts w:cs="Times"/>
          <w:b/>
          <w:bCs/>
          <w:noProof/>
          <w:szCs w:val="24"/>
        </w:rPr>
        <w:t>61</w:t>
      </w:r>
      <w:r w:rsidRPr="007C4528">
        <w:rPr>
          <w:rFonts w:cs="Times"/>
          <w:noProof/>
          <w:szCs w:val="24"/>
        </w:rPr>
        <w:t xml:space="preserve"> 480–99</w:t>
      </w:r>
    </w:p>
    <w:p w:rsidR="007C4528" w:rsidRPr="007C4528" w:rsidP="007C4528" w14:paraId="074C097C" w14:textId="77777777">
      <w:pPr>
        <w:widowControl w:val="0"/>
        <w:autoSpaceDE w:val="0"/>
        <w:autoSpaceDN w:val="0"/>
        <w:adjustRightInd w:val="0"/>
        <w:ind w:left="640" w:hanging="640"/>
        <w:rPr>
          <w:rFonts w:cs="Times"/>
          <w:noProof/>
          <w:szCs w:val="24"/>
        </w:rPr>
      </w:pPr>
      <w:r w:rsidRPr="007C4528">
        <w:rPr>
          <w:rFonts w:cs="Times"/>
          <w:noProof/>
          <w:szCs w:val="24"/>
        </w:rPr>
        <w:t>[6]</w:t>
      </w:r>
      <w:r w:rsidRPr="007C4528">
        <w:rPr>
          <w:rFonts w:cs="Times"/>
          <w:noProof/>
          <w:szCs w:val="24"/>
        </w:rPr>
        <w:tab/>
        <w:t xml:space="preserve"> Ajzen I 1991 The theory of planned behavior </w:t>
      </w:r>
      <w:r w:rsidRPr="007C4528">
        <w:rPr>
          <w:rFonts w:cs="Times"/>
          <w:i/>
          <w:iCs/>
          <w:noProof/>
          <w:szCs w:val="24"/>
        </w:rPr>
        <w:t>Organ. Behav. Hum. Decis. Process.</w:t>
      </w:r>
      <w:r w:rsidRPr="007C4528">
        <w:rPr>
          <w:rFonts w:cs="Times"/>
          <w:noProof/>
          <w:szCs w:val="24"/>
        </w:rPr>
        <w:t xml:space="preserve"> </w:t>
      </w:r>
      <w:r w:rsidRPr="007C4528">
        <w:rPr>
          <w:rFonts w:cs="Times"/>
          <w:b/>
          <w:bCs/>
          <w:noProof/>
          <w:szCs w:val="24"/>
        </w:rPr>
        <w:t>50</w:t>
      </w:r>
      <w:r w:rsidRPr="007C4528">
        <w:rPr>
          <w:rFonts w:cs="Times"/>
          <w:noProof/>
          <w:szCs w:val="24"/>
        </w:rPr>
        <w:t xml:space="preserve"> 179–211</w:t>
      </w:r>
    </w:p>
    <w:p w:rsidR="007C4528" w:rsidRPr="007C4528" w:rsidP="007C4528" w14:paraId="0B149D69" w14:textId="77777777">
      <w:pPr>
        <w:widowControl w:val="0"/>
        <w:autoSpaceDE w:val="0"/>
        <w:autoSpaceDN w:val="0"/>
        <w:adjustRightInd w:val="0"/>
        <w:ind w:left="640" w:hanging="640"/>
        <w:rPr>
          <w:rFonts w:cs="Times"/>
          <w:noProof/>
          <w:szCs w:val="24"/>
        </w:rPr>
      </w:pPr>
      <w:r w:rsidRPr="007C4528">
        <w:rPr>
          <w:rFonts w:cs="Times"/>
          <w:noProof/>
          <w:szCs w:val="24"/>
        </w:rPr>
        <w:t>[7]</w:t>
      </w:r>
      <w:r w:rsidRPr="007C4528">
        <w:rPr>
          <w:rFonts w:cs="Times"/>
          <w:noProof/>
          <w:szCs w:val="24"/>
        </w:rPr>
        <w:tab/>
        <w:t xml:space="preserve"> Paray Z A and Kumar S 2020 Does entrepreneurship education influence entrepreneurial intention among students in HEI’s?: The role of age, gender and degree background </w:t>
      </w:r>
      <w:r w:rsidRPr="007C4528">
        <w:rPr>
          <w:rFonts w:cs="Times"/>
          <w:i/>
          <w:iCs/>
          <w:noProof/>
          <w:szCs w:val="24"/>
        </w:rPr>
        <w:t>J. Int. Educ. Bus.</w:t>
      </w:r>
      <w:r w:rsidRPr="007C4528">
        <w:rPr>
          <w:rFonts w:cs="Times"/>
          <w:noProof/>
          <w:szCs w:val="24"/>
        </w:rPr>
        <w:t xml:space="preserve"> </w:t>
      </w:r>
      <w:r w:rsidRPr="007C4528">
        <w:rPr>
          <w:rFonts w:cs="Times"/>
          <w:b/>
          <w:bCs/>
          <w:noProof/>
          <w:szCs w:val="24"/>
        </w:rPr>
        <w:t>13</w:t>
      </w:r>
      <w:r w:rsidRPr="007C4528">
        <w:rPr>
          <w:rFonts w:cs="Times"/>
          <w:noProof/>
          <w:szCs w:val="24"/>
        </w:rPr>
        <w:t xml:space="preserve"> 55–72</w:t>
      </w:r>
    </w:p>
    <w:p w:rsidR="007C4528" w:rsidRPr="007C4528" w:rsidP="007C4528" w14:paraId="30E783F0" w14:textId="77777777">
      <w:pPr>
        <w:widowControl w:val="0"/>
        <w:autoSpaceDE w:val="0"/>
        <w:autoSpaceDN w:val="0"/>
        <w:adjustRightInd w:val="0"/>
        <w:ind w:left="640" w:hanging="640"/>
        <w:rPr>
          <w:rFonts w:cs="Times"/>
          <w:noProof/>
          <w:szCs w:val="24"/>
        </w:rPr>
      </w:pPr>
      <w:r w:rsidRPr="007C4528">
        <w:rPr>
          <w:rFonts w:cs="Times"/>
          <w:noProof/>
          <w:szCs w:val="24"/>
        </w:rPr>
        <w:t>[8]</w:t>
      </w:r>
      <w:r w:rsidRPr="007C4528">
        <w:rPr>
          <w:rFonts w:cs="Times"/>
          <w:noProof/>
          <w:szCs w:val="24"/>
        </w:rPr>
        <w:tab/>
        <w:t xml:space="preserve"> Ahmed T, Chandran V G R, Klobas J E, Liñán F and Kokkalis P 2020 Entrepreneurship education programmes: How learning, inspiration and resources affect intentions for new venture creation in a developing economy </w:t>
      </w:r>
      <w:r w:rsidRPr="007C4528">
        <w:rPr>
          <w:rFonts w:cs="Times"/>
          <w:i/>
          <w:iCs/>
          <w:noProof/>
          <w:szCs w:val="24"/>
        </w:rPr>
        <w:t>Int. J. Manag. Educ.</w:t>
      </w:r>
      <w:r w:rsidRPr="007C4528">
        <w:rPr>
          <w:rFonts w:cs="Times"/>
          <w:noProof/>
          <w:szCs w:val="24"/>
        </w:rPr>
        <w:t xml:space="preserve"> </w:t>
      </w:r>
      <w:r w:rsidRPr="007C4528">
        <w:rPr>
          <w:rFonts w:cs="Times"/>
          <w:b/>
          <w:bCs/>
          <w:noProof/>
          <w:szCs w:val="24"/>
        </w:rPr>
        <w:t>18</w:t>
      </w:r>
      <w:r w:rsidRPr="007C4528">
        <w:rPr>
          <w:rFonts w:cs="Times"/>
          <w:noProof/>
          <w:szCs w:val="24"/>
        </w:rPr>
        <w:t xml:space="preserve"> 100327</w:t>
      </w:r>
    </w:p>
    <w:p w:rsidR="007C4528" w:rsidRPr="007C4528" w:rsidP="007C4528" w14:paraId="3CBD49E8" w14:textId="77777777">
      <w:pPr>
        <w:widowControl w:val="0"/>
        <w:autoSpaceDE w:val="0"/>
        <w:autoSpaceDN w:val="0"/>
        <w:adjustRightInd w:val="0"/>
        <w:ind w:left="640" w:hanging="640"/>
        <w:rPr>
          <w:rFonts w:cs="Times"/>
          <w:noProof/>
          <w:szCs w:val="24"/>
        </w:rPr>
      </w:pPr>
      <w:r w:rsidRPr="007C4528">
        <w:rPr>
          <w:rFonts w:cs="Times"/>
          <w:noProof/>
          <w:szCs w:val="24"/>
        </w:rPr>
        <w:t>[9]</w:t>
      </w:r>
      <w:r w:rsidRPr="007C4528">
        <w:rPr>
          <w:rFonts w:cs="Times"/>
          <w:noProof/>
          <w:szCs w:val="24"/>
        </w:rPr>
        <w:tab/>
        <w:t xml:space="preserve"> Jiang X, Yang Y, Pei Y L and Wang G 2016 Entrepreneurial Orientation, Strategic Alliances, and Firm Performance: Inside the Black Box </w:t>
      </w:r>
      <w:r w:rsidRPr="007C4528">
        <w:rPr>
          <w:rFonts w:cs="Times"/>
          <w:i/>
          <w:iCs/>
          <w:noProof/>
          <w:szCs w:val="24"/>
        </w:rPr>
        <w:t>Long Range Plann.</w:t>
      </w:r>
      <w:r w:rsidRPr="007C4528">
        <w:rPr>
          <w:rFonts w:cs="Times"/>
          <w:noProof/>
          <w:szCs w:val="24"/>
        </w:rPr>
        <w:t xml:space="preserve"> </w:t>
      </w:r>
      <w:r w:rsidRPr="007C4528">
        <w:rPr>
          <w:rFonts w:cs="Times"/>
          <w:b/>
          <w:bCs/>
          <w:noProof/>
          <w:szCs w:val="24"/>
        </w:rPr>
        <w:t>49</w:t>
      </w:r>
      <w:r w:rsidRPr="007C4528">
        <w:rPr>
          <w:rFonts w:cs="Times"/>
          <w:noProof/>
          <w:szCs w:val="24"/>
        </w:rPr>
        <w:t xml:space="preserve"> 103–16</w:t>
      </w:r>
    </w:p>
    <w:p w:rsidR="007C4528" w:rsidRPr="007C4528" w:rsidP="007C4528" w14:paraId="44C91A34" w14:textId="77777777">
      <w:pPr>
        <w:widowControl w:val="0"/>
        <w:autoSpaceDE w:val="0"/>
        <w:autoSpaceDN w:val="0"/>
        <w:adjustRightInd w:val="0"/>
        <w:ind w:left="640" w:hanging="640"/>
        <w:rPr>
          <w:rFonts w:cs="Times"/>
          <w:noProof/>
          <w:szCs w:val="24"/>
        </w:rPr>
      </w:pPr>
      <w:r w:rsidRPr="007C4528">
        <w:rPr>
          <w:rFonts w:cs="Times"/>
          <w:noProof/>
          <w:szCs w:val="24"/>
        </w:rPr>
        <w:t>[10]</w:t>
      </w:r>
      <w:r w:rsidRPr="007C4528">
        <w:rPr>
          <w:rFonts w:cs="Times"/>
          <w:noProof/>
          <w:szCs w:val="24"/>
        </w:rPr>
        <w:tab/>
        <w:t xml:space="preserve"> Ahmed T, Chandran V G R and Klobas J 2017 Specialized entrepreneurship education: does it really matter? Fresh evidence from Pakistan </w:t>
      </w:r>
      <w:r w:rsidRPr="007C4528">
        <w:rPr>
          <w:rFonts w:cs="Times"/>
          <w:i/>
          <w:iCs/>
          <w:noProof/>
          <w:szCs w:val="24"/>
        </w:rPr>
        <w:t>Int. J. Entrep. Behav. Res.</w:t>
      </w:r>
      <w:r w:rsidRPr="007C4528">
        <w:rPr>
          <w:rFonts w:cs="Times"/>
          <w:noProof/>
          <w:szCs w:val="24"/>
        </w:rPr>
        <w:t xml:space="preserve"> </w:t>
      </w:r>
      <w:r w:rsidRPr="007C4528">
        <w:rPr>
          <w:rFonts w:cs="Times"/>
          <w:b/>
          <w:bCs/>
          <w:noProof/>
          <w:szCs w:val="24"/>
        </w:rPr>
        <w:t>23</w:t>
      </w:r>
      <w:r w:rsidRPr="007C4528">
        <w:rPr>
          <w:rFonts w:cs="Times"/>
          <w:noProof/>
          <w:szCs w:val="24"/>
        </w:rPr>
        <w:t xml:space="preserve"> 4–19</w:t>
      </w:r>
    </w:p>
    <w:p w:rsidR="007C4528" w:rsidRPr="007C4528" w:rsidP="007C4528" w14:paraId="71FF1D52" w14:textId="77777777">
      <w:pPr>
        <w:widowControl w:val="0"/>
        <w:autoSpaceDE w:val="0"/>
        <w:autoSpaceDN w:val="0"/>
        <w:adjustRightInd w:val="0"/>
        <w:ind w:left="640" w:hanging="640"/>
        <w:rPr>
          <w:rFonts w:cs="Times"/>
          <w:noProof/>
          <w:szCs w:val="24"/>
        </w:rPr>
      </w:pPr>
      <w:r w:rsidRPr="007C4528">
        <w:rPr>
          <w:rFonts w:cs="Times"/>
          <w:noProof/>
          <w:szCs w:val="24"/>
        </w:rPr>
        <w:t>[11]</w:t>
      </w:r>
      <w:r w:rsidRPr="007C4528">
        <w:rPr>
          <w:rFonts w:cs="Times"/>
          <w:noProof/>
          <w:szCs w:val="24"/>
        </w:rPr>
        <w:tab/>
        <w:t xml:space="preserve"> Ndofirepi T M and Rambe P 2017 Entrepreneurship education and its impact on the entrepreneurship career intentions of vocational education students </w:t>
      </w:r>
      <w:r w:rsidRPr="007C4528">
        <w:rPr>
          <w:rFonts w:cs="Times"/>
          <w:i/>
          <w:iCs/>
          <w:noProof/>
          <w:szCs w:val="24"/>
        </w:rPr>
        <w:t>Probl. Perspect. Manag.</w:t>
      </w:r>
    </w:p>
    <w:p w:rsidR="007C4528" w:rsidRPr="007C4528" w:rsidP="007C4528" w14:paraId="6314CA39" w14:textId="77777777">
      <w:pPr>
        <w:widowControl w:val="0"/>
        <w:autoSpaceDE w:val="0"/>
        <w:autoSpaceDN w:val="0"/>
        <w:adjustRightInd w:val="0"/>
        <w:ind w:left="640" w:hanging="640"/>
        <w:rPr>
          <w:rFonts w:cs="Times"/>
          <w:noProof/>
          <w:szCs w:val="24"/>
        </w:rPr>
      </w:pPr>
      <w:r w:rsidRPr="007C4528">
        <w:rPr>
          <w:rFonts w:cs="Times"/>
          <w:noProof/>
          <w:szCs w:val="24"/>
        </w:rPr>
        <w:t>[12]</w:t>
      </w:r>
      <w:r w:rsidRPr="007C4528">
        <w:rPr>
          <w:rFonts w:cs="Times"/>
          <w:noProof/>
          <w:szCs w:val="24"/>
        </w:rPr>
        <w:tab/>
        <w:t xml:space="preserve"> Kim-soon N, Ahmad A R and Ibrahim N N 2016 Theory of Planned Behavior : Undergraduates ’ Entrepreneurial Motivation and Entrepreneurship Career Intention at a Public </w:t>
      </w:r>
      <w:r w:rsidRPr="007C4528">
        <w:rPr>
          <w:rFonts w:cs="Times"/>
          <w:b/>
          <w:bCs/>
          <w:noProof/>
          <w:szCs w:val="24"/>
        </w:rPr>
        <w:t>2016</w:t>
      </w:r>
    </w:p>
    <w:p w:rsidR="007C4528" w:rsidRPr="007C4528" w:rsidP="007C4528" w14:paraId="2F9EDB3A" w14:textId="77777777">
      <w:pPr>
        <w:widowControl w:val="0"/>
        <w:autoSpaceDE w:val="0"/>
        <w:autoSpaceDN w:val="0"/>
        <w:adjustRightInd w:val="0"/>
        <w:ind w:left="640" w:hanging="640"/>
        <w:rPr>
          <w:rFonts w:cs="Times"/>
          <w:noProof/>
          <w:szCs w:val="24"/>
        </w:rPr>
      </w:pPr>
      <w:r w:rsidRPr="007C4528">
        <w:rPr>
          <w:rFonts w:cs="Times"/>
          <w:noProof/>
          <w:szCs w:val="24"/>
        </w:rPr>
        <w:t>[13]</w:t>
      </w:r>
      <w:r w:rsidRPr="007C4528">
        <w:rPr>
          <w:rFonts w:cs="Times"/>
          <w:noProof/>
          <w:szCs w:val="24"/>
        </w:rPr>
        <w:tab/>
        <w:t xml:space="preserve"> Jena R K 2020 Measuring the impact of business management Student’s attitude towards entrepreneurship education on entrepreneurial intention: A case study </w:t>
      </w:r>
      <w:r w:rsidRPr="007C4528">
        <w:rPr>
          <w:rFonts w:cs="Times"/>
          <w:i/>
          <w:iCs/>
          <w:noProof/>
          <w:szCs w:val="24"/>
        </w:rPr>
        <w:t>Comput. Human Behav.</w:t>
      </w:r>
      <w:r w:rsidRPr="007C4528">
        <w:rPr>
          <w:rFonts w:cs="Times"/>
          <w:noProof/>
          <w:szCs w:val="24"/>
        </w:rPr>
        <w:t xml:space="preserve"> </w:t>
      </w:r>
      <w:r w:rsidRPr="007C4528">
        <w:rPr>
          <w:rFonts w:cs="Times"/>
          <w:b/>
          <w:bCs/>
          <w:noProof/>
          <w:szCs w:val="24"/>
        </w:rPr>
        <w:t>107</w:t>
      </w:r>
      <w:r w:rsidRPr="007C4528">
        <w:rPr>
          <w:rFonts w:cs="Times"/>
          <w:noProof/>
          <w:szCs w:val="24"/>
        </w:rPr>
        <w:t xml:space="preserve"> 106275</w:t>
      </w:r>
    </w:p>
    <w:p w:rsidR="007C4528" w:rsidRPr="007C4528" w:rsidP="007C4528" w14:paraId="7C4D16D5" w14:textId="77777777">
      <w:pPr>
        <w:widowControl w:val="0"/>
        <w:autoSpaceDE w:val="0"/>
        <w:autoSpaceDN w:val="0"/>
        <w:adjustRightInd w:val="0"/>
        <w:ind w:left="640" w:hanging="640"/>
        <w:rPr>
          <w:rFonts w:cs="Times"/>
          <w:noProof/>
          <w:szCs w:val="24"/>
        </w:rPr>
      </w:pPr>
      <w:r w:rsidRPr="007C4528">
        <w:rPr>
          <w:rFonts w:cs="Times"/>
          <w:noProof/>
          <w:szCs w:val="24"/>
        </w:rPr>
        <w:t>[14]</w:t>
      </w:r>
      <w:r w:rsidRPr="007C4528">
        <w:rPr>
          <w:rFonts w:cs="Times"/>
          <w:noProof/>
          <w:szCs w:val="24"/>
        </w:rPr>
        <w:tab/>
        <w:t xml:space="preserve"> Fayolle A and Gailly B 2015 The impact of entrepreneurship education on entrepreneurial attitudes and intention: Hysteresis and persistence </w:t>
      </w:r>
      <w:r w:rsidRPr="007C4528">
        <w:rPr>
          <w:rFonts w:cs="Times"/>
          <w:i/>
          <w:iCs/>
          <w:noProof/>
          <w:szCs w:val="24"/>
        </w:rPr>
        <w:t>J. Small Bus. Manag.</w:t>
      </w:r>
      <w:r w:rsidRPr="007C4528">
        <w:rPr>
          <w:rFonts w:cs="Times"/>
          <w:noProof/>
          <w:szCs w:val="24"/>
        </w:rPr>
        <w:t xml:space="preserve"> </w:t>
      </w:r>
      <w:r w:rsidRPr="007C4528">
        <w:rPr>
          <w:rFonts w:cs="Times"/>
          <w:b/>
          <w:bCs/>
          <w:noProof/>
          <w:szCs w:val="24"/>
        </w:rPr>
        <w:t>53</w:t>
      </w:r>
      <w:r w:rsidRPr="007C4528">
        <w:rPr>
          <w:rFonts w:cs="Times"/>
          <w:noProof/>
          <w:szCs w:val="24"/>
        </w:rPr>
        <w:t xml:space="preserve"> 75–93</w:t>
      </w:r>
    </w:p>
    <w:p w:rsidR="007C4528" w:rsidRPr="007C4528" w:rsidP="007C4528" w14:paraId="3471F69F" w14:textId="77777777">
      <w:pPr>
        <w:widowControl w:val="0"/>
        <w:autoSpaceDE w:val="0"/>
        <w:autoSpaceDN w:val="0"/>
        <w:adjustRightInd w:val="0"/>
        <w:ind w:left="640" w:hanging="640"/>
        <w:rPr>
          <w:rFonts w:cs="Times"/>
          <w:noProof/>
          <w:szCs w:val="24"/>
        </w:rPr>
      </w:pPr>
      <w:r w:rsidRPr="007C4528">
        <w:rPr>
          <w:rFonts w:cs="Times"/>
          <w:noProof/>
          <w:szCs w:val="24"/>
        </w:rPr>
        <w:t>[15]</w:t>
      </w:r>
      <w:r w:rsidRPr="007C4528">
        <w:rPr>
          <w:rFonts w:cs="Times"/>
          <w:noProof/>
          <w:szCs w:val="24"/>
        </w:rPr>
        <w:tab/>
        <w:t xml:space="preserve"> Gretzinger S, Fietze S, Brem A and Ogbonna T (Toby) U 2018 Small scale entrepreneurship – understanding behaviors of aspiring entrepreneurs in a rural area </w:t>
      </w:r>
      <w:r w:rsidRPr="007C4528">
        <w:rPr>
          <w:rFonts w:cs="Times"/>
          <w:i/>
          <w:iCs/>
          <w:noProof/>
          <w:szCs w:val="24"/>
        </w:rPr>
        <w:t>Compet. Rev.</w:t>
      </w:r>
      <w:r w:rsidRPr="007C4528">
        <w:rPr>
          <w:rFonts w:cs="Times"/>
          <w:noProof/>
          <w:szCs w:val="24"/>
        </w:rPr>
        <w:t xml:space="preserve"> </w:t>
      </w:r>
      <w:r w:rsidRPr="007C4528">
        <w:rPr>
          <w:rFonts w:cs="Times"/>
          <w:b/>
          <w:bCs/>
          <w:noProof/>
          <w:szCs w:val="24"/>
        </w:rPr>
        <w:t>28</w:t>
      </w:r>
      <w:r w:rsidRPr="007C4528">
        <w:rPr>
          <w:rFonts w:cs="Times"/>
          <w:noProof/>
          <w:szCs w:val="24"/>
        </w:rPr>
        <w:t xml:space="preserve"> 22–42</w:t>
      </w:r>
    </w:p>
    <w:p w:rsidR="007C4528" w:rsidRPr="007C4528" w:rsidP="007C4528" w14:paraId="130EF460" w14:textId="77777777">
      <w:pPr>
        <w:widowControl w:val="0"/>
        <w:autoSpaceDE w:val="0"/>
        <w:autoSpaceDN w:val="0"/>
        <w:adjustRightInd w:val="0"/>
        <w:ind w:left="640" w:hanging="640"/>
        <w:rPr>
          <w:rFonts w:cs="Times"/>
          <w:noProof/>
          <w:szCs w:val="24"/>
        </w:rPr>
      </w:pPr>
      <w:r w:rsidRPr="007C4528">
        <w:rPr>
          <w:rFonts w:cs="Times"/>
          <w:noProof/>
          <w:szCs w:val="24"/>
        </w:rPr>
        <w:t>[16]</w:t>
      </w:r>
      <w:r w:rsidRPr="007C4528">
        <w:rPr>
          <w:rFonts w:cs="Times"/>
          <w:noProof/>
          <w:szCs w:val="24"/>
        </w:rPr>
        <w:tab/>
        <w:t xml:space="preserve"> Varamäki E and Joensuu S 2015 The development of entrepreneurial potential among higher education students </w:t>
      </w:r>
      <w:r w:rsidRPr="007C4528">
        <w:rPr>
          <w:rFonts w:cs="Times"/>
          <w:i/>
          <w:iCs/>
          <w:noProof/>
          <w:szCs w:val="24"/>
        </w:rPr>
        <w:t>J. Small Bus. Enterp. Dev.</w:t>
      </w:r>
      <w:r w:rsidRPr="007C4528">
        <w:rPr>
          <w:rFonts w:cs="Times"/>
          <w:noProof/>
          <w:szCs w:val="24"/>
        </w:rPr>
        <w:t xml:space="preserve"> </w:t>
      </w:r>
      <w:r w:rsidRPr="007C4528">
        <w:rPr>
          <w:rFonts w:cs="Times"/>
          <w:b/>
          <w:bCs/>
          <w:noProof/>
          <w:szCs w:val="24"/>
        </w:rPr>
        <w:t>22</w:t>
      </w:r>
      <w:r w:rsidRPr="007C4528">
        <w:rPr>
          <w:rFonts w:cs="Times"/>
          <w:noProof/>
          <w:szCs w:val="24"/>
        </w:rPr>
        <w:t xml:space="preserve"> 563–89</w:t>
      </w:r>
    </w:p>
    <w:p w:rsidR="007C4528" w:rsidRPr="007C4528" w:rsidP="007C4528" w14:paraId="3FC1CCB5" w14:textId="77777777">
      <w:pPr>
        <w:widowControl w:val="0"/>
        <w:autoSpaceDE w:val="0"/>
        <w:autoSpaceDN w:val="0"/>
        <w:adjustRightInd w:val="0"/>
        <w:ind w:left="640" w:hanging="640"/>
        <w:rPr>
          <w:rFonts w:cs="Times"/>
          <w:noProof/>
          <w:szCs w:val="24"/>
        </w:rPr>
      </w:pPr>
      <w:r w:rsidRPr="007C4528">
        <w:rPr>
          <w:rFonts w:cs="Times"/>
          <w:noProof/>
          <w:szCs w:val="24"/>
        </w:rPr>
        <w:t>[17]</w:t>
      </w:r>
      <w:r w:rsidRPr="007C4528">
        <w:rPr>
          <w:rFonts w:cs="Times"/>
          <w:noProof/>
          <w:szCs w:val="24"/>
        </w:rPr>
        <w:tab/>
        <w:t xml:space="preserve"> Tiwari P, Bhat A K and Tikoria J 2017 Predictors of social entrepreneurial intention : an empirical study </w:t>
      </w:r>
      <w:r w:rsidRPr="007C4528">
        <w:rPr>
          <w:rFonts w:cs="Times"/>
          <w:b/>
          <w:bCs/>
          <w:noProof/>
          <w:szCs w:val="24"/>
        </w:rPr>
        <w:t>6</w:t>
      </w:r>
      <w:r w:rsidRPr="007C4528">
        <w:rPr>
          <w:rFonts w:cs="Times"/>
          <w:noProof/>
          <w:szCs w:val="24"/>
        </w:rPr>
        <w:t xml:space="preserve"> 53–79</w:t>
      </w:r>
    </w:p>
    <w:p w:rsidR="007C4528" w:rsidRPr="007C4528" w:rsidP="007C4528" w14:paraId="08D720B0" w14:textId="77777777">
      <w:pPr>
        <w:widowControl w:val="0"/>
        <w:autoSpaceDE w:val="0"/>
        <w:autoSpaceDN w:val="0"/>
        <w:adjustRightInd w:val="0"/>
        <w:ind w:left="640" w:hanging="640"/>
        <w:rPr>
          <w:rFonts w:cs="Times"/>
          <w:noProof/>
          <w:szCs w:val="24"/>
        </w:rPr>
      </w:pPr>
      <w:r w:rsidRPr="007C4528">
        <w:rPr>
          <w:rFonts w:cs="Times"/>
          <w:noProof/>
          <w:szCs w:val="24"/>
        </w:rPr>
        <w:t>[18]</w:t>
      </w:r>
      <w:r w:rsidRPr="007C4528">
        <w:rPr>
          <w:rFonts w:cs="Times"/>
          <w:noProof/>
          <w:szCs w:val="24"/>
        </w:rPr>
        <w:tab/>
        <w:t xml:space="preserve"> Bueckmann-Diegoli R, García de los Salmones Sánchez M del M and San Martín Gutiérrez H 2020 The development of entrepreneurial alertness in undergraduate students </w:t>
      </w:r>
      <w:r w:rsidRPr="007C4528">
        <w:rPr>
          <w:rFonts w:cs="Times"/>
          <w:i/>
          <w:iCs/>
          <w:noProof/>
          <w:szCs w:val="24"/>
        </w:rPr>
        <w:t>Educ. Train.</w:t>
      </w:r>
    </w:p>
    <w:p w:rsidR="007C4528" w:rsidRPr="007C4528" w:rsidP="007C4528" w14:paraId="400DA6C0" w14:textId="77777777">
      <w:pPr>
        <w:widowControl w:val="0"/>
        <w:autoSpaceDE w:val="0"/>
        <w:autoSpaceDN w:val="0"/>
        <w:adjustRightInd w:val="0"/>
        <w:ind w:left="640" w:hanging="640"/>
        <w:rPr>
          <w:rFonts w:cs="Times"/>
          <w:noProof/>
          <w:szCs w:val="24"/>
        </w:rPr>
      </w:pPr>
      <w:r w:rsidRPr="007C4528">
        <w:rPr>
          <w:rFonts w:cs="Times"/>
          <w:noProof/>
          <w:szCs w:val="24"/>
        </w:rPr>
        <w:t>[19]</w:t>
      </w:r>
      <w:r w:rsidRPr="007C4528">
        <w:rPr>
          <w:rFonts w:cs="Times"/>
          <w:noProof/>
          <w:szCs w:val="24"/>
        </w:rPr>
        <w:tab/>
        <w:t xml:space="preserve"> Laguía A, Moriano J A and Gorgievski M J 2019 A psychosocial study of self-perceived creativity and entrepreneurial intentions in a sample of university students </w:t>
      </w:r>
      <w:r w:rsidRPr="007C4528">
        <w:rPr>
          <w:rFonts w:cs="Times"/>
          <w:i/>
          <w:iCs/>
          <w:noProof/>
          <w:szCs w:val="24"/>
        </w:rPr>
        <w:t>Think. Ski. Creat.</w:t>
      </w:r>
    </w:p>
    <w:p w:rsidR="007C4528" w:rsidRPr="007C4528" w:rsidP="007C4528" w14:paraId="66C2F109" w14:textId="77777777">
      <w:pPr>
        <w:widowControl w:val="0"/>
        <w:autoSpaceDE w:val="0"/>
        <w:autoSpaceDN w:val="0"/>
        <w:adjustRightInd w:val="0"/>
        <w:ind w:left="640" w:hanging="640"/>
        <w:rPr>
          <w:rFonts w:cs="Times"/>
          <w:noProof/>
          <w:szCs w:val="24"/>
        </w:rPr>
      </w:pPr>
      <w:r w:rsidRPr="007C4528">
        <w:rPr>
          <w:rFonts w:cs="Times"/>
          <w:noProof/>
          <w:szCs w:val="24"/>
        </w:rPr>
        <w:t>[20]</w:t>
      </w:r>
      <w:r w:rsidRPr="007C4528">
        <w:rPr>
          <w:rFonts w:cs="Times"/>
          <w:noProof/>
          <w:szCs w:val="24"/>
        </w:rPr>
        <w:tab/>
        <w:t xml:space="preserve"> Safra W, Wan D, Ghani A, Zulkarnaen N and Tse T 2018 ScienceDirect ScienceDirect Analysis on Factors Influencing Textile Cyberpreneur ’ s Intention to Adopt Cloud-Based m-Retail Application </w:t>
      </w:r>
      <w:r w:rsidRPr="007C4528">
        <w:rPr>
          <w:rFonts w:cs="Times"/>
          <w:i/>
          <w:iCs/>
          <w:noProof/>
          <w:szCs w:val="24"/>
        </w:rPr>
        <w:t>Procedia Comput. Sci.</w:t>
      </w:r>
      <w:r w:rsidRPr="007C4528">
        <w:rPr>
          <w:rFonts w:cs="Times"/>
          <w:noProof/>
          <w:szCs w:val="24"/>
        </w:rPr>
        <w:t xml:space="preserve"> </w:t>
      </w:r>
      <w:r w:rsidRPr="007C4528">
        <w:rPr>
          <w:rFonts w:cs="Times"/>
          <w:b/>
          <w:bCs/>
          <w:noProof/>
          <w:szCs w:val="24"/>
        </w:rPr>
        <w:t>124</w:t>
      </w:r>
      <w:r w:rsidRPr="007C4528">
        <w:rPr>
          <w:rFonts w:cs="Times"/>
          <w:noProof/>
          <w:szCs w:val="24"/>
        </w:rPr>
        <w:t xml:space="preserve"> 345–53</w:t>
      </w:r>
    </w:p>
    <w:p w:rsidR="007C4528" w:rsidRPr="007C4528" w:rsidP="007C4528" w14:paraId="5FA5C594" w14:textId="77777777">
      <w:pPr>
        <w:widowControl w:val="0"/>
        <w:autoSpaceDE w:val="0"/>
        <w:autoSpaceDN w:val="0"/>
        <w:adjustRightInd w:val="0"/>
        <w:ind w:left="640" w:hanging="640"/>
        <w:rPr>
          <w:rFonts w:cs="Times"/>
          <w:noProof/>
        </w:rPr>
      </w:pPr>
      <w:r w:rsidRPr="007C4528">
        <w:rPr>
          <w:rFonts w:cs="Times"/>
          <w:noProof/>
          <w:szCs w:val="24"/>
        </w:rPr>
        <w:t>[21]</w:t>
      </w:r>
      <w:r w:rsidRPr="007C4528">
        <w:rPr>
          <w:rFonts w:cs="Times"/>
          <w:noProof/>
          <w:szCs w:val="24"/>
        </w:rPr>
        <w:tab/>
        <w:t xml:space="preserve"> Al-jubari I 2018 Entrepreneurial intention among University students in Malaysia : integrating self-determination theory and the theory of planned behavior </w:t>
      </w:r>
      <w:r w:rsidRPr="007C4528">
        <w:rPr>
          <w:rFonts w:cs="Times"/>
          <w:i/>
          <w:iCs/>
          <w:noProof/>
          <w:szCs w:val="24"/>
        </w:rPr>
        <w:t>Int. Entrep. Manag. J.</w:t>
      </w:r>
    </w:p>
    <w:p w:rsidR="009A0487" w:rsidP="005F5043" w14:paraId="59613BF2" w14:textId="77777777">
      <w:pPr>
        <w:widowControl w:val="0"/>
        <w:autoSpaceDE w:val="0"/>
        <w:autoSpaceDN w:val="0"/>
        <w:adjustRightInd w:val="0"/>
        <w:ind w:left="480" w:hanging="480"/>
        <w:jc w:val="both"/>
      </w:pPr>
      <w:r>
        <w:fldChar w:fldCharType="end"/>
      </w:r>
      <w:bookmarkStart w:id="4" w:name="_GoBack"/>
      <w:bookmarkEnd w:id="4"/>
    </w:p>
    <w:sectPr w:rsidSect="00053EA1">
      <w:headerReference w:type="default" r:id="rId11"/>
      <w:footnotePr>
        <w:pos w:val="beneathText"/>
      </w:footnotePr>
      <w:endnotePr>
        <w:numFmt w:val="chicago"/>
        <w:numStart w:val="4"/>
      </w:endnotePr>
      <w:pgSz w:w="11907" w:h="16840" w:code="9"/>
      <w:pgMar w:top="2268" w:right="1559"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mment w:id="0" w:author="power rangers" w:date="2020-11-20T06:08:00Z" w:initials="MNH">
    <w:p w:rsidR="00CE167A" w14:paraId="778C28C2">
      <w:pPr>
        <w:pStyle w:val="CommentText"/>
      </w:pPr>
      <w:r>
        <w:rPr>
          <w:rStyle w:val="CommentReference"/>
        </w:rPr>
        <w:annotationRef/>
      </w:r>
      <w:r>
        <w:t>Dalam paper ini mohon kuatkan konten teknologinya, agar tdk terkesan paper ekonomi</w:t>
      </w:r>
    </w:p>
  </w:comment>
  <w:comment w:id="1" w:author="power rangers" w:date="2020-11-20T06:09:00Z" w:initials="MNH">
    <w:p w:rsidR="00CE167A" w:rsidP="00902859" w14:paraId="57048134" w14:textId="77777777">
      <w:pPr>
        <w:pStyle w:val="ListParagraph"/>
        <w:numPr>
          <w:ilvl w:val="0"/>
          <w:numId w:val="23"/>
        </w:numPr>
        <w:spacing w:before="0" w:after="160" w:line="256" w:lineRule="auto"/>
        <w:jc w:val="left"/>
        <w:rPr>
          <w:rFonts w:asciiTheme="minorHAnsi" w:hAnsiTheme="minorHAnsi"/>
          <w:sz w:val="22"/>
        </w:rPr>
      </w:pPr>
      <w:r>
        <w:rPr>
          <w:rStyle w:val="CommentReference"/>
        </w:rPr>
        <w:annotationRef/>
      </w:r>
      <w:r>
        <w:t>Harus ada state of the art/originalitas (perbedaan dengan penilitian yang lain), minimum ada 5 rujukan/referensi</w:t>
      </w:r>
    </w:p>
    <w:p w:rsidR="00CE167A" w:rsidP="00902859" w14:paraId="62DD82ED" w14:textId="77777777">
      <w:pPr>
        <w:pStyle w:val="ListParagraph"/>
        <w:numPr>
          <w:ilvl w:val="0"/>
          <w:numId w:val="23"/>
        </w:numPr>
        <w:spacing w:before="0" w:after="160" w:line="256" w:lineRule="auto"/>
        <w:jc w:val="left"/>
      </w:pPr>
      <w:r>
        <w:t>Paragraph terakhir harus mencantumkan tujuan penelitian</w:t>
      </w:r>
    </w:p>
    <w:p w:rsidR="00CE167A" w:rsidP="00902859" w14:paraId="66F4B289" w14:textId="77777777">
      <w:pPr>
        <w:pStyle w:val="ListParagraph"/>
        <w:numPr>
          <w:ilvl w:val="0"/>
          <w:numId w:val="23"/>
        </w:numPr>
        <w:spacing w:before="0" w:after="160" w:line="256" w:lineRule="auto"/>
        <w:jc w:val="left"/>
      </w:pPr>
      <w:r>
        <w:t>Tidak terlalu panjang, maksimum 20% dari keseluruhan (maksimum satu halaman) termasuk literature review apabila ada. Buat aja 3 paragraf terdiri dari masalah, gap riset / novelty didukung penelitian terdahulu, dan tujuan penelitian.</w:t>
      </w:r>
    </w:p>
    <w:p w:rsidR="00CE167A" w:rsidP="00902859" w14:paraId="547215F3" w14:textId="77777777">
      <w:pPr>
        <w:pStyle w:val="ListParagraph"/>
        <w:numPr>
          <w:ilvl w:val="0"/>
          <w:numId w:val="23"/>
        </w:numPr>
        <w:spacing w:before="0" w:after="160" w:line="256" w:lineRule="auto"/>
        <w:jc w:val="left"/>
      </w:pPr>
      <w:r>
        <w:t>Literatur review menjelasan gap riset bukan definisi-definisi yang sudah baku</w:t>
      </w:r>
    </w:p>
    <w:p w:rsidR="00CE167A" w14:paraId="37C0DF7F">
      <w:pPr>
        <w:pStyle w:val="CommentText"/>
      </w:pPr>
    </w:p>
  </w:comment>
  <w:comment w:id="2" w:author="power rangers" w:date="2020-11-20T06:11:00Z" w:initials="MNH">
    <w:p w:rsidR="00CE167A" w:rsidP="00902859" w14:paraId="7D4AEB44" w14:textId="77777777">
      <w:pPr>
        <w:pStyle w:val="ListParagraph"/>
        <w:numPr>
          <w:ilvl w:val="0"/>
          <w:numId w:val="24"/>
        </w:numPr>
        <w:spacing w:before="0" w:after="160" w:line="256" w:lineRule="auto"/>
        <w:jc w:val="left"/>
        <w:rPr>
          <w:rFonts w:asciiTheme="minorHAnsi" w:hAnsiTheme="minorHAnsi"/>
          <w:sz w:val="22"/>
        </w:rPr>
      </w:pPr>
      <w:r>
        <w:rPr>
          <w:rStyle w:val="CommentReference"/>
        </w:rPr>
        <w:annotationRef/>
      </w:r>
      <w:r>
        <w:t>Gambar dan table harus dipanggil dalam paragraph dan dijelaskan apa yang dimaksud dalam gambar dan table tersebut</w:t>
      </w:r>
    </w:p>
    <w:p w:rsidR="00CE167A" w:rsidP="00902859" w14:paraId="3E3091A1" w14:textId="77777777">
      <w:pPr>
        <w:pStyle w:val="ListParagraph"/>
        <w:numPr>
          <w:ilvl w:val="0"/>
          <w:numId w:val="24"/>
        </w:numPr>
        <w:spacing w:before="0" w:after="160" w:line="256" w:lineRule="auto"/>
        <w:jc w:val="left"/>
      </w:pPr>
      <w:r>
        <w:t>Diskusi harus didukung oleh referensi</w:t>
      </w:r>
    </w:p>
    <w:p w:rsidR="00CE167A" w:rsidP="00902859" w14:paraId="684FA620" w14:textId="77777777">
      <w:pPr>
        <w:pStyle w:val="ListParagraph"/>
        <w:numPr>
          <w:ilvl w:val="0"/>
          <w:numId w:val="24"/>
        </w:numPr>
        <w:spacing w:before="0" w:after="160" w:line="256" w:lineRule="auto"/>
        <w:jc w:val="left"/>
      </w:pPr>
      <w:r>
        <w:t>Lebih tonjolkan aspek teknologi dalam paper ini</w:t>
      </w:r>
    </w:p>
    <w:p w:rsidR="00CE167A" w14:paraId="52A51542">
      <w:pPr>
        <w:pStyle w:val="CommentText"/>
      </w:pPr>
    </w:p>
  </w:comment>
  <w:comment w:id="3" w:author="power rangers" w:date="2020-11-20T06:09:00Z" w:initials="MNH">
    <w:p w:rsidR="00CE167A" w:rsidP="00902859" w14:paraId="222D5394" w14:textId="77777777">
      <w:pPr>
        <w:pStyle w:val="ListParagraph"/>
        <w:numPr>
          <w:ilvl w:val="0"/>
          <w:numId w:val="22"/>
        </w:numPr>
        <w:spacing w:before="0" w:after="160" w:line="256" w:lineRule="auto"/>
        <w:jc w:val="left"/>
        <w:rPr>
          <w:rFonts w:asciiTheme="minorHAnsi" w:hAnsiTheme="minorHAnsi"/>
          <w:sz w:val="22"/>
        </w:rPr>
      </w:pPr>
      <w:r>
        <w:rPr>
          <w:rStyle w:val="CommentReference"/>
        </w:rPr>
        <w:annotationRef/>
      </w:r>
      <w:r>
        <w:t>Kesimpulan cukup satu paragraph</w:t>
      </w:r>
    </w:p>
    <w:p w:rsidR="00CE167A" w:rsidP="00902859" w14:paraId="3FEC1CFF" w14:textId="77777777">
      <w:pPr>
        <w:pStyle w:val="ListParagraph"/>
        <w:numPr>
          <w:ilvl w:val="0"/>
          <w:numId w:val="22"/>
        </w:numPr>
        <w:spacing w:before="0" w:after="160" w:line="256" w:lineRule="auto"/>
        <w:jc w:val="left"/>
      </w:pPr>
      <w:r>
        <w:t>Berisi sintesis dari isi penelitian</w:t>
      </w:r>
    </w:p>
    <w:p w:rsidR="00CE167A" w14:paraId="6021405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778C28C2" w15:done="0"/>
  <w15:commentEx w15:paraId="37C0DF7F" w15:done="0"/>
  <w15:commentEx w15:paraId="52A51542" w15:done="0"/>
  <w15:commentEx w15:paraId="6021405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167A" w14:paraId="3D334899" w14:textId="77777777"/>
  <w:p w:rsidR="00CE167A" w14:paraId="7374F7E3" w14:textId="77777777"/>
  <w:p w:rsidR="00CE167A" w14:paraId="6956A54A" w14:textId="77777777"/>
  <w:p w:rsidR="00CE167A" w14:paraId="3C100264" w14:textId="77777777"/>
  <w:p w:rsidR="00CE167A" w14:paraId="4D388F7E" w14:textId="77777777"/>
  <w:p w:rsidR="00CE167A" w14:paraId="0DE5B476"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A00F1"/>
    <w:multiLevelType w:val="hybridMultilevel"/>
    <w:tmpl w:val="CACA277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142"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5FC344B"/>
    <w:multiLevelType w:val="hybridMultilevel"/>
    <w:tmpl w:val="F3A809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B85171"/>
    <w:multiLevelType w:val="hybridMultilevel"/>
    <w:tmpl w:val="F8E87F92"/>
    <w:lvl w:ilvl="0">
      <w:start w:val="1"/>
      <w:numFmt w:val="bullet"/>
      <w:pStyle w:val="Bulleted"/>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6EB65F0"/>
    <w:multiLevelType w:val="multilevel"/>
    <w:tmpl w:val="F02C50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2844DBF"/>
    <w:multiLevelType w:val="hybridMultilevel"/>
    <w:tmpl w:val="563A68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CCC56F7"/>
    <w:multiLevelType w:val="hybridMultilevel"/>
    <w:tmpl w:val="2B1ADA3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4695658"/>
    <w:multiLevelType w:val="multilevel"/>
    <w:tmpl w:val="91AE5BE2"/>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8">
    <w:nsid w:val="362E3388"/>
    <w:multiLevelType w:val="hybridMultilevel"/>
    <w:tmpl w:val="33DE287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9386868"/>
    <w:multiLevelType w:val="hybridMultilevel"/>
    <w:tmpl w:val="844494F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447C09B9"/>
    <w:multiLevelType w:val="hybridMultilevel"/>
    <w:tmpl w:val="6F9C4862"/>
    <w:lvl w:ilvl="0">
      <w:start w:val="1"/>
      <w:numFmt w:val="decimal"/>
      <w:lvlText w:val="%1)"/>
      <w:lvlJc w:val="left"/>
      <w:pPr>
        <w:ind w:left="1778" w:hanging="360"/>
      </w:pPr>
      <w:rPr>
        <w:rFonts w:hint="default"/>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11">
    <w:nsid w:val="456D1FEE"/>
    <w:multiLevelType w:val="multilevel"/>
    <w:tmpl w:val="607ABC64"/>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4931241C"/>
    <w:multiLevelType w:val="hybridMultilevel"/>
    <w:tmpl w:val="DE085910"/>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13">
    <w:nsid w:val="4AA8596C"/>
    <w:multiLevelType w:val="hybridMultilevel"/>
    <w:tmpl w:val="D416DDA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4DF27ADE"/>
    <w:multiLevelType w:val="hybridMultilevel"/>
    <w:tmpl w:val="8B6C1C9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52887C48"/>
    <w:multiLevelType w:val="multilevel"/>
    <w:tmpl w:val="5920A6B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35077CF"/>
    <w:multiLevelType w:val="multilevel"/>
    <w:tmpl w:val="20B8B5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CDA60DF"/>
    <w:multiLevelType w:val="hybridMultilevel"/>
    <w:tmpl w:val="1A3A6C6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5D9556E6"/>
    <w:multiLevelType w:val="hybridMultilevel"/>
    <w:tmpl w:val="8C54D8DC"/>
    <w:lvl w:ilvl="0">
      <w:start w:val="1"/>
      <w:numFmt w:val="decimal"/>
      <w:pStyle w:val="Reference"/>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EC91C5B"/>
    <w:multiLevelType w:val="hybridMultilevel"/>
    <w:tmpl w:val="1338A0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4AA1755"/>
    <w:multiLevelType w:val="hybridMultilevel"/>
    <w:tmpl w:val="8758DA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9B64405"/>
    <w:multiLevelType w:val="hybridMultilevel"/>
    <w:tmpl w:val="8E804A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CB07B64"/>
    <w:multiLevelType w:val="multilevel"/>
    <w:tmpl w:val="EDF6AAE0"/>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3">
    <w:nsid w:val="79365CEC"/>
    <w:multiLevelType w:val="hybridMultilevel"/>
    <w:tmpl w:val="5E6831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B037D54"/>
    <w:multiLevelType w:val="hybridMultilevel"/>
    <w:tmpl w:val="83E694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25"/>
  </w:num>
  <w:num w:numId="2">
    <w:abstractNumId w:val="3"/>
  </w:num>
  <w:num w:numId="3">
    <w:abstractNumId w:val="1"/>
  </w:num>
  <w:num w:numId="4">
    <w:abstractNumId w:val="18"/>
  </w:num>
  <w:num w:numId="5">
    <w:abstractNumId w:val="10"/>
  </w:num>
  <w:num w:numId="6">
    <w:abstractNumId w:val="4"/>
  </w:num>
  <w:num w:numId="7">
    <w:abstractNumId w:val="14"/>
  </w:num>
  <w:num w:numId="8">
    <w:abstractNumId w:val="21"/>
  </w:num>
  <w:num w:numId="9">
    <w:abstractNumId w:val="12"/>
  </w:num>
  <w:num w:numId="10">
    <w:abstractNumId w:val="20"/>
  </w:num>
  <w:num w:numId="11">
    <w:abstractNumId w:val="17"/>
  </w:num>
  <w:num w:numId="12">
    <w:abstractNumId w:val="11"/>
  </w:num>
  <w:num w:numId="13">
    <w:abstractNumId w:val="9"/>
  </w:num>
  <w:num w:numId="14">
    <w:abstractNumId w:val="0"/>
  </w:num>
  <w:num w:numId="15">
    <w:abstractNumId w:val="6"/>
  </w:num>
  <w:num w:numId="16">
    <w:abstractNumId w:val="13"/>
  </w:num>
  <w:num w:numId="17">
    <w:abstractNumId w:val="8"/>
  </w:num>
  <w:num w:numId="18">
    <w:abstractNumId w:val="22"/>
  </w:num>
  <w:num w:numId="19">
    <w:abstractNumId w:val="15"/>
  </w:num>
  <w:num w:numId="20">
    <w:abstractNumId w:val="16"/>
  </w:num>
  <w:num w:numId="21">
    <w:abstractNumId w:val="7"/>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9"/>
  </w:num>
  <w:num w:numId="27">
    <w:abstractNumId w:val="2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001" w:allStyles="1" w:alternateStyleNames="0" w:clearFormatting="1" w:customStyles="0" w:directFormattingOnNumbering="0" w:directFormattingOnParagraphs="0" w:directFormattingOnRuns="0" w:directFormattingOnTables="0" w:headingStyles="0" w:latentStyles="0" w:numberingStyles="0" w:stylesInUse="0" w:tableStyles="0" w:top3HeadingStyles="1" w:visibleStyles="0"/>
  <w:defaultTabStop w:val="851"/>
  <w:displayHorizontalDrawingGridEvery w:val="0"/>
  <w:displayVerticalDrawingGridEvery w:val="0"/>
  <w:doNotUseMarginsForDrawingGridOrigin/>
  <w:noPunctuationKerning/>
  <w:characterSpacingControl w:val="doNotCompress"/>
  <w:footnotePr>
    <w:pos w:val="beneathText"/>
  </w:footnotePr>
  <w:endnotePr>
    <w:numFmt w:val="chicago"/>
    <w:numStart w:val="4"/>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2FE7"/>
    <w:rsid w:val="00006EA6"/>
    <w:rsid w:val="00007DC1"/>
    <w:rsid w:val="00010196"/>
    <w:rsid w:val="0002597C"/>
    <w:rsid w:val="000263C0"/>
    <w:rsid w:val="00030DE7"/>
    <w:rsid w:val="00042048"/>
    <w:rsid w:val="0004328E"/>
    <w:rsid w:val="00053EA1"/>
    <w:rsid w:val="00057EA2"/>
    <w:rsid w:val="0006046A"/>
    <w:rsid w:val="00072050"/>
    <w:rsid w:val="000723F5"/>
    <w:rsid w:val="000A3378"/>
    <w:rsid w:val="000A5854"/>
    <w:rsid w:val="000A710C"/>
    <w:rsid w:val="000B66F6"/>
    <w:rsid w:val="000D1348"/>
    <w:rsid w:val="000E58D8"/>
    <w:rsid w:val="000E76D7"/>
    <w:rsid w:val="000F3862"/>
    <w:rsid w:val="000F3BFD"/>
    <w:rsid w:val="00100FFD"/>
    <w:rsid w:val="00116083"/>
    <w:rsid w:val="0011691D"/>
    <w:rsid w:val="00122490"/>
    <w:rsid w:val="00134880"/>
    <w:rsid w:val="001356BE"/>
    <w:rsid w:val="0015324D"/>
    <w:rsid w:val="001609AF"/>
    <w:rsid w:val="00193A99"/>
    <w:rsid w:val="001A0B71"/>
    <w:rsid w:val="001A4562"/>
    <w:rsid w:val="001C6DCB"/>
    <w:rsid w:val="001C7DB8"/>
    <w:rsid w:val="001D1F3D"/>
    <w:rsid w:val="001D7320"/>
    <w:rsid w:val="001F69F1"/>
    <w:rsid w:val="00214457"/>
    <w:rsid w:val="00214D08"/>
    <w:rsid w:val="00216DBE"/>
    <w:rsid w:val="00217210"/>
    <w:rsid w:val="00217A99"/>
    <w:rsid w:val="00245D9D"/>
    <w:rsid w:val="0029020B"/>
    <w:rsid w:val="0029469B"/>
    <w:rsid w:val="002B6D34"/>
    <w:rsid w:val="002D04B6"/>
    <w:rsid w:val="002D573E"/>
    <w:rsid w:val="002D6BB3"/>
    <w:rsid w:val="002E31A0"/>
    <w:rsid w:val="002F2B2D"/>
    <w:rsid w:val="003000F2"/>
    <w:rsid w:val="00307BF9"/>
    <w:rsid w:val="003269F5"/>
    <w:rsid w:val="0034304F"/>
    <w:rsid w:val="00347806"/>
    <w:rsid w:val="0035090B"/>
    <w:rsid w:val="003577AA"/>
    <w:rsid w:val="00363FCF"/>
    <w:rsid w:val="0036480E"/>
    <w:rsid w:val="00370B32"/>
    <w:rsid w:val="00385A29"/>
    <w:rsid w:val="003906F4"/>
    <w:rsid w:val="003922EB"/>
    <w:rsid w:val="00392C85"/>
    <w:rsid w:val="00395618"/>
    <w:rsid w:val="00396289"/>
    <w:rsid w:val="003A2348"/>
    <w:rsid w:val="003A7496"/>
    <w:rsid w:val="003C28D8"/>
    <w:rsid w:val="003D1C3F"/>
    <w:rsid w:val="003E3F04"/>
    <w:rsid w:val="003F0D53"/>
    <w:rsid w:val="00403D20"/>
    <w:rsid w:val="00403FA6"/>
    <w:rsid w:val="0042265C"/>
    <w:rsid w:val="00425C30"/>
    <w:rsid w:val="00430775"/>
    <w:rsid w:val="00433CA5"/>
    <w:rsid w:val="00453D0B"/>
    <w:rsid w:val="00455557"/>
    <w:rsid w:val="00456881"/>
    <w:rsid w:val="00461CD6"/>
    <w:rsid w:val="00462729"/>
    <w:rsid w:val="004631C9"/>
    <w:rsid w:val="00463758"/>
    <w:rsid w:val="00463B28"/>
    <w:rsid w:val="004675F1"/>
    <w:rsid w:val="00481487"/>
    <w:rsid w:val="00492F61"/>
    <w:rsid w:val="00495CC7"/>
    <w:rsid w:val="004A12EB"/>
    <w:rsid w:val="004A3CCE"/>
    <w:rsid w:val="004C1E02"/>
    <w:rsid w:val="004C4BA0"/>
    <w:rsid w:val="004D6511"/>
    <w:rsid w:val="004D6B7E"/>
    <w:rsid w:val="004E0FF8"/>
    <w:rsid w:val="005158FA"/>
    <w:rsid w:val="0052233D"/>
    <w:rsid w:val="00547D18"/>
    <w:rsid w:val="00561DBE"/>
    <w:rsid w:val="005672FB"/>
    <w:rsid w:val="005873C7"/>
    <w:rsid w:val="005904C3"/>
    <w:rsid w:val="005A387F"/>
    <w:rsid w:val="005A692E"/>
    <w:rsid w:val="005C02EC"/>
    <w:rsid w:val="005C2698"/>
    <w:rsid w:val="005D05F9"/>
    <w:rsid w:val="005F3768"/>
    <w:rsid w:val="005F4319"/>
    <w:rsid w:val="005F4853"/>
    <w:rsid w:val="005F5043"/>
    <w:rsid w:val="00604786"/>
    <w:rsid w:val="00613F73"/>
    <w:rsid w:val="00623ED5"/>
    <w:rsid w:val="00631891"/>
    <w:rsid w:val="006338E7"/>
    <w:rsid w:val="00645BE0"/>
    <w:rsid w:val="00647FD9"/>
    <w:rsid w:val="00651B7F"/>
    <w:rsid w:val="0065351A"/>
    <w:rsid w:val="006538F8"/>
    <w:rsid w:val="00660FC9"/>
    <w:rsid w:val="0066643B"/>
    <w:rsid w:val="006668BC"/>
    <w:rsid w:val="00667D04"/>
    <w:rsid w:val="00672A42"/>
    <w:rsid w:val="00677BA0"/>
    <w:rsid w:val="00680B0E"/>
    <w:rsid w:val="006A1A99"/>
    <w:rsid w:val="006A367B"/>
    <w:rsid w:val="006B2EDE"/>
    <w:rsid w:val="006B6036"/>
    <w:rsid w:val="006C22B9"/>
    <w:rsid w:val="006C376D"/>
    <w:rsid w:val="006C6F28"/>
    <w:rsid w:val="006D44D3"/>
    <w:rsid w:val="006E199D"/>
    <w:rsid w:val="006E6EEE"/>
    <w:rsid w:val="006E77BC"/>
    <w:rsid w:val="006F1F1F"/>
    <w:rsid w:val="006F45A4"/>
    <w:rsid w:val="00733CB3"/>
    <w:rsid w:val="00744F9B"/>
    <w:rsid w:val="007472E0"/>
    <w:rsid w:val="0075562C"/>
    <w:rsid w:val="00760B91"/>
    <w:rsid w:val="00776E01"/>
    <w:rsid w:val="00782D07"/>
    <w:rsid w:val="007839C5"/>
    <w:rsid w:val="0078525B"/>
    <w:rsid w:val="007A4964"/>
    <w:rsid w:val="007A625A"/>
    <w:rsid w:val="007B036E"/>
    <w:rsid w:val="007B4D14"/>
    <w:rsid w:val="007C2D27"/>
    <w:rsid w:val="007C4528"/>
    <w:rsid w:val="007C5D68"/>
    <w:rsid w:val="007C5D8B"/>
    <w:rsid w:val="007D1B26"/>
    <w:rsid w:val="007D7790"/>
    <w:rsid w:val="007F77AB"/>
    <w:rsid w:val="00805A79"/>
    <w:rsid w:val="00813FB7"/>
    <w:rsid w:val="008358C4"/>
    <w:rsid w:val="00837BA5"/>
    <w:rsid w:val="00840B47"/>
    <w:rsid w:val="0084423F"/>
    <w:rsid w:val="0085029D"/>
    <w:rsid w:val="00851702"/>
    <w:rsid w:val="0088732D"/>
    <w:rsid w:val="00890A42"/>
    <w:rsid w:val="00892A83"/>
    <w:rsid w:val="008D2C57"/>
    <w:rsid w:val="008E1C75"/>
    <w:rsid w:val="008F08DD"/>
    <w:rsid w:val="008F1788"/>
    <w:rsid w:val="008F78FE"/>
    <w:rsid w:val="00902859"/>
    <w:rsid w:val="00915B7A"/>
    <w:rsid w:val="00931B58"/>
    <w:rsid w:val="00932047"/>
    <w:rsid w:val="0093230A"/>
    <w:rsid w:val="00937DC2"/>
    <w:rsid w:val="00967134"/>
    <w:rsid w:val="00994E03"/>
    <w:rsid w:val="009A0487"/>
    <w:rsid w:val="009B3204"/>
    <w:rsid w:val="009B476E"/>
    <w:rsid w:val="009C2A58"/>
    <w:rsid w:val="009C541F"/>
    <w:rsid w:val="009C6634"/>
    <w:rsid w:val="009D20C5"/>
    <w:rsid w:val="009D6593"/>
    <w:rsid w:val="009E4C5F"/>
    <w:rsid w:val="009F1D59"/>
    <w:rsid w:val="00A126E4"/>
    <w:rsid w:val="00A27059"/>
    <w:rsid w:val="00A31A08"/>
    <w:rsid w:val="00A411C1"/>
    <w:rsid w:val="00A62D90"/>
    <w:rsid w:val="00A62E1F"/>
    <w:rsid w:val="00A83651"/>
    <w:rsid w:val="00A84E76"/>
    <w:rsid w:val="00A9069D"/>
    <w:rsid w:val="00A90AD7"/>
    <w:rsid w:val="00AA35F5"/>
    <w:rsid w:val="00AA43A0"/>
    <w:rsid w:val="00AA5B02"/>
    <w:rsid w:val="00AB4D0D"/>
    <w:rsid w:val="00AC14FF"/>
    <w:rsid w:val="00AF1C2F"/>
    <w:rsid w:val="00AF2185"/>
    <w:rsid w:val="00AF6E13"/>
    <w:rsid w:val="00B027C0"/>
    <w:rsid w:val="00B04332"/>
    <w:rsid w:val="00B05982"/>
    <w:rsid w:val="00B06A28"/>
    <w:rsid w:val="00B16AA4"/>
    <w:rsid w:val="00B45A31"/>
    <w:rsid w:val="00B467DD"/>
    <w:rsid w:val="00B4760E"/>
    <w:rsid w:val="00B52E05"/>
    <w:rsid w:val="00B6187A"/>
    <w:rsid w:val="00B62928"/>
    <w:rsid w:val="00B66686"/>
    <w:rsid w:val="00B818FE"/>
    <w:rsid w:val="00B83F45"/>
    <w:rsid w:val="00B966D8"/>
    <w:rsid w:val="00BA19F6"/>
    <w:rsid w:val="00BB5DB6"/>
    <w:rsid w:val="00BB5E57"/>
    <w:rsid w:val="00BD759A"/>
    <w:rsid w:val="00BE2795"/>
    <w:rsid w:val="00BE2A8B"/>
    <w:rsid w:val="00C00553"/>
    <w:rsid w:val="00C06576"/>
    <w:rsid w:val="00C127B1"/>
    <w:rsid w:val="00C27586"/>
    <w:rsid w:val="00C3515C"/>
    <w:rsid w:val="00C47A0B"/>
    <w:rsid w:val="00C71681"/>
    <w:rsid w:val="00C74E6F"/>
    <w:rsid w:val="00C759C6"/>
    <w:rsid w:val="00CA17E2"/>
    <w:rsid w:val="00CA4A3C"/>
    <w:rsid w:val="00CA56A5"/>
    <w:rsid w:val="00CB18FC"/>
    <w:rsid w:val="00CC792C"/>
    <w:rsid w:val="00CD6423"/>
    <w:rsid w:val="00CD64E9"/>
    <w:rsid w:val="00CE167A"/>
    <w:rsid w:val="00CF7651"/>
    <w:rsid w:val="00D228B0"/>
    <w:rsid w:val="00D24040"/>
    <w:rsid w:val="00D35581"/>
    <w:rsid w:val="00D37007"/>
    <w:rsid w:val="00D63543"/>
    <w:rsid w:val="00D76717"/>
    <w:rsid w:val="00D77FC1"/>
    <w:rsid w:val="00D928D7"/>
    <w:rsid w:val="00DA24F9"/>
    <w:rsid w:val="00DC0D7C"/>
    <w:rsid w:val="00DD19F6"/>
    <w:rsid w:val="00DD771A"/>
    <w:rsid w:val="00DE4870"/>
    <w:rsid w:val="00DE5797"/>
    <w:rsid w:val="00DE64CE"/>
    <w:rsid w:val="00DF35E1"/>
    <w:rsid w:val="00DF3ED2"/>
    <w:rsid w:val="00E12665"/>
    <w:rsid w:val="00E21983"/>
    <w:rsid w:val="00E34AE0"/>
    <w:rsid w:val="00E371A5"/>
    <w:rsid w:val="00E55462"/>
    <w:rsid w:val="00E625FE"/>
    <w:rsid w:val="00E6346C"/>
    <w:rsid w:val="00E73629"/>
    <w:rsid w:val="00E81D16"/>
    <w:rsid w:val="00E8654D"/>
    <w:rsid w:val="00E95ECA"/>
    <w:rsid w:val="00EB127A"/>
    <w:rsid w:val="00EB1BC8"/>
    <w:rsid w:val="00ED73D8"/>
    <w:rsid w:val="00EE4FB4"/>
    <w:rsid w:val="00EE68C0"/>
    <w:rsid w:val="00EF2CA3"/>
    <w:rsid w:val="00EF6BE4"/>
    <w:rsid w:val="00F056EC"/>
    <w:rsid w:val="00F073C4"/>
    <w:rsid w:val="00F517D0"/>
    <w:rsid w:val="00F55C13"/>
    <w:rsid w:val="00F60087"/>
    <w:rsid w:val="00F82B0C"/>
    <w:rsid w:val="00F91DFA"/>
    <w:rsid w:val="00FA105B"/>
    <w:rsid w:val="00FA4E29"/>
    <w:rsid w:val="00FD4B89"/>
    <w:rsid w:val="00FE0A3A"/>
    <w:rsid w:val="00FE2C00"/>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5:docId w15:val="{59E5B32E-7EA4-4A6F-975E-2056926A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left="0"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463758"/>
    <w:rPr>
      <w:color w:val="0000FF" w:themeColor="hyperlink"/>
      <w:u w:val="single"/>
    </w:rPr>
  </w:style>
  <w:style w:type="character" w:customStyle="1" w:styleId="tlid-translation">
    <w:name w:val="tlid-translation"/>
    <w:basedOn w:val="DefaultParagraphFont"/>
    <w:rsid w:val="00A126E4"/>
  </w:style>
  <w:style w:type="table" w:styleId="TableGrid">
    <w:name w:val="Table Grid"/>
    <w:basedOn w:val="TableNormal"/>
    <w:uiPriority w:val="39"/>
    <w:rsid w:val="006E77B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5618"/>
    <w:pPr>
      <w:spacing w:before="120" w:after="120"/>
      <w:ind w:left="720"/>
      <w:contextualSpacing/>
      <w:jc w:val="both"/>
    </w:pPr>
    <w:rPr>
      <w:rFonts w:ascii="Arial" w:eastAsia="Calibri" w:hAnsi="Arial"/>
      <w:sz w:val="20"/>
      <w:szCs w:val="22"/>
      <w:lang w:val="en-MY"/>
    </w:rPr>
  </w:style>
  <w:style w:type="character" w:styleId="PlaceholderText">
    <w:name w:val="Placeholder Text"/>
    <w:basedOn w:val="DefaultParagraphFont"/>
    <w:uiPriority w:val="99"/>
    <w:semiHidden/>
    <w:rsid w:val="003F0D53"/>
    <w:rPr>
      <w:color w:val="808080"/>
    </w:rPr>
  </w:style>
  <w:style w:type="paragraph" w:customStyle="1" w:styleId="IJASEITParagraph">
    <w:name w:val="IJASEIT Paragraph"/>
    <w:basedOn w:val="Normal"/>
    <w:link w:val="IJASEITParagraphChar"/>
    <w:rsid w:val="006E199D"/>
    <w:pPr>
      <w:adjustRightInd w:val="0"/>
      <w:snapToGrid w:val="0"/>
      <w:ind w:firstLine="216"/>
      <w:jc w:val="both"/>
    </w:pPr>
    <w:rPr>
      <w:rFonts w:ascii="Times New Roman" w:eastAsia="SimSun" w:hAnsi="Times New Roman"/>
      <w:sz w:val="20"/>
      <w:szCs w:val="24"/>
      <w:lang w:val="en-AU" w:eastAsia="zh-CN"/>
    </w:rPr>
  </w:style>
  <w:style w:type="character" w:customStyle="1" w:styleId="IJASEITParagraphChar">
    <w:name w:val="IJASEIT Paragraph Char"/>
    <w:link w:val="IJASEITParagraph"/>
    <w:rsid w:val="006E199D"/>
    <w:rPr>
      <w:rFonts w:eastAsia="SimSun"/>
      <w:szCs w:val="24"/>
      <w:lang w:val="en-AU" w:eastAsia="zh-CN"/>
    </w:rPr>
  </w:style>
  <w:style w:type="paragraph" w:styleId="Header">
    <w:name w:val="header"/>
    <w:basedOn w:val="Normal"/>
    <w:link w:val="HeaderChar"/>
    <w:uiPriority w:val="99"/>
    <w:unhideWhenUsed/>
    <w:rsid w:val="002D04B6"/>
    <w:pPr>
      <w:tabs>
        <w:tab w:val="center" w:pos="4680"/>
        <w:tab w:val="right" w:pos="9360"/>
      </w:tabs>
    </w:pPr>
  </w:style>
  <w:style w:type="character" w:customStyle="1" w:styleId="HeaderChar">
    <w:name w:val="Header Char"/>
    <w:basedOn w:val="DefaultParagraphFont"/>
    <w:link w:val="Header"/>
    <w:uiPriority w:val="99"/>
    <w:rsid w:val="002D04B6"/>
    <w:rPr>
      <w:rFonts w:ascii="Times" w:hAnsi="Times"/>
      <w:sz w:val="22"/>
      <w:lang w:eastAsia="en-US"/>
    </w:rPr>
  </w:style>
  <w:style w:type="paragraph" w:styleId="Footer">
    <w:name w:val="footer"/>
    <w:basedOn w:val="Normal"/>
    <w:link w:val="FooterChar"/>
    <w:uiPriority w:val="99"/>
    <w:unhideWhenUsed/>
    <w:rsid w:val="002D04B6"/>
    <w:pPr>
      <w:tabs>
        <w:tab w:val="center" w:pos="4680"/>
        <w:tab w:val="right" w:pos="9360"/>
      </w:tabs>
    </w:pPr>
  </w:style>
  <w:style w:type="character" w:customStyle="1" w:styleId="FooterChar">
    <w:name w:val="Footer Char"/>
    <w:basedOn w:val="DefaultParagraphFont"/>
    <w:link w:val="Footer"/>
    <w:uiPriority w:val="99"/>
    <w:rsid w:val="002D04B6"/>
    <w:rPr>
      <w:rFonts w:ascii="Times" w:hAnsi="Times"/>
      <w:sz w:val="22"/>
      <w:lang w:eastAsia="en-US"/>
    </w:rPr>
  </w:style>
  <w:style w:type="character" w:styleId="CommentReference">
    <w:name w:val="annotation reference"/>
    <w:basedOn w:val="DefaultParagraphFont"/>
    <w:uiPriority w:val="99"/>
    <w:semiHidden/>
    <w:unhideWhenUsed/>
    <w:rsid w:val="00902859"/>
    <w:rPr>
      <w:sz w:val="16"/>
      <w:szCs w:val="16"/>
    </w:rPr>
  </w:style>
  <w:style w:type="paragraph" w:styleId="CommentText">
    <w:name w:val="annotation text"/>
    <w:basedOn w:val="Normal"/>
    <w:link w:val="CommentTextChar"/>
    <w:uiPriority w:val="99"/>
    <w:semiHidden/>
    <w:unhideWhenUsed/>
    <w:rsid w:val="00902859"/>
    <w:rPr>
      <w:sz w:val="20"/>
    </w:rPr>
  </w:style>
  <w:style w:type="character" w:customStyle="1" w:styleId="CommentTextChar">
    <w:name w:val="Comment Text Char"/>
    <w:basedOn w:val="DefaultParagraphFont"/>
    <w:link w:val="CommentText"/>
    <w:uiPriority w:val="99"/>
    <w:semiHidden/>
    <w:rsid w:val="00902859"/>
    <w:rPr>
      <w:rFonts w:ascii="Times" w:hAnsi="Times"/>
      <w:lang w:eastAsia="en-US"/>
    </w:rPr>
  </w:style>
  <w:style w:type="paragraph" w:styleId="CommentSubject">
    <w:name w:val="annotation subject"/>
    <w:basedOn w:val="CommentText"/>
    <w:next w:val="CommentText"/>
    <w:link w:val="CommentSubjectChar"/>
    <w:uiPriority w:val="99"/>
    <w:semiHidden/>
    <w:unhideWhenUsed/>
    <w:rsid w:val="00902859"/>
    <w:rPr>
      <w:b/>
      <w:bCs/>
    </w:rPr>
  </w:style>
  <w:style w:type="character" w:customStyle="1" w:styleId="CommentSubjectChar">
    <w:name w:val="Comment Subject Char"/>
    <w:basedOn w:val="CommentTextChar"/>
    <w:link w:val="CommentSubject"/>
    <w:uiPriority w:val="99"/>
    <w:semiHidden/>
    <w:rsid w:val="00902859"/>
    <w:rPr>
      <w:rFonts w:ascii="Times" w:hAnsi="Times"/>
      <w:b/>
      <w:bCs/>
      <w:lang w:eastAsia="en-US"/>
    </w:rPr>
  </w:style>
  <w:style w:type="paragraph" w:styleId="BalloonText">
    <w:name w:val="Balloon Text"/>
    <w:basedOn w:val="Normal"/>
    <w:link w:val="BalloonTextChar"/>
    <w:uiPriority w:val="99"/>
    <w:semiHidden/>
    <w:unhideWhenUsed/>
    <w:rsid w:val="00902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859"/>
    <w:rPr>
      <w:rFonts w:ascii="Segoe UI" w:hAnsi="Segoe UI" w:cs="Segoe UI"/>
      <w:sz w:val="18"/>
      <w:szCs w:val="18"/>
      <w:lang w:eastAsia="en-US"/>
    </w:rPr>
  </w:style>
  <w:style w:type="character" w:customStyle="1" w:styleId="jlqj4b">
    <w:name w:val="jlqj4b"/>
    <w:basedOn w:val="DefaultParagraphFont"/>
    <w:rsid w:val="00370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microsoft.com/office/2011/relationships/commentsExtended" Target="commentsExtended.xml" /><Relationship Id="rId6" Type="http://schemas.openxmlformats.org/officeDocument/2006/relationships/comments" Target="comments.xml" /><Relationship Id="rId7" Type="http://schemas.openxmlformats.org/officeDocument/2006/relationships/hyperlink" Target="mailto:Rustiana@uajy.ac.id" TargetMode="External" /><Relationship Id="rId8" Type="http://schemas.openxmlformats.org/officeDocument/2006/relationships/hyperlink" Target="mailto:mothman@utem.edu.my" TargetMode="External" /><Relationship Id="rId9" Type="http://schemas.openxmlformats.org/officeDocument/2006/relationships/hyperlink" Target="mailto:norhidayah@utem.edu.my"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gev\Downloads\WordGuidelines\JPCSA4Template.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42C6A-E542-4B05-BCD3-404E7794B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40</TotalTime>
  <Pages>6</Pages>
  <Words>14261</Words>
  <Characters>81294</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95365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ASUS</cp:lastModifiedBy>
  <cp:revision>8</cp:revision>
  <cp:lastPrinted>2005-02-25T09:52:00Z</cp:lastPrinted>
  <dcterms:created xsi:type="dcterms:W3CDTF">2020-11-24T06:08:00Z</dcterms:created>
  <dcterms:modified xsi:type="dcterms:W3CDTF">2020-11-24T06:47:00Z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http://www.zotero.org/styles/journal-of-physics-conference-series</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http://www.zotero.org/styles/harvard-cite-them-right</vt:lpwstr>
  </property>
  <property fmtid="{D5CDD505-2E9C-101B-9397-08002B2CF9AE}" pid="9" name="Mendeley Recent Style Id 5_1">
    <vt:lpwstr>http://www.zotero.org/styles/harvard1</vt:lpwstr>
  </property>
  <property fmtid="{D5CDD505-2E9C-101B-9397-08002B2CF9AE}" pid="10" name="Mendeley Recent Style Id 6_1">
    <vt:lpwstr>http://www.zotero.org/styles/ieee</vt:lpwstr>
  </property>
  <property fmtid="{D5CDD505-2E9C-101B-9397-08002B2CF9AE}" pid="11" name="Mendeley Recent Style Id 7_1">
    <vt:lpwstr>http://www.zotero.org/styles/journal-of-physics-conference-series</vt:lpwstr>
  </property>
  <property fmtid="{D5CDD505-2E9C-101B-9397-08002B2CF9AE}" pid="12" name="Mendeley Recent Style Id 8_1">
    <vt:lpwstr>http://www.zotero.org/styles/modern-humanities-research-association</vt:lpwstr>
  </property>
  <property fmtid="{D5CDD505-2E9C-101B-9397-08002B2CF9AE}" pid="13" name="Mendeley Recent Style Id 9_1">
    <vt:lpwstr>http://www.zotero.org/styles/modern-language-association</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Cite Them Right 10th edition - Harvard</vt:lpwstr>
  </property>
  <property fmtid="{D5CDD505-2E9C-101B-9397-08002B2CF9AE}" pid="19" name="Mendeley Recent Style Name 5_1">
    <vt:lpwstr>Harvard reference format 1 (deprecated)</vt:lpwstr>
  </property>
  <property fmtid="{D5CDD505-2E9C-101B-9397-08002B2CF9AE}" pid="20" name="Mendeley Recent Style Name 6_1">
    <vt:lpwstr>IEEE</vt:lpwstr>
  </property>
  <property fmtid="{D5CDD505-2E9C-101B-9397-08002B2CF9AE}" pid="21" name="Mendeley Recent Style Name 7_1">
    <vt:lpwstr>Journal of Physics: Conference Series</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Name 9_1">
    <vt:lpwstr>Modern Language Association 8th edition</vt:lpwstr>
  </property>
  <property fmtid="{D5CDD505-2E9C-101B-9397-08002B2CF9AE}" pid="24" name="Mendeley Unique User Id_1">
    <vt:lpwstr>533af255-f6bc-3687-b1a6-f409c45ae805</vt:lpwstr>
  </property>
</Properties>
</file>