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BA8DB" w14:textId="6DBE721B" w:rsidR="009A0487" w:rsidRPr="007B4B3F" w:rsidRDefault="002A4F72" w:rsidP="00003AE9">
      <w:pPr>
        <w:pStyle w:val="Title"/>
      </w:pPr>
      <w:commentRangeStart w:id="0"/>
      <w:r w:rsidRPr="007B4B3F">
        <w:t>Me</w:t>
      </w:r>
      <w:r w:rsidR="00003AE9" w:rsidRPr="007B4B3F">
        <w:t xml:space="preserve">rcury Content </w:t>
      </w:r>
      <w:r w:rsidR="00645FCE" w:rsidRPr="007B4B3F">
        <w:t>of</w:t>
      </w:r>
      <w:r w:rsidR="00003AE9" w:rsidRPr="007B4B3F">
        <w:t xml:space="preserve"> </w:t>
      </w:r>
      <w:r w:rsidR="00645FCE" w:rsidRPr="007B4B3F">
        <w:rPr>
          <w:i/>
          <w:iCs/>
        </w:rPr>
        <w:t>Sardinella l</w:t>
      </w:r>
      <w:r w:rsidR="00003AE9" w:rsidRPr="007B4B3F">
        <w:rPr>
          <w:i/>
          <w:iCs/>
        </w:rPr>
        <w:t>emuru</w:t>
      </w:r>
      <w:r w:rsidR="00003AE9" w:rsidRPr="007B4B3F">
        <w:t xml:space="preserve"> Caught in East Java and Bali</w:t>
      </w:r>
      <w:r w:rsidR="00645FCE" w:rsidRPr="007B4B3F">
        <w:t xml:space="preserve"> Waters</w:t>
      </w:r>
      <w:commentRangeEnd w:id="0"/>
      <w:r w:rsidR="003A62DB" w:rsidRPr="007B4B3F">
        <w:rPr>
          <w:rStyle w:val="CommentReference"/>
          <w:sz w:val="34"/>
          <w:szCs w:val="34"/>
        </w:rPr>
        <w:commentReference w:id="0"/>
      </w:r>
    </w:p>
    <w:p w14:paraId="207E14BA" w14:textId="31B7E7E1" w:rsidR="00EC0EAA" w:rsidRDefault="00EC0EAA" w:rsidP="00AC24D2">
      <w:pPr>
        <w:pStyle w:val="Authors"/>
      </w:pPr>
      <w:r w:rsidRPr="00EC0EAA">
        <w:t>Aida Sartimbul</w:t>
      </w:r>
      <w:r w:rsidRPr="00EC0EAA">
        <w:rPr>
          <w:vertAlign w:val="superscript"/>
        </w:rPr>
        <w:t>1,2</w:t>
      </w:r>
      <w:r w:rsidRPr="00EC0EAA">
        <w:t>*, Janu Alfiqry Amandani</w:t>
      </w:r>
      <w:r w:rsidRPr="00EC0EAA">
        <w:rPr>
          <w:vertAlign w:val="superscript"/>
        </w:rPr>
        <w:t>1</w:t>
      </w:r>
      <w:r w:rsidRPr="00EC0EAA">
        <w:t>, Defri Yona</w:t>
      </w:r>
      <w:r w:rsidRPr="00EC0EAA">
        <w:rPr>
          <w:vertAlign w:val="superscript"/>
        </w:rPr>
        <w:t>1,2</w:t>
      </w:r>
      <w:r w:rsidRPr="00EC0EAA">
        <w:t>, M Arif Zainul Fuad</w:t>
      </w:r>
      <w:r w:rsidRPr="00EC0EAA">
        <w:rPr>
          <w:vertAlign w:val="superscript"/>
        </w:rPr>
        <w:t>1,2</w:t>
      </w:r>
    </w:p>
    <w:p w14:paraId="02CFD3FE" w14:textId="77777777" w:rsidR="00EC0EAA" w:rsidRDefault="00EC0EAA" w:rsidP="003922D6">
      <w:pPr>
        <w:pStyle w:val="Addresses"/>
        <w:spacing w:after="0"/>
        <w:jc w:val="both"/>
        <w:rPr>
          <w:b/>
        </w:rPr>
      </w:pPr>
    </w:p>
    <w:p w14:paraId="7A95A943" w14:textId="77777777" w:rsidR="00EC0EAA" w:rsidRPr="00EC0EAA" w:rsidRDefault="00EC0EAA" w:rsidP="00AC24D2">
      <w:pPr>
        <w:pStyle w:val="Addresses"/>
      </w:pPr>
      <w:r w:rsidRPr="00EC0EAA">
        <w:rPr>
          <w:vertAlign w:val="superscript"/>
        </w:rPr>
        <w:t>1</w:t>
      </w:r>
      <w:r w:rsidRPr="00EC0EAA">
        <w:t>Faculty of Fisheries and Marine Science, Brawijaya University, Malang 65145, East Java, Indonesia</w:t>
      </w:r>
    </w:p>
    <w:p w14:paraId="5A8B5CBC" w14:textId="77777777" w:rsidR="00EC0EAA" w:rsidRPr="00EC0EAA" w:rsidRDefault="00EC0EAA" w:rsidP="00AC24D2">
      <w:pPr>
        <w:pStyle w:val="Addresses"/>
      </w:pPr>
      <w:r w:rsidRPr="00EC0EAA">
        <w:rPr>
          <w:vertAlign w:val="superscript"/>
        </w:rPr>
        <w:t>2</w:t>
      </w:r>
      <w:r w:rsidRPr="00EC0EAA">
        <w:t>Marine Resources Exploration and Management (MEXMA) Research Group, Brawijaya University, Malang 65145, East Java, Indonesia</w:t>
      </w:r>
    </w:p>
    <w:p w14:paraId="14F384E4" w14:textId="774764D2" w:rsidR="009A0487" w:rsidRPr="00AC24D2" w:rsidRDefault="003922D6" w:rsidP="00AC24D2">
      <w:pPr>
        <w:pStyle w:val="E-mail"/>
      </w:pPr>
      <w:r w:rsidRPr="00AC24D2">
        <w:t>aida@ub.ac.id</w:t>
      </w:r>
    </w:p>
    <w:p w14:paraId="704CC774" w14:textId="4F4D4F8B" w:rsidR="005A3386" w:rsidRPr="00560D06" w:rsidRDefault="009A0487" w:rsidP="00695019">
      <w:pPr>
        <w:pStyle w:val="Abstract"/>
      </w:pPr>
      <w:r>
        <w:rPr>
          <w:b/>
        </w:rPr>
        <w:t>Abstract</w:t>
      </w:r>
      <w:r>
        <w:t>.</w:t>
      </w:r>
      <w:r w:rsidR="005A3386" w:rsidRPr="005A3386">
        <w:rPr>
          <w:i/>
          <w:iCs/>
        </w:rPr>
        <w:t xml:space="preserve"> </w:t>
      </w:r>
      <w:r w:rsidR="001F28EF" w:rsidRPr="001F28EF">
        <w:rPr>
          <w:i/>
          <w:iCs/>
        </w:rPr>
        <w:t>Sardinella lemuru</w:t>
      </w:r>
      <w:r w:rsidR="005A3386" w:rsidRPr="00560D06">
        <w:rPr>
          <w:i/>
          <w:iCs/>
        </w:rPr>
        <w:t xml:space="preserve"> </w:t>
      </w:r>
      <w:r w:rsidR="005A3386" w:rsidRPr="00560D06">
        <w:t>is a small pelagic</w:t>
      </w:r>
      <w:r w:rsidR="005A3386">
        <w:t xml:space="preserve"> fish</w:t>
      </w:r>
      <w:r w:rsidR="005A3386" w:rsidRPr="00560D06">
        <w:t xml:space="preserve"> </w:t>
      </w:r>
      <w:r w:rsidR="005A3386">
        <w:t xml:space="preserve">which is </w:t>
      </w:r>
      <w:r w:rsidR="005A3386" w:rsidRPr="00560D06">
        <w:t>mostly caught</w:t>
      </w:r>
      <w:r w:rsidR="005A3386">
        <w:t xml:space="preserve"> in </w:t>
      </w:r>
      <w:r w:rsidR="005A3386" w:rsidRPr="00560D06">
        <w:t>Java and Bali waters</w:t>
      </w:r>
      <w:r w:rsidR="005A3386">
        <w:t xml:space="preserve">. It is important because of its </w:t>
      </w:r>
      <w:r w:rsidR="005A3386" w:rsidRPr="00560D06">
        <w:t xml:space="preserve">high Omega-3 fatty acid. As pelagic fish that </w:t>
      </w:r>
      <w:r w:rsidR="005A3386">
        <w:t xml:space="preserve">are </w:t>
      </w:r>
      <w:r w:rsidR="005A3386" w:rsidRPr="00560D06">
        <w:t xml:space="preserve">found in relatively shallow waters and near the coast, </w:t>
      </w:r>
      <w:r w:rsidR="005A3386">
        <w:t xml:space="preserve">it </w:t>
      </w:r>
      <w:r w:rsidR="005A3386" w:rsidRPr="00560D06">
        <w:t xml:space="preserve">could be contaminated </w:t>
      </w:r>
      <w:r w:rsidR="005A3386">
        <w:t xml:space="preserve">from </w:t>
      </w:r>
      <w:r w:rsidR="005A3386" w:rsidRPr="00560D06">
        <w:t>the land.</w:t>
      </w:r>
      <w:r w:rsidR="005A3386">
        <w:t xml:space="preserve"> T</w:t>
      </w:r>
      <w:r w:rsidR="005A3386" w:rsidRPr="00560D06">
        <w:t xml:space="preserve">he </w:t>
      </w:r>
      <w:r w:rsidR="005A3386">
        <w:t>purpose of this study is to analyse</w:t>
      </w:r>
      <w:r w:rsidR="005A3386" w:rsidRPr="00560D06">
        <w:t xml:space="preserve"> the mercury content </w:t>
      </w:r>
      <w:r w:rsidR="005A3386">
        <w:t>of</w:t>
      </w:r>
      <w:r w:rsidR="005A3386" w:rsidRPr="00560D06">
        <w:t xml:space="preserve"> </w:t>
      </w:r>
      <w:r w:rsidR="00424D9A">
        <w:rPr>
          <w:i/>
          <w:iCs/>
        </w:rPr>
        <w:t>S. lemuru</w:t>
      </w:r>
      <w:r w:rsidR="005A3386" w:rsidRPr="00560D06">
        <w:t xml:space="preserve"> caught in </w:t>
      </w:r>
      <w:r w:rsidR="005A3386">
        <w:t>three</w:t>
      </w:r>
      <w:r w:rsidR="005A3386" w:rsidRPr="00560D06">
        <w:t xml:space="preserve"> fishing ground in East Java</w:t>
      </w:r>
      <w:r w:rsidR="005A3386">
        <w:t xml:space="preserve"> (Prigi and Muncar)</w:t>
      </w:r>
      <w:r w:rsidR="005A3386" w:rsidRPr="00560D06">
        <w:t xml:space="preserve"> and Bali</w:t>
      </w:r>
      <w:r w:rsidR="005A3386">
        <w:t xml:space="preserve"> (Kedonganan)</w:t>
      </w:r>
      <w:r w:rsidR="005A3386" w:rsidRPr="00560D06">
        <w:t xml:space="preserve">. </w:t>
      </w:r>
      <w:r w:rsidR="00695019" w:rsidRPr="00695019">
        <w:t xml:space="preserve">Fish samples were taken by random sampling and collected from November 2019 to March 2020 and </w:t>
      </w:r>
      <w:r w:rsidR="004637EA" w:rsidRPr="00695019">
        <w:t>analysed</w:t>
      </w:r>
      <w:r w:rsidR="00695019" w:rsidRPr="00695019">
        <w:t xml:space="preserve"> for mercury content using the Cold Rapoun Atomic Fluorescence method using the Atomic Absorption Spectroscopy (AAS) Shimadzu AA-6200. Furthermore, the Estimated Daily Intake (EDI) and Maximum Tolerable Intake (MTI) are calculated.</w:t>
      </w:r>
      <w:r w:rsidR="00695019" w:rsidRPr="00560D06">
        <w:t xml:space="preserve"> </w:t>
      </w:r>
      <w:r w:rsidR="005A3386" w:rsidRPr="00560D06">
        <w:t xml:space="preserve">The results showed that mercury </w:t>
      </w:r>
      <w:r w:rsidR="005A3386">
        <w:t>concentration in</w:t>
      </w:r>
      <w:r w:rsidR="005A3386" w:rsidRPr="00560D06">
        <w:t xml:space="preserve"> </w:t>
      </w:r>
      <w:r w:rsidR="00424D9A">
        <w:rPr>
          <w:i/>
          <w:iCs/>
        </w:rPr>
        <w:t>S. lemuru</w:t>
      </w:r>
      <w:r w:rsidR="005A3386" w:rsidRPr="00560D06">
        <w:t xml:space="preserve"> </w:t>
      </w:r>
      <w:r w:rsidR="005A3386">
        <w:t xml:space="preserve">were </w:t>
      </w:r>
      <w:r w:rsidR="005A3386" w:rsidRPr="00560D06">
        <w:t>0.938 ± 0.45 mg / kg</w:t>
      </w:r>
      <w:r w:rsidR="005A3386">
        <w:t xml:space="preserve"> and </w:t>
      </w:r>
      <w:r w:rsidR="005A3386" w:rsidRPr="00560D06">
        <w:t>0.58 ± 0.65 mg / kg</w:t>
      </w:r>
      <w:r w:rsidR="005A3386">
        <w:t xml:space="preserve"> for Kedonganan and Prigi, respectively. While, there is undetected mercury for </w:t>
      </w:r>
      <w:r w:rsidR="005A3386" w:rsidRPr="00560D06">
        <w:t>Muncar</w:t>
      </w:r>
      <w:r w:rsidR="005A3386">
        <w:t xml:space="preserve"> fish samples.</w:t>
      </w:r>
      <w:r w:rsidR="005A3386" w:rsidRPr="00560D06">
        <w:t xml:space="preserve"> </w:t>
      </w:r>
      <w:r w:rsidR="005A3386">
        <w:t xml:space="preserve">The mercury concentration identified are </w:t>
      </w:r>
      <w:r w:rsidR="005A3386" w:rsidRPr="00560D06">
        <w:t xml:space="preserve">above the </w:t>
      </w:r>
      <w:r w:rsidR="005A3386">
        <w:t xml:space="preserve">Indonesia </w:t>
      </w:r>
      <w:r w:rsidR="005A3386" w:rsidRPr="00560D06">
        <w:t xml:space="preserve">standards </w:t>
      </w:r>
      <w:r w:rsidR="005A3386">
        <w:t>(</w:t>
      </w:r>
      <w:r w:rsidR="005A3386" w:rsidRPr="00560D06">
        <w:t>SNI and BPOM</w:t>
      </w:r>
      <w:r w:rsidR="005A3386">
        <w:t xml:space="preserve"> = </w:t>
      </w:r>
      <w:r w:rsidR="005A3386" w:rsidRPr="00560D06">
        <w:t xml:space="preserve">0.5mg / kg). </w:t>
      </w:r>
      <w:r w:rsidR="005A3386">
        <w:t xml:space="preserve"> Moreover, the </w:t>
      </w:r>
      <w:r w:rsidR="005A3386" w:rsidRPr="00560D06">
        <w:t>EDI value was</w:t>
      </w:r>
      <w:r w:rsidR="005A3386">
        <w:t xml:space="preserve"> higher than </w:t>
      </w:r>
      <w:r w:rsidR="005A3386" w:rsidRPr="00560D06">
        <w:t>Provisional Tolerable Daily Intake</w:t>
      </w:r>
      <w:r w:rsidR="005A3386">
        <w:t xml:space="preserve"> -WHO</w:t>
      </w:r>
      <w:r w:rsidR="005A3386" w:rsidRPr="00560D06">
        <w:t>. The</w:t>
      </w:r>
      <w:r w:rsidR="005A3386">
        <w:t xml:space="preserve"> mean</w:t>
      </w:r>
      <w:r w:rsidR="005A3386" w:rsidRPr="00560D06">
        <w:t xml:space="preserve"> value of</w:t>
      </w:r>
      <w:r w:rsidR="005A3386">
        <w:t xml:space="preserve"> </w:t>
      </w:r>
      <w:r w:rsidR="005A3386" w:rsidRPr="00560D06">
        <w:t>M</w:t>
      </w:r>
      <w:r w:rsidR="005A3386">
        <w:t>TI</w:t>
      </w:r>
      <w:r w:rsidR="005A3386" w:rsidRPr="00560D06">
        <w:t xml:space="preserve"> is 0.121 mg / week. If </w:t>
      </w:r>
      <w:r w:rsidR="005A3386">
        <w:t>fish contaminated</w:t>
      </w:r>
      <w:r w:rsidR="004637EA">
        <w:t xml:space="preserve"> </w:t>
      </w:r>
      <w:r w:rsidR="005A3386">
        <w:t>mercury was</w:t>
      </w:r>
      <w:r w:rsidR="005A3386" w:rsidRPr="00560D06">
        <w:t xml:space="preserve"> consumed in one week exceeds the MTI value, the heavy metal c</w:t>
      </w:r>
      <w:r w:rsidR="005A3386">
        <w:t>ould</w:t>
      </w:r>
      <w:r w:rsidR="005A3386" w:rsidRPr="00560D06">
        <w:t xml:space="preserve"> affect the</w:t>
      </w:r>
      <w:r w:rsidR="005A3386">
        <w:t xml:space="preserve"> human </w:t>
      </w:r>
      <w:r w:rsidR="005A3386" w:rsidRPr="00560D06">
        <w:t>health</w:t>
      </w:r>
      <w:r w:rsidR="005A3386">
        <w:t xml:space="preserve">. </w:t>
      </w:r>
    </w:p>
    <w:p w14:paraId="01CAC084" w14:textId="4C8C99A3" w:rsidR="00EC0EAA" w:rsidRDefault="00EC0EAA" w:rsidP="00EC0EAA">
      <w:pPr>
        <w:pStyle w:val="Abstract"/>
        <w:spacing w:after="0"/>
      </w:pPr>
    </w:p>
    <w:p w14:paraId="2ED79387" w14:textId="10DB0782" w:rsidR="00EC0EAA" w:rsidRDefault="00EC0EAA" w:rsidP="00003AE9">
      <w:pPr>
        <w:pStyle w:val="Abstract"/>
        <w:rPr>
          <w:b/>
          <w:bCs/>
        </w:rPr>
      </w:pPr>
      <w:r w:rsidRPr="00EC0EAA">
        <w:rPr>
          <w:bCs/>
        </w:rPr>
        <w:t>K</w:t>
      </w:r>
      <w:r w:rsidR="005A3386">
        <w:rPr>
          <w:bCs/>
        </w:rPr>
        <w:t>eywords</w:t>
      </w:r>
      <w:r w:rsidRPr="00EC0EAA">
        <w:rPr>
          <w:bCs/>
        </w:rPr>
        <w:t xml:space="preserve"> : </w:t>
      </w:r>
      <w:r w:rsidR="001F28EF" w:rsidRPr="00003AE9">
        <w:rPr>
          <w:b/>
          <w:bCs/>
          <w:i/>
        </w:rPr>
        <w:t>Sardinella lemuru</w:t>
      </w:r>
      <w:r w:rsidR="005A3386" w:rsidRPr="00003AE9">
        <w:rPr>
          <w:b/>
          <w:bCs/>
        </w:rPr>
        <w:t>, mercury, East Java, Bali, EDI, MTI</w:t>
      </w:r>
    </w:p>
    <w:p w14:paraId="54FE9A37" w14:textId="77777777" w:rsidR="00B03C7E" w:rsidRPr="00AC24D2" w:rsidRDefault="00B03C7E" w:rsidP="00B03C7E">
      <w:pPr>
        <w:pStyle w:val="Section"/>
      </w:pPr>
      <w:r w:rsidRPr="00AC24D2">
        <w:t>Introduction</w:t>
      </w:r>
    </w:p>
    <w:p w14:paraId="71CE6E77" w14:textId="2D28CC1D" w:rsidR="00122361" w:rsidRDefault="00122361" w:rsidP="00122361">
      <w:pPr>
        <w:pStyle w:val="Bodytext"/>
      </w:pPr>
      <w:r w:rsidRPr="007F3ACE">
        <w:t xml:space="preserve">Pelagic fish is one of the fish that is very popular </w:t>
      </w:r>
      <w:r w:rsidR="004637EA">
        <w:t xml:space="preserve">in </w:t>
      </w:r>
      <w:r w:rsidRPr="007F3ACE">
        <w:t>Indonesia</w:t>
      </w:r>
      <w:r w:rsidR="004637EA">
        <w:t>n because of its</w:t>
      </w:r>
      <w:r w:rsidRPr="007F3ACE">
        <w:t xml:space="preserve"> abundant </w:t>
      </w:r>
      <w:r w:rsidR="004637EA">
        <w:t>and</w:t>
      </w:r>
      <w:r w:rsidRPr="007F3ACE">
        <w:t xml:space="preserve"> </w:t>
      </w:r>
      <w:r w:rsidR="004637EA">
        <w:t>cheap price</w:t>
      </w:r>
      <w:r w:rsidRPr="007F3ACE">
        <w:t>. This fish is easy to find</w:t>
      </w:r>
      <w:r w:rsidR="004637EA">
        <w:t xml:space="preserve"> as well</w:t>
      </w:r>
      <w:r w:rsidRPr="007F3ACE">
        <w:t xml:space="preserve"> because of its presence in shallow waters and close to the coast. </w:t>
      </w:r>
      <w:r w:rsidRPr="001976B8">
        <w:t xml:space="preserve">This fish is </w:t>
      </w:r>
      <w:r>
        <w:t>a schooling species</w:t>
      </w:r>
      <w:r w:rsidRPr="001976B8">
        <w:t xml:space="preserve"> and forms high biomass around the upwelling area</w:t>
      </w:r>
      <w:r>
        <w:t xml:space="preserve">, such as </w:t>
      </w:r>
      <w:r w:rsidRPr="001976B8">
        <w:t>Bali Strait to South Java</w:t>
      </w:r>
      <w:r>
        <w:fldChar w:fldCharType="begin"/>
      </w:r>
      <w:r w:rsidR="00635DB9">
        <w:instrText xml:space="preserve"> ADDIN ZOTERO_ITEM CSL_CITATION {"citationID":"ivJo1kpB","properties":{"formattedCitation":"(1)","plainCitation":"(1)","noteIndex":0},"citationItems":[{"id":10,"uris":["http://zotero.org/users/local/9dyqp7oC/items/6JPGKQ78"],"uri":["http://zotero.org/users/local/9dyqp7oC/items/6JPGKQ78"],"itemData":{"id":10,"type":"article-journal","abstract":"The variation of morphometric and meristic characters among five populations of Sardinella lemuru and its environment was studied in waters of Bali Strait, northern and southern-east Java. Fish and hydro-oceanography samples were collected during transition and southeastern monsoon seasons (March-June) 2017 directly at five fishing grounds of S. lemuru. The fish was caught by gillnet. In the same time hydro-oceanography data have been recorded by using AAQ1183C sensor. Clustering analysis was carried out to examine the grouping of S. lemuru based on the morphometric and meristic characteristics. Furthermore, length-weight relationship and hydro-oceanography data were analyzed using Principal Component Analysis (PCA). The result shows that there were found two population groups based on morphological characteristics of five population of S. lemuru of Bali Strait, Northern and Southern-East Java waters. Further, the environmental parameters, mainly chlorophyll-a, pH, DO and water temperature affect morphological characteristics. This study suggested that environment factors play an important role in controlling the variety of fish phenotypes that are likely to affect the condition of its stock in the waters.","issue":"3","language":"en","page":"10","source":"Zotero","title":"Morphometric and meristic variations among five populations of Sardinella lemuru Bleeker, 1853 from waters of Bali Strait, northern and southern- east Java and their relation to the environment","volume":"11","author":[{"family":"Sartimbul","given":"Aida"},{"family":"Rohadi","given":"Erfan"},{"family":"Ikhsani","given":"Siva N"},{"family":"Listiyaningsih","given":"Devita"}],"issued":{"date-parts":[["2018"]]}}}],"schema":"https://github.com/citation-style-language/schema/raw/master/csl-citation.json"} </w:instrText>
      </w:r>
      <w:r>
        <w:fldChar w:fldCharType="separate"/>
      </w:r>
      <w:r w:rsidR="00635DB9" w:rsidRPr="00635DB9">
        <w:rPr>
          <w:rFonts w:cs="Times"/>
        </w:rPr>
        <w:t>(1)</w:t>
      </w:r>
      <w:r>
        <w:fldChar w:fldCharType="end"/>
      </w:r>
      <w:r w:rsidRPr="001976B8">
        <w:t>. Upwelling is the process of rising seawater mass from the bottom to the sea surface which carries a lot of nutrients for fish life</w:t>
      </w:r>
      <w:r>
        <w:fldChar w:fldCharType="begin"/>
      </w:r>
      <w:r w:rsidR="00635DB9">
        <w:instrText xml:space="preserve"> ADDIN ZOTERO_ITEM CSL_CITATION {"citationID":"AYtotxwV","properties":{"formattedCitation":"(2)","plainCitation":"(2)","noteIndex":0},"citationItems":[{"id":101,"uris":["http://zotero.org/users/local/9dyqp7oC/items/PWDPADQN"],"uri":["http://zotero.org/users/local/9dyqp7oC/items/PWDPADQN"],"itemData":{"id":101,"type":"article-journal","container-title":"Geochemistry, Geophysics, Geosystems","DOI":"10.1029/2005GC001009","ISSN":"15252027","issue":"5","journalAbbreviation":"Geochem. Geophys. Geosyst.","language":"en","page":"n/a-n/a","source":"DOI.org (Crossref)","title":"Ocean color variability in the Indonesian Seas during the SeaWiFS era: OCEAN COLOR VARIABILITY","title-short":"Ocean color variability in the Indonesian Seas during the SeaWiFS era","volume":"7","author":[{"family":"Susanto","given":"R. Dwi"},{"family":"Moore","given":"Thomas S."},{"family":"Marra","given":"John"}],"issued":{"date-parts":[["2006",5]]}}}],"schema":"https://github.com/citation-style-language/schema/raw/master/csl-citation.json"} </w:instrText>
      </w:r>
      <w:r>
        <w:fldChar w:fldCharType="separate"/>
      </w:r>
      <w:r w:rsidR="00635DB9" w:rsidRPr="00635DB9">
        <w:rPr>
          <w:rFonts w:cs="Times"/>
        </w:rPr>
        <w:t>(2)</w:t>
      </w:r>
      <w:r>
        <w:fldChar w:fldCharType="end"/>
      </w:r>
      <w:r w:rsidRPr="001976B8">
        <w:t xml:space="preserve">. </w:t>
      </w:r>
    </w:p>
    <w:p w14:paraId="1770BB2D" w14:textId="23546BD1" w:rsidR="00122361" w:rsidRPr="007C5C55" w:rsidRDefault="00122361" w:rsidP="00122361">
      <w:pPr>
        <w:pStyle w:val="Bodytext"/>
      </w:pPr>
      <w:r w:rsidRPr="001976B8">
        <w:t xml:space="preserve">In addition to being abundant, </w:t>
      </w:r>
      <w:r w:rsidRPr="009D3D37">
        <w:rPr>
          <w:i/>
          <w:iCs w:val="0"/>
        </w:rPr>
        <w:t>S. lemuru</w:t>
      </w:r>
      <w:r w:rsidRPr="001976B8">
        <w:t xml:space="preserve"> has benefits because it contains high Omega</w:t>
      </w:r>
      <w:r>
        <w:t>-</w:t>
      </w:r>
      <w:r w:rsidRPr="001976B8">
        <w:t>3 fatty acids</w:t>
      </w:r>
      <w:r>
        <w:fldChar w:fldCharType="begin"/>
      </w:r>
      <w:r w:rsidR="00635DB9">
        <w:instrText xml:space="preserve"> ADDIN ZOTERO_ITEM CSL_CITATION {"citationID":"OaxsU1nL","properties":{"formattedCitation":"(3)","plainCitation":"(3)","noteIndex":0},"citationItems":[{"id":43,"uris":["http://zotero.org/users/local/9dyqp7oC/items/B9X82EV9"],"uri":["http://zotero.org/users/local/9dyqp7oC/items/B9X82EV9"],"itemData":{"id":43,"type":"article-journal","abstract":"Sardinella lemuru or Sardine is a marine fish that contains a high amount of omega-3 that is abundant in Lombok Strait. Therefore, the genetic variation of the S. Lemuru and its omega-3 production has not been widely studied yet. Furthermore, we have analyzed the correlation between genetic variation and omega-3 content in S. lemuru in Lombok strait. The variations of the S. lemuru were analyzed by using morphology and RAPD method. The result suggested that the S. lemuru in Lombok Strait has three variants that were associated with omega-3 production. Although differences of omega-3 content in marine fish could be caused by various factors, but the differences in the omega-3 content of Sardine in Lombok strait can be assumed due to genetic variations. This study also has discovered a molecular marker based on RAPD method by using primer 5'-AAGAGCCCG to identify Sardine that has high production of omega-3 cheaply, which is very beneficial for managing the conservation of Lombok Strait.","container-title":"IOSR Journal of Agriculture and Veterinary Science","DOI":"10.9790/2380-0161216","ISSN":"23192372, 23192380","issue":"6","journalAbbreviation":"IOSRJAVS","language":"en","note":"number: 6","page":"12-16","source":"DOI.org (Crossref)","title":"The Association between Genetic Variations and Omega-3 Production on Sardinella lemuru in Lombok Strait","volume":"1","author":[{"literal":"Mahrus"},{"family":"Sumitro","given":"Sutiman Bambang"},{"family":"Widodo","given":"Nashi"},{"family":"Sartimbul","given":"Aida"}],"issued":{"date-parts":[["2012"]]}}}],"schema":"https://github.com/citation-style-language/schema/raw/master/csl-citation.json"} </w:instrText>
      </w:r>
      <w:r>
        <w:fldChar w:fldCharType="separate"/>
      </w:r>
      <w:r w:rsidR="00635DB9" w:rsidRPr="00635DB9">
        <w:rPr>
          <w:rFonts w:cs="Times"/>
        </w:rPr>
        <w:t>(3)</w:t>
      </w:r>
      <w:r>
        <w:fldChar w:fldCharType="end"/>
      </w:r>
      <w:r>
        <w:t xml:space="preserve"> </w:t>
      </w:r>
      <w:r w:rsidRPr="001976B8">
        <w:t>which are the 3</w:t>
      </w:r>
      <w:r w:rsidRPr="00F3478C">
        <w:rPr>
          <w:vertAlign w:val="superscript"/>
        </w:rPr>
        <w:t>rd</w:t>
      </w:r>
      <w:r w:rsidRPr="001976B8">
        <w:t xml:space="preserve"> highest after mackerel and salmon</w:t>
      </w:r>
      <w:r>
        <w:fldChar w:fldCharType="begin"/>
      </w:r>
      <w:r w:rsidR="00635DB9">
        <w:instrText xml:space="preserve"> ADDIN ZOTERO_ITEM CSL_CITATION {"citationID":"fkSo3LV7","properties":{"formattedCitation":"(4)","plainCitation":"(4)","noteIndex":0},"citationItems":[{"id":90,"uris":["http://zotero.org/users/local/9dyqp7oC/items/FEILVXTW"],"uri":["http://zotero.org/users/local/9dyqp7oC/items/FEILVXTW"],"itemData":{"id":90,"type":"article-journal","abstract":"Recent developments on the production of omega-3 fatty acid concentrates have been reviewed with an emphasis on the scientiﬁc articles published from 2000. At ﬁrst, a description of the role of essential fatty acids in the organism and the inﬂuence of omega-3 fatty acids in human health is presented. An account of the review articles that have been published in previous years related to the production or isolation of omega-3 fatty acids is then provided. The publications that have appeared over the last 8 years have been reviewed under two groupings, one involving the production of omega-3 from ﬁsh, and the other involving the isolation from alternative sources. Fish is the major source of omega-3 fatty acids and the ﬁsh oil extraction processes have been considered ﬁrstly, then the ﬁsh oil reﬁning processes are presented and ﬁnally the omega-3 concentration from ﬁsh oil. Some considerations on the stability of polyunsaturated fatty acids against hydrolysis and oxidation and the procedures to avoid it are also presented at the end of this review.","container-title":"Innovative Food Science &amp; Emerging Technologies","DOI":"10.1016/j.ifset.2009.10.006","ISSN":"14668564","issue":"1","journalAbbreviation":"Innovative Food Science &amp; Emerging Technologies","language":"en","page":"1-12","source":"DOI.org (Crossref)","title":"Production of omega-3 polyunsaturated fatty acid concentrates: A review","title-short":"Production of omega-3 polyunsaturated fatty acid concentrates","volume":"11","author":[{"family":"Rubio-Rodríguez","given":"Nuria"},{"family":"Beltrán","given":"Sagrario"},{"family":"Jaime","given":"Isabel"},{"family":"Diego","given":"Sara M.","non-dropping-particle":"de"},{"family":"Sanz","given":"María Teresa"},{"family":"Carballido","given":"Jordi Rovira"}],"issued":{"date-parts":[["2010",1]]}}}],"schema":"https://github.com/citation-style-language/schema/raw/master/csl-citation.json"} </w:instrText>
      </w:r>
      <w:r>
        <w:fldChar w:fldCharType="separate"/>
      </w:r>
      <w:r w:rsidR="00635DB9" w:rsidRPr="00635DB9">
        <w:rPr>
          <w:rFonts w:cs="Times"/>
        </w:rPr>
        <w:t>(4)</w:t>
      </w:r>
      <w:r>
        <w:fldChar w:fldCharType="end"/>
      </w:r>
      <w:r w:rsidRPr="001976B8">
        <w:t>. Omega-3 is known to be useful for human health, such as preventing coronary heart disease, preventing stunting</w:t>
      </w:r>
      <w:r>
        <w:fldChar w:fldCharType="begin"/>
      </w:r>
      <w:r w:rsidR="00635DB9">
        <w:instrText xml:space="preserve"> ADDIN ZOTERO_ITEM CSL_CITATION {"citationID":"fWeM5G4s","properties":{"formattedCitation":"(5)","plainCitation":"(5)","noteIndex":0},"citationItems":[{"id":92,"uris":["http://zotero.org/users/local/9dyqp7oC/items/W7D7D7AG"],"uri":["http://zotero.org/users/local/9dyqp7oC/items/W7D7D7AG"],"itemData":{"id":92,"type":"article-journal","abstract":"Background and Objectives: Stunting during childhood is a common public health problem in Indonesia. Complementary food supplementation with a small quantity of lipid-based nutrient supplements (SQ-LNSs) can promote growth and prevent undernutrition. This study investigated the effects of the daily provision of SQ-LNSs and biscuits on linear growth and reduction in the incidence of stunting among infants in rural Indonesia. Methods and Study Design: A 6-month, non-randomised, controlled trial was conducted on 168 infants who received 20 g of SQ-LNSs, 3 pieces of biscuits, or no intervention. The outcome was length gain and incidence of stunting (length-age-z score (LAZ) &lt;−2SD) during a 6-month follow-up. Results: After the 6-month intervention, the adjusted length gain and change in the LAZ (8.57 cm and −0.09 z-score unit, respectively) were higher in the SQLNS group than in the control (7.15 cm and −0.87 z-score unit, respectively) and biscuit groups (7.79 cm and −0.46 z-score unit, respectively; p&lt;0.01). The rate of length gain was significantly higher in the SQ-LNS group (1.43 cm/month; 95% CI: 1.12–1.26) than in the biscuit (1.29 cm/month, 95% CI: 1.23–1.36) and control groups (1.19 cm/month, 95% CI: 1.12–1.26; p&lt;0.01). At the end study, the incidence of stunting in SQ-LNS group was lower (1.8%) than in the biscuit group (8.5%) and control group (14.6%). In the SQ-LNS group, the relative risk (RR) of stunting was 0.35 and in the biscuit group (0.94). Conclusions: SQ-LNSs improved linear growth and reducing the incidence of stunting over 6-months intervention.","container-title":"Asia Pacific Journal of Clinical Nutrition","DOI":"10.6133/apjcn.122016.s9","issue":"S1","language":"en","source":"DOI.org (CSL JSON)","title":"Complementary food supplementation with a small-quantity of lipid-based nutrient supplements prevents stunting in 6-12-month-old infants in rural West Madura Island, Indonesia","volume":"25","author":[{"family":"Muslihah","given":"Nurul"},{"family":"Khomsan","given":"Ali"},{"family":"Briawan","given":"Dodik"},{"family":"Riyadi","given":"Hadi"}],"issued":{"date-parts":[["2016",12,31]]}}}],"schema":"https://github.com/citation-style-language/schema/raw/master/csl-citation.json"} </w:instrText>
      </w:r>
      <w:r>
        <w:fldChar w:fldCharType="separate"/>
      </w:r>
      <w:r w:rsidR="00635DB9" w:rsidRPr="00635DB9">
        <w:rPr>
          <w:rFonts w:cs="Times"/>
        </w:rPr>
        <w:t>(5)</w:t>
      </w:r>
      <w:r>
        <w:fldChar w:fldCharType="end"/>
      </w:r>
      <w:r w:rsidRPr="001976B8">
        <w:t>, maintaining immunity</w:t>
      </w:r>
      <w:r>
        <w:fldChar w:fldCharType="begin"/>
      </w:r>
      <w:r w:rsidR="00635DB9">
        <w:instrText xml:space="preserve"> ADDIN ZOTERO_ITEM CSL_CITATION {"citationID":"vshWWefT","properties":{"formattedCitation":"(6)","plainCitation":"(6)","noteIndex":0},"citationItems":[{"id":109,"uris":["http://zotero.org/users/local/9dyqp7oC/items/NJINGEYB"],"uri":["http://zotero.org/users/local/9dyqp7oC/items/NJINGEYB"],"itemData":{"id":109,"type":"article-journal","abstract":"Alterations on the immune system caused by omega-3 fatty acids have been described for 30 years. This family of polyunsaturated fatty acids exerts major alterations on the activation of cells from both the innate and the adaptive immune system, although the mechanisms for such regulation are diverse. First, as a constitutive part of the cellular membrane, omega-3 fatty acids can regulate cellular membrane properties, such as membrane ﬂuidity or complex assembly in lipid rafts. In recent years, however, a new role for omega-3 fatty acids and their derivatives as signaling molecules has emerged. In this review, we describe the latest ﬁndings describing the e</w:instrText>
      </w:r>
      <w:r w:rsidR="00635DB9">
        <w:rPr>
          <w:rFonts w:ascii="Cambria Math" w:hAnsi="Cambria Math" w:cs="Cambria Math"/>
        </w:rPr>
        <w:instrText>ﬀ</w:instrText>
      </w:r>
      <w:r w:rsidR="00635DB9">
        <w:instrText>ects of omega-3 fatty acids on di</w:instrText>
      </w:r>
      <w:r w:rsidR="00635DB9">
        <w:rPr>
          <w:rFonts w:ascii="Cambria Math" w:hAnsi="Cambria Math" w:cs="Cambria Math"/>
        </w:rPr>
        <w:instrText>ﬀ</w:instrText>
      </w:r>
      <w:r w:rsidR="00635DB9">
        <w:instrText xml:space="preserve">erent cells from the immune system and their possible molecular mechanisms.","container-title":"International Journal of Molecular Sciences","DOI":"10.3390/ijms20205028","ISSN":"1422-0067","issue":"20","journalAbbreviation":"IJMS","language":"en","page":"5028","source":"DOI.org (Crossref)","title":"Effects of Omega-3 Fatty Acids on Immune Cells","volume":"20","author":[{"family":"Gutiérrez","given":"Saray"},{"family":"Svahn","given":"Sara L"},{"family":"Johansson","given":"Maria E"}],"issued":{"date-parts":[["2019",10,11]]}}}],"schema":"https://github.com/citation-style-language/schema/raw/master/csl-citation.json"} </w:instrText>
      </w:r>
      <w:r>
        <w:fldChar w:fldCharType="separate"/>
      </w:r>
      <w:r w:rsidR="00635DB9" w:rsidRPr="00635DB9">
        <w:rPr>
          <w:rFonts w:cs="Times"/>
        </w:rPr>
        <w:t>(6)</w:t>
      </w:r>
      <w:r>
        <w:fldChar w:fldCharType="end"/>
      </w:r>
      <w:r w:rsidRPr="001976B8">
        <w:t xml:space="preserve">, and many </w:t>
      </w:r>
      <w:r w:rsidRPr="001976B8">
        <w:lastRenderedPageBreak/>
        <w:t>other benefits.</w:t>
      </w:r>
      <w:r>
        <w:t xml:space="preserve"> </w:t>
      </w:r>
      <w:r w:rsidRPr="007C5C55">
        <w:rPr>
          <w:rFonts w:ascii="Times New Roman" w:hAnsi="Times New Roman"/>
          <w:color w:val="222222"/>
          <w:lang w:val="en"/>
        </w:rPr>
        <w:t xml:space="preserve">Although </w:t>
      </w:r>
      <w:r w:rsidRPr="007C5C55">
        <w:rPr>
          <w:rFonts w:ascii="Times New Roman" w:hAnsi="Times New Roman"/>
          <w:i/>
          <w:iCs w:val="0"/>
          <w:color w:val="222222"/>
          <w:lang w:val="en"/>
        </w:rPr>
        <w:t>S. lemuru</w:t>
      </w:r>
      <w:r w:rsidRPr="007C5C55">
        <w:rPr>
          <w:rFonts w:ascii="Times New Roman" w:hAnsi="Times New Roman"/>
          <w:color w:val="222222"/>
          <w:lang w:val="en"/>
        </w:rPr>
        <w:t xml:space="preserve"> has high benefits, due to its presence on the surface of the water, it is necessary to be aware of the presence of heavy metal pollutants (such as mercury) which are harmful to human health</w:t>
      </w:r>
      <w:r>
        <w:rPr>
          <w:rFonts w:ascii="Times New Roman" w:hAnsi="Times New Roman"/>
          <w:color w:val="222222"/>
          <w:lang w:val="en"/>
        </w:rPr>
        <w:t>.</w:t>
      </w:r>
    </w:p>
    <w:p w14:paraId="5AC96F35" w14:textId="1739F6C6" w:rsidR="00122361" w:rsidRPr="00925E40" w:rsidRDefault="00122361" w:rsidP="00925E40">
      <w:pPr>
        <w:pStyle w:val="Bodytext"/>
        <w:rPr>
          <w:rFonts w:ascii="Times New Roman" w:hAnsi="Times New Roman"/>
          <w:color w:val="auto"/>
        </w:rPr>
      </w:pPr>
      <w:r w:rsidRPr="003D4352">
        <w:rPr>
          <w:rFonts w:ascii="Times New Roman" w:hAnsi="Times New Roman"/>
          <w:color w:val="222222"/>
          <w:lang w:val="en"/>
        </w:rPr>
        <w:t>It has been documented that mercury causes the death of many people in Minamata Japan due to intake of mercury-tainted seafood</w:t>
      </w:r>
      <w:r w:rsidR="00925E40">
        <w:rPr>
          <w:rFonts w:ascii="Times New Roman" w:hAnsi="Times New Roman"/>
          <w:color w:val="222222"/>
          <w:lang w:val="en"/>
        </w:rPr>
        <w:fldChar w:fldCharType="begin"/>
      </w:r>
      <w:r w:rsidR="00635DB9">
        <w:rPr>
          <w:rFonts w:ascii="Times New Roman" w:hAnsi="Times New Roman"/>
          <w:color w:val="222222"/>
          <w:lang w:val="en"/>
        </w:rPr>
        <w:instrText xml:space="preserve"> ADDIN ZOTERO_ITEM CSL_CITATION {"citationID":"Jzy6zXdv","properties":{"formattedCitation":"(7)","plainCitation":"(7)","noteIndex":0},"citationItems":[{"id":280,"uris":["http://zotero.org/users/local/9dyqp7oC/items/YICTYBYR"],"uri":["http://zotero.org/users/local/9dyqp7oC/items/YICTYBYR"],"itemData":{"id":280,"type":"book","event-place":"Rome","number-of-pages":"77-81","publisher":"West Byfleet, Surrey, Fishing News","publisher-place":"Rome","title":"Marine pollution in Japan, in Marine Pollution and Sea Life: M. Ruivo (Ed.),","author":[{"family":"Nitta","given":"T"}],"issued":{"date-parts":[["1972"]]}}}],"schema":"https://github.com/citation-style-language/schema/raw/master/csl-citation.json"} </w:instrText>
      </w:r>
      <w:r w:rsidR="00925E40">
        <w:rPr>
          <w:rFonts w:ascii="Times New Roman" w:hAnsi="Times New Roman"/>
          <w:color w:val="222222"/>
          <w:lang w:val="en"/>
        </w:rPr>
        <w:fldChar w:fldCharType="separate"/>
      </w:r>
      <w:r w:rsidR="00635DB9" w:rsidRPr="00635DB9">
        <w:rPr>
          <w:rFonts w:ascii="Times New Roman" w:hAnsi="Times New Roman"/>
        </w:rPr>
        <w:t>(7)</w:t>
      </w:r>
      <w:r w:rsidR="00925E40">
        <w:rPr>
          <w:rFonts w:ascii="Times New Roman" w:hAnsi="Times New Roman"/>
          <w:color w:val="222222"/>
          <w:lang w:val="en"/>
        </w:rPr>
        <w:fldChar w:fldCharType="end"/>
      </w:r>
      <w:r w:rsidRPr="003D4352">
        <w:rPr>
          <w:rFonts w:ascii="Times New Roman" w:hAnsi="Times New Roman"/>
          <w:color w:val="222222"/>
          <w:lang w:val="en"/>
        </w:rPr>
        <w:t>. Mercury, a poisonous metal, has been shown to accumulate biologically in the tissues of fish, and humans who consume it</w:t>
      </w:r>
      <w:r w:rsidR="00925E40">
        <w:rPr>
          <w:rFonts w:ascii="Times New Roman" w:hAnsi="Times New Roman"/>
          <w:color w:val="222222"/>
          <w:lang w:val="en"/>
        </w:rPr>
        <w:fldChar w:fldCharType="begin"/>
      </w:r>
      <w:r w:rsidR="00635DB9">
        <w:rPr>
          <w:rFonts w:ascii="Times New Roman" w:hAnsi="Times New Roman"/>
          <w:color w:val="222222"/>
          <w:lang w:val="en"/>
        </w:rPr>
        <w:instrText xml:space="preserve"> ADDIN ZOTERO_ITEM CSL_CITATION {"citationID":"HAR7CHsb","properties":{"formattedCitation":"(8)","plainCitation":"(8)","noteIndex":0},"citationItems":[{"id":275,"uris":["http://zotero.org/users/local/9dyqp7oC/items/BWFGMZY5"],"uri":["http://zotero.org/users/local/9dyqp7oC/items/BWFGMZY5"],"itemData":{"id":275,"type":"article-journal","abstract":"Dorsal muscle tissue from 712 red drum, Sciaenops ocellatus, from Florida waters were analyzed for total mercury content. Mercury levels detected in these red drum varied but in most study areas were usually lower than regulatory threshold guidelines. Total mercury levels in individual ﬁsh from all study areas ranged from 0.020 to 3.6 ppm (wet weight). Total mercury levels detected in red drum from the Florida Keys-Florida Bay area were often higher than those in ﬁsh from all other estuarine study areas. Positive relationships between total mercury levels and ﬁsh size (length and weight) and ﬁsh age were observed in most Florida study areas, indicating that mercury levels tend to increase over time as red drum grow. The majority of large, mature red drum examined contained mercury levels greater than the 0.5-ppm threshold level set by the Florida Department of Health (DOH). Approximately 94% of all adult red drum from o</w:instrText>
      </w:r>
      <w:r w:rsidR="00635DB9">
        <w:rPr>
          <w:rFonts w:ascii="Cambria Math" w:hAnsi="Cambria Math" w:cs="Cambria Math"/>
          <w:color w:val="222222"/>
          <w:lang w:val="en"/>
        </w:rPr>
        <w:instrText>ﬀ</w:instrText>
      </w:r>
      <w:r w:rsidR="00635DB9">
        <w:rPr>
          <w:rFonts w:ascii="Times New Roman" w:hAnsi="Times New Roman"/>
          <w:color w:val="222222"/>
          <w:lang w:val="en"/>
        </w:rPr>
        <w:instrText>shore waters adjacent to Tampa Bay contained mercury levels greater than or equal to the 0.5-ppm threshold level, and 64% contained levels greater than or equal to the DOH 1.5-ppm ‘‘no consumption’’ level. All ﬁsh from this area with mercury levels greater than 1.5 ppm were large individuals (P670 mm SL). Eight percent of legal-size red drum from Florida waters contained total mercury levels greater than or equal to the 0.5-ppm threshold level. The majority (52%) of these legal-size ﬁsh greater than or equal to 0.5 ppm were from the Florida Keys-Florida Bay area. In the Florida recreational ﬁshery, the current maximum size limit for this species is an e</w:instrText>
      </w:r>
      <w:r w:rsidR="00635DB9">
        <w:rPr>
          <w:rFonts w:ascii="Cambria Math" w:hAnsi="Cambria Math" w:cs="Cambria Math"/>
          <w:color w:val="222222"/>
          <w:lang w:val="en"/>
        </w:rPr>
        <w:instrText>ﬀ</w:instrText>
      </w:r>
      <w:r w:rsidR="00635DB9">
        <w:rPr>
          <w:rFonts w:ascii="Times New Roman" w:hAnsi="Times New Roman"/>
          <w:color w:val="222222"/>
          <w:lang w:val="en"/>
        </w:rPr>
        <w:instrText xml:space="preserve">ective ﬁlter that prevents humans from consuming those red drum with the greatest likelihood of containing high mercury levels.","container-title":"Marine Pollution Bulletin","DOI":"10.1016/j.marpolbul.2004.10.049","ISSN":"0025326X","issue":"3","journalAbbreviation":"Marine Pollution Bulletin","language":"en","page":"291-300","source":"DOI.org (Crossref)","title":"Mercury concentrations in red drum, Sciaenops ocellatus, from estuarine and offshore waters of Florida","volume":"50","author":[{"family":"Adams","given":"Douglas H."},{"family":"Onorato","given":"Gregory V."}],"issued":{"date-parts":[["2005",3]]}}}],"schema":"https://github.com/citation-style-language/schema/raw/master/csl-citation.json"} </w:instrText>
      </w:r>
      <w:r w:rsidR="00925E40">
        <w:rPr>
          <w:rFonts w:ascii="Times New Roman" w:hAnsi="Times New Roman"/>
          <w:color w:val="222222"/>
          <w:lang w:val="en"/>
        </w:rPr>
        <w:fldChar w:fldCharType="separate"/>
      </w:r>
      <w:r w:rsidR="00635DB9" w:rsidRPr="00635DB9">
        <w:rPr>
          <w:rFonts w:ascii="Times New Roman" w:hAnsi="Times New Roman"/>
        </w:rPr>
        <w:t>(8)</w:t>
      </w:r>
      <w:r w:rsidR="00925E40">
        <w:rPr>
          <w:rFonts w:ascii="Times New Roman" w:hAnsi="Times New Roman"/>
          <w:color w:val="222222"/>
          <w:lang w:val="en"/>
        </w:rPr>
        <w:fldChar w:fldCharType="end"/>
      </w:r>
      <w:r w:rsidRPr="003D4352">
        <w:rPr>
          <w:rFonts w:ascii="Times New Roman" w:hAnsi="Times New Roman"/>
          <w:color w:val="222222"/>
          <w:lang w:val="en"/>
        </w:rPr>
        <w:t>.</w:t>
      </w:r>
      <w:r>
        <w:rPr>
          <w:rFonts w:ascii="Times New Roman" w:hAnsi="Times New Roman"/>
          <w:color w:val="222222"/>
          <w:lang w:val="en"/>
        </w:rPr>
        <w:t xml:space="preserve"> </w:t>
      </w:r>
      <w:r w:rsidRPr="00925E40">
        <w:t>Previous studies reported that mercury is found in some waters and sediments where there is a lot of human activity</w:t>
      </w:r>
      <w:r w:rsidR="00925E40">
        <w:fldChar w:fldCharType="begin"/>
      </w:r>
      <w:r w:rsidR="00635DB9">
        <w:instrText xml:space="preserve"> ADDIN ZOTERO_ITEM CSL_CITATION {"citationID":"Va2k1qpB","properties":{"formattedCitation":"(9)","plainCitation":"(9)","noteIndex":0},"citationItems":[{"id":279,"uris":["http://zotero.org/users/local/9dyqp7oC/items/FVFI68L6"],"uri":["http://zotero.org/users/local/9dyqp7oC/items/FVFI68L6"],"itemData":{"id":279,"type":"article-journal","abstract":"The literature on the speciation of arsenic (As) in seafoods was critically reviewed. Most research has been directed toward fresh seafood products with few papers dealing with As speciation in manufactured seafoods. Predictions concerning As species made on the basis of fresh seafood products cannot be extrapolated to manufactured seafoods. Therefore, due to the numerous species of As, the scarcity of data concerning their presence in foods, the transformations each species may undergo during industrial processing and cooking, and the lack of legislation on permitted As levels in seafood products, As species in manufactured seafood products need to be determined and quantified.","container-title":"Journal of Food Protection","DOI":"10.4315/0362-028X-61.9.1240","ISSN":"0362-028X, 1944-9097","issue":"9","language":"en","page":"1240-1245","source":"DOI.org (Crossref)","title":"Arsenic Speciation in Manufactured Seafood Products","volume":"61","author":[{"family":"Vélez","given":"D."},{"family":"Montoro","given":"R."}],"issued":{"date-parts":[["1998",9,1]]}}}],"schema":"https://github.com/citation-style-language/schema/raw/master/csl-citation.json"} </w:instrText>
      </w:r>
      <w:r w:rsidR="00925E40">
        <w:fldChar w:fldCharType="separate"/>
      </w:r>
      <w:r w:rsidR="00635DB9" w:rsidRPr="00635DB9">
        <w:rPr>
          <w:rFonts w:cs="Times"/>
        </w:rPr>
        <w:t>(9)</w:t>
      </w:r>
      <w:r w:rsidR="00925E40">
        <w:fldChar w:fldCharType="end"/>
      </w:r>
      <w:r w:rsidRPr="00925E40">
        <w:t xml:space="preserve">. Mercury is also found in various marine products, such as </w:t>
      </w:r>
      <w:r w:rsidRPr="00507DE3">
        <w:rPr>
          <w:i/>
          <w:iCs w:val="0"/>
        </w:rPr>
        <w:t>Crassostrea cuculata</w:t>
      </w:r>
      <w:r w:rsidRPr="00925E40">
        <w:t xml:space="preserve"> oysters and </w:t>
      </w:r>
      <w:r w:rsidRPr="00507DE3">
        <w:rPr>
          <w:i/>
          <w:iCs w:val="0"/>
        </w:rPr>
        <w:t>Crassostrea glomerate</w:t>
      </w:r>
      <w:r w:rsidR="00925E40">
        <w:fldChar w:fldCharType="begin"/>
      </w:r>
      <w:r w:rsidR="00635DB9">
        <w:instrText xml:space="preserve"> ADDIN ZOTERO_ITEM CSL_CITATION {"citationID":"YnclBdFD","properties":{"formattedCitation":"(10)","plainCitation":"(10)","noteIndex":0},"citationItems":[{"id":277,"uris":["http://zotero.org/users/local/9dyqp7oC/items/YFL84QK5"],"uri":["http://zotero.org/users/local/9dyqp7oC/items/YFL84QK5"],"itemData":{"id":277,"type":"article-journal","container-title":"F1000Research","DOI":"https://doi.org/10.12688/f1000research.17381.2","issue":"56","page":"1-17","title":"Metallothionein expression on oysters (Crassostrea cuculata and Crassostrea glomerata) from the southern coastal region of East Java [version 2; peer review: 2 approved]","volume":"8","author":[{"family":"Hertika","given":"Asus Maizar Suryanto"},{"family":"Kusriani","given":"Kusriani"},{"family":"Indrayani","given":"Erlinda"},{"family":"Yona","given":"Defri"},{"family":"Putra","given":"Renanda Baghaz Dzulhamdhani Surya"}],"issued":{"date-parts":[["2020"]]}}}],"schema":"https://github.com/citation-style-language/schema/raw/master/csl-citation.json"} </w:instrText>
      </w:r>
      <w:r w:rsidR="00925E40">
        <w:fldChar w:fldCharType="separate"/>
      </w:r>
      <w:r w:rsidR="00635DB9" w:rsidRPr="00635DB9">
        <w:rPr>
          <w:rFonts w:cs="Times"/>
        </w:rPr>
        <w:t>(10)</w:t>
      </w:r>
      <w:r w:rsidR="00925E40">
        <w:fldChar w:fldCharType="end"/>
      </w:r>
      <w:r w:rsidRPr="00925E40">
        <w:t>. However, information on mercury content in pelagic fish in East Java and Bali waters is very limited, for example monitoring of mercury in several fish species including pelagic fish in Gresik waters (East Java)</w:t>
      </w:r>
      <w:r w:rsidR="00925E40">
        <w:fldChar w:fldCharType="begin"/>
      </w:r>
      <w:r w:rsidR="00635DB9">
        <w:instrText xml:space="preserve"> ADDIN ZOTERO_ITEM CSL_CITATION {"citationID":"1HRAi8Jv","properties":{"formattedCitation":"(11)","plainCitation":"(11)","noteIndex":0},"citationItems":[{"id":273,"uris":["http://zotero.org/users/local/9dyqp7oC/items/KNKQR2FG"],"uri":["http://zotero.org/users/local/9dyqp7oC/items/KNKQR2FG"],"itemData":{"id":273,"type":"article-journal","abstract":"A study to evaluate total mercury levels in common edible marine animals (the fishes Leiognathus equlus, Coilia dusumieri, Johnius belengerii, Mugil vaigiensis, Arius leptonotacanthus, Chanos chanos, and the shrimp Penaeus merguensis) harvested from Gresik coastal waters, Indonesia, has been carried out during 2004-2008. Concentrations of mercury in edible species from Gresik coast were relatively low compared to those in marine animals from other regions of the world. Mercury concentrations in marine animals from this area were below the current standards for human consumption (USA: ≤ 1 mg.kg-1 wet weight (ww), Japan: ≤ 0.4 mg.kg-1 ww, Europe: ≤ 0.5 and ≤ 1 mg.kg-1 ww (depending on species), and Indonesia: ≤ 0.5 mg.kg-1 ww). Assuming per capita consumption of fish in Gresik region is 0.46 kg.week-1, it seems that the mercury level found in the present study does not represent any risk to health.","container-title":"Cah. Biol. Mar","language":"en","page":"1-8","source":"Zotero","title":"Mercury concentrations in edible species harvested from Gresik coast, Indonesia and its health risk assessment","volume":"51","author":[{"family":"Soegianto","given":"Agoes"},{"family":"Moehammadi","given":"Noer"},{"family":"Irawan","given":"Bambang"},{"family":"Affandi","given":"Mochammad"},{"family":"Hamami","given":""}],"issued":{"date-parts":[["2010"]]}}}],"schema":"https://github.com/citation-style-language/schema/raw/master/csl-citation.json"} </w:instrText>
      </w:r>
      <w:r w:rsidR="00925E40">
        <w:fldChar w:fldCharType="separate"/>
      </w:r>
      <w:r w:rsidR="00635DB9" w:rsidRPr="00635DB9">
        <w:rPr>
          <w:rFonts w:cs="Times"/>
        </w:rPr>
        <w:t>(11)</w:t>
      </w:r>
      <w:r w:rsidR="00925E40">
        <w:fldChar w:fldCharType="end"/>
      </w:r>
      <w:r w:rsidRPr="00925E40">
        <w:t>.</w:t>
      </w:r>
    </w:p>
    <w:p w14:paraId="7CA82773" w14:textId="48EAD460" w:rsidR="00B03C7E" w:rsidRDefault="00122361" w:rsidP="00122361">
      <w:pPr>
        <w:pStyle w:val="Bodytext"/>
      </w:pPr>
      <w:r w:rsidRPr="003D4352">
        <w:rPr>
          <w:rFonts w:ascii="Times New Roman" w:hAnsi="Times New Roman"/>
          <w:color w:val="222222"/>
          <w:lang w:val="en"/>
        </w:rPr>
        <w:t xml:space="preserve">Limited information regarding the content of heavy metals in </w:t>
      </w:r>
      <w:r w:rsidRPr="003D4352">
        <w:rPr>
          <w:rFonts w:ascii="Times New Roman" w:hAnsi="Times New Roman"/>
          <w:i/>
          <w:iCs w:val="0"/>
          <w:color w:val="222222"/>
          <w:lang w:val="en"/>
        </w:rPr>
        <w:t>S. lemuru</w:t>
      </w:r>
      <w:r w:rsidRPr="003D4352">
        <w:rPr>
          <w:rFonts w:ascii="Times New Roman" w:hAnsi="Times New Roman"/>
          <w:color w:val="222222"/>
          <w:lang w:val="en"/>
        </w:rPr>
        <w:t xml:space="preserve"> is the reason for this study. </w:t>
      </w:r>
      <w:r w:rsidR="003F243F" w:rsidRPr="003F243F">
        <w:rPr>
          <w:rFonts w:ascii="Times New Roman" w:hAnsi="Times New Roman"/>
          <w:color w:val="222222"/>
          <w:lang w:val="en"/>
        </w:rPr>
        <w:t>The purpose of this study was to determine the concentration of mercury contained in lemuru fish and to determine the safe l</w:t>
      </w:r>
      <w:r w:rsidR="00BA379D">
        <w:rPr>
          <w:rFonts w:ascii="Times New Roman" w:hAnsi="Times New Roman"/>
          <w:color w:val="222222"/>
          <w:lang w:val="en"/>
        </w:rPr>
        <w:t>evel</w:t>
      </w:r>
      <w:r w:rsidR="003F243F" w:rsidRPr="003F243F">
        <w:rPr>
          <w:rFonts w:ascii="Times New Roman" w:hAnsi="Times New Roman"/>
          <w:color w:val="222222"/>
          <w:lang w:val="en"/>
        </w:rPr>
        <w:t xml:space="preserve"> for lemuru consumption based on </w:t>
      </w:r>
      <w:r w:rsidR="003F243F">
        <w:rPr>
          <w:rFonts w:ascii="Times New Roman" w:hAnsi="Times New Roman"/>
          <w:color w:val="222222"/>
          <w:lang w:val="en"/>
        </w:rPr>
        <w:t>Estimated Daily Intake (</w:t>
      </w:r>
      <w:r w:rsidR="003F243F" w:rsidRPr="003F243F">
        <w:rPr>
          <w:rFonts w:ascii="Times New Roman" w:hAnsi="Times New Roman"/>
          <w:color w:val="222222"/>
          <w:lang w:val="en"/>
        </w:rPr>
        <w:t>EDI</w:t>
      </w:r>
      <w:r w:rsidR="003F243F">
        <w:rPr>
          <w:rFonts w:ascii="Times New Roman" w:hAnsi="Times New Roman"/>
          <w:color w:val="222222"/>
          <w:lang w:val="en"/>
        </w:rPr>
        <w:t>)</w:t>
      </w:r>
      <w:r w:rsidR="003F243F" w:rsidRPr="003F243F">
        <w:rPr>
          <w:rFonts w:ascii="Times New Roman" w:hAnsi="Times New Roman"/>
          <w:color w:val="222222"/>
          <w:lang w:val="en"/>
        </w:rPr>
        <w:t xml:space="preserve"> and </w:t>
      </w:r>
      <w:r w:rsidR="003F243F">
        <w:rPr>
          <w:rFonts w:ascii="Times New Roman" w:hAnsi="Times New Roman"/>
          <w:color w:val="222222"/>
          <w:lang w:val="en"/>
        </w:rPr>
        <w:t>Maximum Tolerable Intake (</w:t>
      </w:r>
      <w:r w:rsidR="003F243F" w:rsidRPr="003F243F">
        <w:rPr>
          <w:rFonts w:ascii="Times New Roman" w:hAnsi="Times New Roman"/>
          <w:color w:val="222222"/>
          <w:lang w:val="en"/>
        </w:rPr>
        <w:t>MTI</w:t>
      </w:r>
      <w:r w:rsidR="003F243F">
        <w:rPr>
          <w:rFonts w:ascii="Times New Roman" w:hAnsi="Times New Roman"/>
          <w:color w:val="222222"/>
          <w:lang w:val="en"/>
        </w:rPr>
        <w:t>)</w:t>
      </w:r>
      <w:r w:rsidR="003F243F" w:rsidRPr="003F243F">
        <w:rPr>
          <w:rFonts w:ascii="Times New Roman" w:hAnsi="Times New Roman"/>
          <w:color w:val="222222"/>
          <w:lang w:val="en"/>
        </w:rPr>
        <w:t xml:space="preserve"> values so that it </w:t>
      </w:r>
      <w:r w:rsidR="00BA379D">
        <w:rPr>
          <w:rFonts w:ascii="Times New Roman" w:hAnsi="Times New Roman"/>
          <w:color w:val="222222"/>
          <w:lang w:val="en"/>
        </w:rPr>
        <w:t>might be as one information</w:t>
      </w:r>
      <w:r w:rsidR="003F243F" w:rsidRPr="003F243F">
        <w:rPr>
          <w:rFonts w:ascii="Times New Roman" w:hAnsi="Times New Roman"/>
          <w:color w:val="222222"/>
          <w:lang w:val="en"/>
        </w:rPr>
        <w:t xml:space="preserve"> for the government in food safety policy.</w:t>
      </w:r>
    </w:p>
    <w:p w14:paraId="59FE730B" w14:textId="77777777" w:rsidR="00B03C7E" w:rsidRPr="00AC24D2" w:rsidRDefault="00B03C7E" w:rsidP="00B03C7E">
      <w:pPr>
        <w:pStyle w:val="Section"/>
      </w:pPr>
      <w:r>
        <w:t xml:space="preserve">Material and </w:t>
      </w:r>
      <w:r w:rsidRPr="00AC24D2">
        <w:t>Method</w:t>
      </w:r>
    </w:p>
    <w:p w14:paraId="1DBA7254" w14:textId="2ACF9EC4" w:rsidR="00751FD8" w:rsidRDefault="006174E5" w:rsidP="00B03C7E">
      <w:pPr>
        <w:pStyle w:val="BodytextIndented"/>
        <w:ind w:firstLine="0"/>
      </w:pPr>
      <w:r w:rsidRPr="006174E5">
        <w:rPr>
          <w:i/>
          <w:iCs w:val="0"/>
          <w:shd w:val="clear" w:color="auto" w:fill="FFFFFF"/>
        </w:rPr>
        <w:t>S</w:t>
      </w:r>
      <w:r>
        <w:rPr>
          <w:i/>
          <w:iCs w:val="0"/>
          <w:shd w:val="clear" w:color="auto" w:fill="FFFFFF"/>
        </w:rPr>
        <w:t>ardinella</w:t>
      </w:r>
      <w:r w:rsidRPr="006174E5">
        <w:rPr>
          <w:i/>
          <w:iCs w:val="0"/>
          <w:shd w:val="clear" w:color="auto" w:fill="FFFFFF"/>
        </w:rPr>
        <w:t xml:space="preserve"> lemuru</w:t>
      </w:r>
      <w:r>
        <w:rPr>
          <w:shd w:val="clear" w:color="auto" w:fill="FFFFFF"/>
        </w:rPr>
        <w:t xml:space="preserve"> used </w:t>
      </w:r>
      <w:r w:rsidR="00517D68">
        <w:rPr>
          <w:shd w:val="clear" w:color="auto" w:fill="FFFFFF"/>
        </w:rPr>
        <w:t xml:space="preserve">in this study </w:t>
      </w:r>
      <w:r w:rsidR="00523D6C">
        <w:rPr>
          <w:shd w:val="clear" w:color="auto" w:fill="FFFFFF"/>
        </w:rPr>
        <w:t>represented commercially available fish specie</w:t>
      </w:r>
      <w:r>
        <w:rPr>
          <w:shd w:val="clear" w:color="auto" w:fill="FFFFFF"/>
        </w:rPr>
        <w:t>s</w:t>
      </w:r>
      <w:r w:rsidR="00523D6C">
        <w:rPr>
          <w:shd w:val="clear" w:color="auto" w:fill="FFFFFF"/>
        </w:rPr>
        <w:t xml:space="preserve"> most consumed by the community and the most abundant catch of the season. </w:t>
      </w:r>
      <w:r w:rsidR="00EE696D">
        <w:rPr>
          <w:shd w:val="clear" w:color="auto" w:fill="FFFFFF"/>
        </w:rPr>
        <w:t xml:space="preserve"> </w:t>
      </w:r>
      <w:r w:rsidR="00B03C7E" w:rsidRPr="00345F41">
        <w:t xml:space="preserve">The study sites </w:t>
      </w:r>
      <w:r w:rsidR="001548E8" w:rsidRPr="00345F41">
        <w:t>are in</w:t>
      </w:r>
      <w:r w:rsidR="00B03C7E" w:rsidRPr="00345F41">
        <w:t xml:space="preserve"> the South of East Java </w:t>
      </w:r>
      <w:r w:rsidR="001548E8">
        <w:t>and</w:t>
      </w:r>
      <w:r w:rsidR="00B03C7E" w:rsidRPr="00345F41">
        <w:t xml:space="preserve"> the Bali Strait which is known as the </w:t>
      </w:r>
      <w:r w:rsidR="00EE696D">
        <w:t>fishing ground of</w:t>
      </w:r>
      <w:r w:rsidR="00B03C7E" w:rsidRPr="00345F41">
        <w:t xml:space="preserve"> </w:t>
      </w:r>
      <w:r w:rsidR="00424D9A">
        <w:rPr>
          <w:i/>
          <w:iCs w:val="0"/>
        </w:rPr>
        <w:t>S. lemuru</w:t>
      </w:r>
      <w:r w:rsidR="00B03C7E" w:rsidRPr="00345F41">
        <w:t xml:space="preserve"> </w:t>
      </w:r>
      <w:r w:rsidR="00EE696D">
        <w:t>in Ind</w:t>
      </w:r>
      <w:r w:rsidR="00B03C7E" w:rsidRPr="00345F41">
        <w:t xml:space="preserve">onesia. </w:t>
      </w:r>
      <w:r w:rsidR="009E1D2F" w:rsidRPr="00345F41">
        <w:t>There were three sampling s</w:t>
      </w:r>
      <w:r w:rsidR="00EE696D">
        <w:t xml:space="preserve">ites of this study, i.e. </w:t>
      </w:r>
      <w:r w:rsidR="00642077">
        <w:t xml:space="preserve">Prigi </w:t>
      </w:r>
      <w:r w:rsidR="00097FAA">
        <w:t>W</w:t>
      </w:r>
      <w:r w:rsidR="00642077">
        <w:t>ater</w:t>
      </w:r>
      <w:r w:rsidR="00EE696D">
        <w:t xml:space="preserve"> (South of East Java), Muncar Water (East of East Java</w:t>
      </w:r>
      <w:r w:rsidR="00097FAA">
        <w:t xml:space="preserve">) </w:t>
      </w:r>
      <w:r w:rsidR="009E1D2F" w:rsidRPr="00345F41">
        <w:t xml:space="preserve">and </w:t>
      </w:r>
      <w:r w:rsidR="00097FAA">
        <w:t>Kedonganan (</w:t>
      </w:r>
      <w:r w:rsidR="009E1D2F" w:rsidRPr="00345F41">
        <w:t>Bali</w:t>
      </w:r>
      <w:r w:rsidR="00097FAA">
        <w:t xml:space="preserve"> Water</w:t>
      </w:r>
      <w:r>
        <w:t>)</w:t>
      </w:r>
      <w:r w:rsidR="00097FAA">
        <w:t xml:space="preserve"> </w:t>
      </w:r>
      <w:r w:rsidR="009E1D2F" w:rsidRPr="00345F41">
        <w:t>(Figure 1)</w:t>
      </w:r>
      <w:r w:rsidR="00475AA9">
        <w:t xml:space="preserve">. </w:t>
      </w:r>
      <w:r w:rsidR="00B03C7E" w:rsidRPr="00345F41">
        <w:t>Samp</w:t>
      </w:r>
      <w:r w:rsidR="00475AA9">
        <w:t xml:space="preserve">ling </w:t>
      </w:r>
      <w:r w:rsidR="00B03C7E" w:rsidRPr="00345F41">
        <w:t>was conducted from November 2019 to March 2020</w:t>
      </w:r>
      <w:r w:rsidR="00475AA9">
        <w:t>.</w:t>
      </w:r>
      <w:r w:rsidR="00097FAA">
        <w:t xml:space="preserve"> </w:t>
      </w:r>
      <w:r w:rsidR="00475AA9">
        <w:t xml:space="preserve">Fish samples </w:t>
      </w:r>
      <w:r w:rsidR="00B03C7E" w:rsidRPr="00345F41">
        <w:t>put in a plastic bag and stored in</w:t>
      </w:r>
      <w:r w:rsidR="00B03C7E">
        <w:t xml:space="preserve"> t</w:t>
      </w:r>
      <w:r w:rsidR="00345F41" w:rsidRPr="00345F41">
        <w:t>he refrigerator</w:t>
      </w:r>
      <w:r w:rsidR="00475AA9">
        <w:t>, then soon analyzed in</w:t>
      </w:r>
      <w:r w:rsidR="00345F41" w:rsidRPr="00345F41">
        <w:t xml:space="preserve"> the laboratory.</w:t>
      </w:r>
      <w:r w:rsidR="00D51377">
        <w:t xml:space="preserve"> S</w:t>
      </w:r>
      <w:r w:rsidR="00D51377" w:rsidRPr="00345F41">
        <w:t>ample preparation</w:t>
      </w:r>
      <w:r w:rsidR="00D51377">
        <w:t xml:space="preserve"> was conducted</w:t>
      </w:r>
      <w:r w:rsidR="00D51377" w:rsidRPr="00345F41">
        <w:t xml:space="preserve"> by separating the digestive tract, gills, and </w:t>
      </w:r>
      <w:r w:rsidR="00BA379D">
        <w:t>flesh</w:t>
      </w:r>
      <w:r w:rsidR="00D51377" w:rsidRPr="00345F41">
        <w:t xml:space="preserve"> from each fish then mashed and weighed up to - + </w:t>
      </w:r>
      <w:r w:rsidR="00D51377">
        <w:t>10</w:t>
      </w:r>
      <w:r w:rsidR="00D51377" w:rsidRPr="00345F41">
        <w:t xml:space="preserve">gr. The sample was then subjected to a wet digestion process using Aquaregia reagent and analysis using </w:t>
      </w:r>
      <w:r w:rsidR="00D51377" w:rsidRPr="00695019">
        <w:t xml:space="preserve">Cold Rapoun Atomic Fluorescence method </w:t>
      </w:r>
      <w:r w:rsidR="00D51377">
        <w:t xml:space="preserve">in </w:t>
      </w:r>
      <w:r w:rsidR="00D51377" w:rsidRPr="00345F41">
        <w:t>Atomic Absorption Spectroscopy (AAS)</w:t>
      </w:r>
      <w:r w:rsidR="00D51377">
        <w:t xml:space="preserve"> Shimadzu AA-6200</w:t>
      </w:r>
      <w:r w:rsidR="00D51377" w:rsidRPr="00345F41">
        <w:t>.</w:t>
      </w:r>
    </w:p>
    <w:p w14:paraId="7486C5AC" w14:textId="77777777" w:rsidR="00475AA9" w:rsidRDefault="00475AA9" w:rsidP="00B03C7E">
      <w:pPr>
        <w:pStyle w:val="BodytextIndented"/>
        <w:ind w:firstLine="0"/>
      </w:pPr>
    </w:p>
    <w:p w14:paraId="5F3C724B" w14:textId="7633DA83" w:rsidR="001976B8" w:rsidRDefault="00345F41" w:rsidP="00345F41">
      <w:pPr>
        <w:pStyle w:val="BodytextIndented"/>
        <w:keepNext/>
        <w:jc w:val="center"/>
      </w:pPr>
      <w:r>
        <w:rPr>
          <w:noProof/>
        </w:rPr>
        <w:drawing>
          <wp:inline distT="0" distB="0" distL="0" distR="0" wp14:anchorId="3FD3EEA8" wp14:editId="1EBBA81D">
            <wp:extent cx="3216063" cy="248570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94790830754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6682" cy="2509369"/>
                    </a:xfrm>
                    <a:prstGeom prst="rect">
                      <a:avLst/>
                    </a:prstGeom>
                  </pic:spPr>
                </pic:pic>
              </a:graphicData>
            </a:graphic>
          </wp:inline>
        </w:drawing>
      </w:r>
    </w:p>
    <w:p w14:paraId="3950B473" w14:textId="22831590" w:rsidR="00CB5AF5" w:rsidRPr="00535822" w:rsidRDefault="001976B8" w:rsidP="00B03C7E">
      <w:pPr>
        <w:pStyle w:val="FigureCaption"/>
        <w:spacing w:after="240"/>
      </w:pPr>
      <w:r w:rsidRPr="00535822">
        <w:t xml:space="preserve">Figure </w:t>
      </w:r>
      <w:fldSimple w:instr=" SEQ Figure \* ARABIC ">
        <w:r w:rsidR="009D4669">
          <w:rPr>
            <w:noProof/>
          </w:rPr>
          <w:t>1</w:t>
        </w:r>
      </w:fldSimple>
      <w:r w:rsidRPr="00535822">
        <w:t>.</w:t>
      </w:r>
      <w:r w:rsidR="00535822">
        <w:t xml:space="preserve"> </w:t>
      </w:r>
      <w:r w:rsidR="00205D39">
        <w:t>The three biggest f</w:t>
      </w:r>
      <w:r w:rsidR="00475AA9">
        <w:t xml:space="preserve">ish landing </w:t>
      </w:r>
      <w:r w:rsidR="00072E0A">
        <w:t xml:space="preserve">of </w:t>
      </w:r>
      <w:r w:rsidR="00475AA9" w:rsidRPr="00072E0A">
        <w:rPr>
          <w:i/>
          <w:iCs/>
        </w:rPr>
        <w:t>Sardinella lemuru</w:t>
      </w:r>
      <w:r w:rsidR="00072E0A">
        <w:t xml:space="preserve"> in East Java and Bali Water</w:t>
      </w:r>
      <w:r w:rsidR="00BA379D">
        <w:t>s</w:t>
      </w:r>
      <w:r w:rsidR="00205D39">
        <w:t xml:space="preserve">: </w:t>
      </w:r>
      <w:r w:rsidR="00072E0A">
        <w:t>Prig</w:t>
      </w:r>
      <w:r w:rsidR="00205D39">
        <w:t>i (red</w:t>
      </w:r>
      <w:r w:rsidR="00BA379D">
        <w:t xml:space="preserve"> solid</w:t>
      </w:r>
      <w:r w:rsidR="00205D39">
        <w:t xml:space="preserve"> triangle)</w:t>
      </w:r>
      <w:r w:rsidR="00072E0A">
        <w:t>, Muncar</w:t>
      </w:r>
      <w:r w:rsidR="00205D39">
        <w:t xml:space="preserve"> (yellow</w:t>
      </w:r>
      <w:r w:rsidR="00BA379D">
        <w:t xml:space="preserve"> solid</w:t>
      </w:r>
      <w:r w:rsidR="00205D39">
        <w:t xml:space="preserve"> </w:t>
      </w:r>
      <w:r w:rsidR="0096105C">
        <w:t>circle</w:t>
      </w:r>
      <w:r w:rsidR="00205D39">
        <w:t>)</w:t>
      </w:r>
      <w:r w:rsidR="00072E0A">
        <w:t xml:space="preserve"> and Kedonganan</w:t>
      </w:r>
      <w:r w:rsidR="00205D39">
        <w:t xml:space="preserve"> (green</w:t>
      </w:r>
      <w:r w:rsidR="00BA379D">
        <w:t xml:space="preserve"> solid</w:t>
      </w:r>
      <w:r w:rsidR="00205D39">
        <w:t xml:space="preserve"> square)</w:t>
      </w:r>
      <w:r w:rsidR="00072E0A">
        <w:t xml:space="preserve">. </w:t>
      </w:r>
    </w:p>
    <w:p w14:paraId="0E13C54A" w14:textId="2A1E49BC" w:rsidR="00345F41" w:rsidRDefault="003F243F" w:rsidP="003F243F">
      <w:pPr>
        <w:pStyle w:val="BodytextIndented"/>
        <w:keepNext/>
        <w:spacing w:after="240"/>
        <w:ind w:firstLine="0"/>
        <w:rPr>
          <w:lang w:val="en-GB"/>
        </w:rPr>
      </w:pPr>
      <w:r w:rsidRPr="003F243F">
        <w:lastRenderedPageBreak/>
        <w:t xml:space="preserve">After obtaining heavy metal data, </w:t>
      </w:r>
      <w:r w:rsidR="00BA379D">
        <w:t>the following analysis were done such as</w:t>
      </w:r>
      <w:r w:rsidRPr="003F243F">
        <w:t xml:space="preserve"> </w:t>
      </w:r>
      <w:r>
        <w:t>Estimated Daily Intake (</w:t>
      </w:r>
      <w:r w:rsidRPr="003F243F">
        <w:t>EDI</w:t>
      </w:r>
      <w:r>
        <w:t>)</w:t>
      </w:r>
      <w:r w:rsidRPr="003F243F">
        <w:t xml:space="preserve"> and </w:t>
      </w:r>
      <w:r>
        <w:t>Maximum Tolerable Intake (</w:t>
      </w:r>
      <w:r w:rsidRPr="003F243F">
        <w:t>MTI</w:t>
      </w:r>
      <w:r>
        <w:t xml:space="preserve">). </w:t>
      </w:r>
      <w:r w:rsidR="00345F41" w:rsidRPr="00345F41">
        <w:rPr>
          <w:lang w:val="en-GB"/>
        </w:rPr>
        <w:t xml:space="preserve">EDI is used to determine the estimation of heavy metals that enter the body within 1 day obtained by formula 1 </w:t>
      </w:r>
      <w:r w:rsidR="00B03C7E">
        <w:rPr>
          <w:lang w:val="en-GB"/>
        </w:rPr>
        <w:fldChar w:fldCharType="begin"/>
      </w:r>
      <w:r w:rsidR="00635DB9">
        <w:rPr>
          <w:lang w:val="en-GB"/>
        </w:rPr>
        <w:instrText xml:space="preserve"> ADDIN ZOTERO_ITEM CSL_CITATION {"citationID":"0HY0A0PZ","properties":{"formattedCitation":"(12)","plainCitation":"(12)","noteIndex":0},"citationItems":[{"id":49,"uris":["http://zotero.org/users/local/9dyqp7oC/items/PLUZ5KZJ"],"uri":["http://zotero.org/users/local/9dyqp7oC/items/PLUZ5KZJ"],"itemData":{"id":49,"type":"article-journal","abstract":"In this research the levels of organochlorine compounds (OCs) and mercury (Hg) in several food items from Menorca Island were presented. The dietary exposure assessment was performed in children population from the island. Finally, body burden of OCs and Hg in these infants were associated with their dietary intakes of the selected food items.","container-title":"Environmental Research","DOI":"10.1016/j.envres.2017.04.030","ISSN":"00139351","journalAbbreviation":"Environmental Research","language":"en","page":"714-724","source":"DOI.org (Crossref)","title":"Integrated assessment of infant exposure to persistent organic pollutants and mercury via dietary intake in a central western Mediterranean site (Menorca Island)","volume":"156","author":[{"family":"Junqué","given":"Eva"},{"family":"Garí","given":"Mercè"},{"family":"Arce","given":"Anna"},{"family":"Torrent","given":"Maties"},{"family":"Sunyer","given":"Jordi"},{"family":"Grimalt","given":"Joan O."}],"issued":{"date-parts":[["2017",7]]}}}],"schema":"https://github.com/citation-style-language/schema/raw/master/csl-citation.json"} </w:instrText>
      </w:r>
      <w:r w:rsidR="00B03C7E">
        <w:rPr>
          <w:lang w:val="en-GB"/>
        </w:rPr>
        <w:fldChar w:fldCharType="separate"/>
      </w:r>
      <w:r w:rsidR="00635DB9" w:rsidRPr="00635DB9">
        <w:rPr>
          <w:rFonts w:cs="Times"/>
        </w:rPr>
        <w:t>(12)</w:t>
      </w:r>
      <w:r w:rsidR="00B03C7E">
        <w:rPr>
          <w:lang w:val="en-GB"/>
        </w:rPr>
        <w:fldChar w:fldCharType="end"/>
      </w:r>
      <w:r w:rsidR="00345F41" w:rsidRPr="00345F41">
        <w:rPr>
          <w:lang w:val="en-GB"/>
        </w:rPr>
        <w:t>:</w:t>
      </w:r>
    </w:p>
    <w:p w14:paraId="06386AEB" w14:textId="564452A1" w:rsidR="00053C4D" w:rsidRDefault="00053C4D" w:rsidP="00EA790C">
      <w:pPr>
        <w:pStyle w:val="Bodytext"/>
        <w:spacing w:after="240"/>
        <w:ind w:left="1350"/>
        <w:jc w:val="center"/>
        <w:rPr>
          <w:lang w:val="en-GB"/>
        </w:rPr>
      </w:pPr>
      <m:oMath>
        <m:r>
          <w:rPr>
            <w:rFonts w:ascii="Cambria Math" w:hAnsi="Cambria Math" w:cs="Arial"/>
          </w:rPr>
          <m:t xml:space="preserve">EDI=C </m:t>
        </m:r>
        <m:d>
          <m:dPr>
            <m:ctrlPr>
              <w:rPr>
                <w:rFonts w:ascii="Cambria Math" w:hAnsi="Cambria Math" w:cs="Arial"/>
                <w:i/>
                <w:sz w:val="24"/>
                <w:szCs w:val="24"/>
              </w:rPr>
            </m:ctrlPr>
          </m:dPr>
          <m:e>
            <m:r>
              <w:rPr>
                <w:rFonts w:ascii="Cambria Math" w:hAnsi="Cambria Math" w:cs="Arial"/>
              </w:rPr>
              <m:t>mg/kg</m:t>
            </m:r>
          </m:e>
        </m:d>
        <m:r>
          <w:rPr>
            <w:rFonts w:ascii="Cambria Math" w:hAnsi="Cambria Math" w:cs="Arial"/>
          </w:rPr>
          <m:t>×daily fish consumption (g/day)</m:t>
        </m:r>
      </m:oMath>
      <w:r>
        <w:tab/>
      </w:r>
      <w:r w:rsidR="001339AD">
        <w:tab/>
      </w:r>
      <w:r w:rsidR="001339AD">
        <w:tab/>
      </w:r>
      <w:r>
        <w:t>(1)</w:t>
      </w:r>
    </w:p>
    <w:p w14:paraId="7A9D76B4" w14:textId="1A14BFE4" w:rsidR="00DF2138" w:rsidRPr="00DF2138" w:rsidRDefault="00345F41" w:rsidP="003F243F">
      <w:pPr>
        <w:pStyle w:val="Bodytext"/>
        <w:spacing w:after="240"/>
        <w:rPr>
          <w:lang w:val="en-GB"/>
        </w:rPr>
      </w:pPr>
      <w:r w:rsidRPr="00345F41">
        <w:rPr>
          <w:lang w:val="en-GB"/>
        </w:rPr>
        <w:t xml:space="preserve">C is the heavy metal concentration found in the sample; The daily fish consumption of the people of East Java is 45.2 grams/day in Bali Province, which is 37.7 grams/day </w:t>
      </w:r>
      <w:r w:rsidR="00B03C7E">
        <w:rPr>
          <w:lang w:val="en-GB"/>
        </w:rPr>
        <w:fldChar w:fldCharType="begin"/>
      </w:r>
      <w:r w:rsidR="00635DB9">
        <w:rPr>
          <w:lang w:val="en-GB"/>
        </w:rPr>
        <w:instrText xml:space="preserve"> ADDIN ZOTERO_ITEM CSL_CITATION {"citationID":"hw26tPKh","properties":{"formattedCitation":"(13)","plainCitation":"(13)","noteIndex":0},"citationItems":[{"id":97,"uris":["http://zotero.org/users/local/9dyqp7oC/items/S22VC644"],"uri":["http://zotero.org/users/local/9dyqp7oC/items/S22VC644"],"itemData":{"id":97,"type":"article","publisher":"Badan Ketahanan Pangan Kementerian Pertanian","title":"Direktori Perkembangan Konsumsi Pangan","author":[{"family":"Kementerian Pertanian","given":""}],"issued":{"date-parts":[["2019"]]}}}],"schema":"https://github.com/citation-style-language/schema/raw/master/csl-citation.json"} </w:instrText>
      </w:r>
      <w:r w:rsidR="00B03C7E">
        <w:rPr>
          <w:lang w:val="en-GB"/>
        </w:rPr>
        <w:fldChar w:fldCharType="separate"/>
      </w:r>
      <w:r w:rsidR="00635DB9" w:rsidRPr="00635DB9">
        <w:rPr>
          <w:rFonts w:cs="Times"/>
        </w:rPr>
        <w:t>(13)</w:t>
      </w:r>
      <w:r w:rsidR="00B03C7E">
        <w:rPr>
          <w:lang w:val="en-GB"/>
        </w:rPr>
        <w:fldChar w:fldCharType="end"/>
      </w:r>
      <w:r w:rsidR="00B03C7E">
        <w:rPr>
          <w:lang w:val="en-GB"/>
        </w:rPr>
        <w:t>.</w:t>
      </w:r>
      <w:r w:rsidR="003F243F">
        <w:rPr>
          <w:lang w:val="en-GB"/>
        </w:rPr>
        <w:t xml:space="preserve"> </w:t>
      </w:r>
      <w:r w:rsidRPr="00345F41">
        <w:rPr>
          <w:lang w:val="en-GB"/>
        </w:rPr>
        <w:t>MTI is used to determine the value of weekly consumption that can be tolerated by the body in units of mg/kg. Before looking for the MTI value, first, the Maximum Weekly Intake (MWI) value is calculated using formula 2:</w:t>
      </w:r>
    </w:p>
    <w:p w14:paraId="760003BE" w14:textId="184E97F8" w:rsidR="00DF2138" w:rsidRPr="00DF2138" w:rsidRDefault="001976B8" w:rsidP="00EA790C">
      <w:pPr>
        <w:pStyle w:val="Bodytext"/>
        <w:spacing w:after="240"/>
        <w:ind w:left="1260"/>
        <w:jc w:val="center"/>
        <w:rPr>
          <w:lang w:val="en-GB"/>
        </w:rPr>
      </w:pPr>
      <m:oMath>
        <m:r>
          <m:rPr>
            <m:sty m:val="p"/>
          </m:rPr>
          <w:rPr>
            <w:rFonts w:ascii="Cambria Math" w:hAnsi="Cambria Math" w:cs="Arial"/>
          </w:rPr>
          <m:t>MWI=BW×PTWI (</m:t>
        </m:r>
        <m:r>
          <w:rPr>
            <w:rFonts w:ascii="Cambria Math" w:hAnsi="Cambria Math" w:cs="Arial"/>
          </w:rPr>
          <m:t>Provisional Tolerable Weekly Intake</m:t>
        </m:r>
        <m:r>
          <m:rPr>
            <m:sty m:val="p"/>
          </m:rPr>
          <w:rPr>
            <w:rFonts w:ascii="Cambria Math" w:hAnsi="Cambria Math" w:cs="Arial"/>
          </w:rPr>
          <m:t>)</m:t>
        </m:r>
      </m:oMath>
      <w:r w:rsidR="00BD40F8">
        <w:tab/>
      </w:r>
      <w:r w:rsidR="001339AD">
        <w:tab/>
      </w:r>
      <w:r w:rsidR="00053C4D">
        <w:t>(2)</w:t>
      </w:r>
    </w:p>
    <w:p w14:paraId="1682EF14" w14:textId="770786B5" w:rsidR="00053C4D" w:rsidRPr="00053C4D" w:rsidRDefault="00345F41" w:rsidP="003F243F">
      <w:pPr>
        <w:pStyle w:val="Bodytext"/>
        <w:spacing w:after="240"/>
        <w:rPr>
          <w:lang w:val="en-GB"/>
        </w:rPr>
      </w:pPr>
      <w:r w:rsidRPr="00345F41">
        <w:rPr>
          <w:lang w:val="en-GB"/>
        </w:rPr>
        <w:t xml:space="preserve">BW is the estimated body weight of adults in Indonesia, which is 60kg. The PTWI value is the maximum tolerance limit per week issued by the WHO (World Health Organization). The PTWI value of the heavy metal mercury is 0.004 mg/kg body weight. The maximum weight limit for </w:t>
      </w:r>
      <w:r w:rsidR="00424D9A">
        <w:rPr>
          <w:i/>
          <w:iCs w:val="0"/>
          <w:lang w:val="en-GB"/>
        </w:rPr>
        <w:t>S. lemuru</w:t>
      </w:r>
      <w:r w:rsidRPr="00345F41">
        <w:rPr>
          <w:lang w:val="en-GB"/>
        </w:rPr>
        <w:t xml:space="preserve"> meat that the body can tolerate in one week (MTI) can then be calculated using the formula </w:t>
      </w:r>
      <w:r w:rsidR="00BA379D">
        <w:rPr>
          <w:lang w:val="en-GB"/>
        </w:rPr>
        <w:t>3</w:t>
      </w:r>
      <w:r w:rsidRPr="00345F41">
        <w:rPr>
          <w:lang w:val="en-GB"/>
        </w:rPr>
        <w:t xml:space="preserve"> </w:t>
      </w:r>
      <w:r w:rsidR="00B03C7E">
        <w:rPr>
          <w:lang w:val="en-GB"/>
        </w:rPr>
        <w:fldChar w:fldCharType="begin"/>
      </w:r>
      <w:r w:rsidR="00635DB9">
        <w:rPr>
          <w:lang w:val="en-GB"/>
        </w:rPr>
        <w:instrText xml:space="preserve"> ADDIN ZOTERO_ITEM CSL_CITATION {"citationID":"iWH2uPNF","properties":{"formattedCitation":"(14)","plainCitation":"(14)","noteIndex":0},"citationItems":[{"id":45,"uris":["http://zotero.org/users/local/9dyqp7oC/items/YGL8XKBA"],"uri":["http://zotero.org/users/local/9dyqp7oC/items/YGL8XKBA"],"itemData":{"id":45,"type":"article-journal","abstract":"The concentrations of cadmium, cobalt, chromium, copper, iron, manganese, nickel, lead and zinc were determined by ICP-AES in muscles and livers of 12 ﬁsh species sampled from the Marmara, Aegean and Mediterranean seas of Turkey. Iron showed the highest levels in examined tissues of all ﬁsh species. Following Fe, Zn generally showed the second highest levels. Metal concentrations in edible parts of ﬁsh species were 0.02–0.37 mg kgÀ1 for cadmium, 0.04–0.41 mg kgÀ1 for cobalt, 0.04–1.75 mg kgÀ1 for chromium, 0.32–6.48 mg kgÀ1 for copper, 7.46–40.1 mg kgÀ1 for iron, 0.10–0.99 mg kgÀ1 for manganese, 0.02–3.97 mg kgÀ1 for nickel, 0.33–0.86 mg kgÀ1 for lead, 4.49–11.2 mg kgÀ1 for zinc, respectively. All metal concentrations in livers were higher than those in muscles. In some stations, cadmium and chromium concentrations in both muscles and livers, and lead levels in livers of the examined species were higher than permissible safety levels for human uses.","container-title":"Food Chemistry","DOI":"10.1016/j.foodchem.2007.11.025","ISSN":"03088146","issue":"2","journalAbbreviation":"Food Chemistry","language":"en","note":"number: 2","page":"794-800","source":"DOI.org (Crossref)","title":"Determination of metal contaminations in sea foods from Marmara, Aegean and Mediterranean seas: Twelve fish species","title-short":"Determination of metal contaminations in sea foods from Marmara, Aegean and Mediterranean seas","volume":"108","author":[{"family":"Türkmen","given":"Mustafa"},{"family":"Türkmen","given":"Aysun"},{"family":"Tepe","given":"Yalçın"},{"family":"Ateş","given":"Alpaslan"},{"family":"Gökkuş","given":"Kutalmış"}],"issued":{"date-parts":[["2008",5]]}}}],"schema":"https://github.com/citation-style-language/schema/raw/master/csl-citation.json"} </w:instrText>
      </w:r>
      <w:r w:rsidR="00B03C7E">
        <w:rPr>
          <w:lang w:val="en-GB"/>
        </w:rPr>
        <w:fldChar w:fldCharType="separate"/>
      </w:r>
      <w:r w:rsidR="00635DB9" w:rsidRPr="00635DB9">
        <w:rPr>
          <w:rFonts w:cs="Times"/>
        </w:rPr>
        <w:t>(14)</w:t>
      </w:r>
      <w:r w:rsidR="00B03C7E">
        <w:rPr>
          <w:lang w:val="en-GB"/>
        </w:rPr>
        <w:fldChar w:fldCharType="end"/>
      </w:r>
      <w:r w:rsidRPr="00345F41">
        <w:rPr>
          <w:lang w:val="en-GB"/>
        </w:rPr>
        <w:t>:</w:t>
      </w:r>
    </w:p>
    <w:p w14:paraId="42C5354D" w14:textId="438C7186" w:rsidR="00053C4D" w:rsidRPr="00053C4D" w:rsidRDefault="00053C4D" w:rsidP="00EA790C">
      <w:pPr>
        <w:pStyle w:val="BodytextIndented"/>
        <w:spacing w:after="240"/>
        <w:ind w:left="1890" w:firstLine="0"/>
        <w:jc w:val="center"/>
        <w:rPr>
          <w:lang w:val="en-GB"/>
        </w:rPr>
      </w:pPr>
      <m:oMath>
        <m:r>
          <m:rPr>
            <m:sty m:val="p"/>
          </m:rPr>
          <w:rPr>
            <w:rFonts w:ascii="Cambria Math" w:hAnsi="Cambria Math" w:cs="Arial"/>
          </w:rPr>
          <m:t>MTI=</m:t>
        </m:r>
        <m:f>
          <m:fPr>
            <m:ctrlPr>
              <w:rPr>
                <w:rFonts w:ascii="Cambria Math" w:hAnsi="Cambria Math" w:cs="Arial"/>
                <w:sz w:val="24"/>
                <w:szCs w:val="24"/>
              </w:rPr>
            </m:ctrlPr>
          </m:fPr>
          <m:num>
            <m:r>
              <m:rPr>
                <m:sty m:val="p"/>
              </m:rPr>
              <w:rPr>
                <w:rFonts w:ascii="Cambria Math" w:hAnsi="Cambria Math" w:cs="Arial"/>
              </w:rPr>
              <m:t>MWI</m:t>
            </m:r>
          </m:num>
          <m:den>
            <m:r>
              <m:rPr>
                <m:sty m:val="p"/>
              </m:rPr>
              <w:rPr>
                <w:rFonts w:ascii="Cambria Math" w:hAnsi="Cambria Math" w:cs="Arial"/>
              </w:rPr>
              <m:t>heavy metal concentrations in fish samples</m:t>
            </m:r>
          </m:den>
        </m:f>
      </m:oMath>
      <w:r w:rsidR="001976B8">
        <w:tab/>
      </w:r>
      <w:r>
        <w:tab/>
      </w:r>
      <w:r w:rsidR="00042DBB">
        <w:tab/>
      </w:r>
      <w:r w:rsidR="001339AD">
        <w:tab/>
      </w:r>
      <w:r>
        <w:t>(3)</w:t>
      </w:r>
    </w:p>
    <w:p w14:paraId="18DF15C5" w14:textId="49CF7649" w:rsidR="00E84574" w:rsidRDefault="00345F41">
      <w:r w:rsidRPr="00345F41">
        <w:t xml:space="preserve">The results of MTI calculations can then become a consideration for the community in consuming </w:t>
      </w:r>
      <w:r w:rsidR="00884468" w:rsidRPr="00E22D8A">
        <w:rPr>
          <w:i/>
          <w:iCs/>
        </w:rPr>
        <w:t>S. lemuru</w:t>
      </w:r>
      <w:r w:rsidRPr="00345F41">
        <w:t xml:space="preserve"> in </w:t>
      </w:r>
      <w:r w:rsidR="00C971F1">
        <w:t>a</w:t>
      </w:r>
      <w:r w:rsidRPr="00345F41">
        <w:t xml:space="preserve"> week.</w:t>
      </w:r>
    </w:p>
    <w:p w14:paraId="39F1000C" w14:textId="41AB38E5" w:rsidR="00DF2138" w:rsidRDefault="007F3ACE" w:rsidP="00AC24D2">
      <w:pPr>
        <w:pStyle w:val="Section"/>
      </w:pPr>
      <w:r w:rsidRPr="00AC24D2">
        <w:t>Result</w:t>
      </w:r>
      <w:r w:rsidR="00EE2C62">
        <w:t xml:space="preserve"> and Discussion</w:t>
      </w:r>
    </w:p>
    <w:p w14:paraId="005BE434" w14:textId="25E6F7B5" w:rsidR="009E6940" w:rsidRDefault="00467448" w:rsidP="00CB3D50">
      <w:pPr>
        <w:pStyle w:val="Bodytext"/>
        <w:rPr>
          <w:lang w:val="en-GB"/>
        </w:rPr>
      </w:pPr>
      <w:r w:rsidRPr="00467448">
        <w:rPr>
          <w:lang w:val="en-GB"/>
        </w:rPr>
        <w:t xml:space="preserve">The concentration of mercury obtained in </w:t>
      </w:r>
      <w:r w:rsidR="00884468" w:rsidRPr="00424D9A">
        <w:rPr>
          <w:i/>
          <w:iCs w:val="0"/>
          <w:lang w:val="en-GB"/>
        </w:rPr>
        <w:t>S. lemuru</w:t>
      </w:r>
      <w:r w:rsidRPr="00467448">
        <w:rPr>
          <w:lang w:val="en-GB"/>
        </w:rPr>
        <w:t xml:space="preserve"> samples is shown in Figure 2. The concentration of mercury obtained at the Prigi fishing ground is 0.58 ± 0.65 mg/kg, Kedonganan fishing ground is 0.938 ± 0.45 mg/kg, and fishing ground Muncar is </w:t>
      </w:r>
      <w:r w:rsidR="00205D39">
        <w:rPr>
          <w:lang w:val="en-GB"/>
        </w:rPr>
        <w:t>u</w:t>
      </w:r>
      <w:r w:rsidRPr="00467448">
        <w:rPr>
          <w:lang w:val="en-GB"/>
        </w:rPr>
        <w:t>ndetectable.</w:t>
      </w:r>
      <w:r w:rsidR="00CB3D50">
        <w:rPr>
          <w:lang w:val="en-GB"/>
        </w:rPr>
        <w:t xml:space="preserve"> </w:t>
      </w:r>
      <w:r w:rsidRPr="00467448">
        <w:rPr>
          <w:lang w:val="en-GB"/>
        </w:rPr>
        <w:t xml:space="preserve">If a comparison is made with the concentration of mercury in fish in other locations </w:t>
      </w:r>
      <w:r w:rsidR="00C971F1">
        <w:rPr>
          <w:lang w:val="en-GB"/>
        </w:rPr>
        <w:t xml:space="preserve">in the world </w:t>
      </w:r>
      <w:r w:rsidRPr="00467448">
        <w:rPr>
          <w:lang w:val="en-GB"/>
        </w:rPr>
        <w:t xml:space="preserve">(Table </w:t>
      </w:r>
      <w:r w:rsidR="00C971F1">
        <w:rPr>
          <w:lang w:val="en-GB"/>
        </w:rPr>
        <w:t>2</w:t>
      </w:r>
      <w:r w:rsidRPr="00467448">
        <w:rPr>
          <w:lang w:val="en-GB"/>
        </w:rPr>
        <w:t>), the mercury concentration obtained in this study is quite high. The mercury concentration obtained is above the threshold value issued by BPOM and SNI, which is 0.5 mg/kg. In general, Mercury enters the waters due to human activities such as the gold craft industry around the</w:t>
      </w:r>
      <w:r w:rsidR="00C971F1">
        <w:rPr>
          <w:lang w:val="en-GB"/>
        </w:rPr>
        <w:t xml:space="preserve"> estuarine of</w:t>
      </w:r>
      <w:r w:rsidRPr="00467448">
        <w:rPr>
          <w:lang w:val="en-GB"/>
        </w:rPr>
        <w:t xml:space="preserve"> Mati</w:t>
      </w:r>
      <w:r w:rsidR="00C971F1">
        <w:rPr>
          <w:lang w:val="en-GB"/>
        </w:rPr>
        <w:t xml:space="preserve"> River</w:t>
      </w:r>
      <w:r w:rsidRPr="00467448">
        <w:rPr>
          <w:lang w:val="en-GB"/>
        </w:rPr>
        <w:t>, Badung Regency, Bali Province</w:t>
      </w:r>
      <w:r w:rsidR="00B03C7E">
        <w:rPr>
          <w:lang w:val="en-GB"/>
        </w:rPr>
        <w:fldChar w:fldCharType="begin"/>
      </w:r>
      <w:r w:rsidR="00635DB9">
        <w:rPr>
          <w:lang w:val="en-GB"/>
        </w:rPr>
        <w:instrText xml:space="preserve"> ADDIN ZOTERO_ITEM CSL_CITATION {"citationID":"7mfE9DzH","properties":{"formattedCitation":"(15)","plainCitation":"(15)","noteIndex":0},"citationItems":[{"id":18,"uris":["http://zotero.org/users/local/9dyqp7oC/items/9GHJX4BE"],"uri":["http://zotero.org/users/local/9dyqp7oC/items/9GHJX4BE"],"itemData":{"id":18,"type":"article-journal","abstract":"Human activities along the river banks such as Mati River can potentially produce pollutants that probably contain heavy metals. The heavy metals came into the river and accumulated in the sediment. This research was aimed to investigate the contains of Pb and Hg in the sediment of the Mati River. Determination of Pb and Hg content using AAS by standard addition method. Pb and Hg contents obtained were respectively 99,2 ± 0,0031 mg/kg and 142,8 ± 0,0648µg/kg. The concentration of Pb and Hg in the Mati River estuary is above threshold line.","container-title":"Journal of Applied Chemistry","language":"id","page":"5","source":"Zotero","title":"KANDUNGAN LOGAM Pb DAN Hg DALAM SEDIMEN DI MUARA SUNGAI MATIKABUPATEN BADUNG BALI","volume":"3","author":[{"family":"Sumekar","given":"Henu"},{"family":"Suprihatin","given":"Iryanti E"},{"family":"Irdhawati","given":""}],"issued":{"date-parts":[["2015"]]}}}],"schema":"https://github.com/citation-style-language/schema/raw/master/csl-citation.json"} </w:instrText>
      </w:r>
      <w:r w:rsidR="00B03C7E">
        <w:rPr>
          <w:lang w:val="en-GB"/>
        </w:rPr>
        <w:fldChar w:fldCharType="separate"/>
      </w:r>
      <w:r w:rsidR="00635DB9" w:rsidRPr="00635DB9">
        <w:rPr>
          <w:rFonts w:cs="Times"/>
        </w:rPr>
        <w:t>(15)</w:t>
      </w:r>
      <w:r w:rsidR="00B03C7E">
        <w:rPr>
          <w:lang w:val="en-GB"/>
        </w:rPr>
        <w:fldChar w:fldCharType="end"/>
      </w:r>
      <w:r w:rsidR="00EA11D8">
        <w:rPr>
          <w:lang w:val="en-GB"/>
        </w:rPr>
        <w:t xml:space="preserve"> </w:t>
      </w:r>
      <w:r w:rsidR="00EA11D8" w:rsidRPr="00EA11D8">
        <w:rPr>
          <w:lang w:val="en-GB"/>
        </w:rPr>
        <w:t xml:space="preserve">and can also be sourced from gold mining activities that produce mercury waste and are carried by rivers and </w:t>
      </w:r>
      <w:r w:rsidR="00424D9A">
        <w:rPr>
          <w:lang w:val="en-GB"/>
        </w:rPr>
        <w:t>toward</w:t>
      </w:r>
      <w:r w:rsidR="00EA11D8" w:rsidRPr="00EA11D8">
        <w:rPr>
          <w:lang w:val="en-GB"/>
        </w:rPr>
        <w:t xml:space="preserve"> into the sea</w:t>
      </w:r>
      <w:r w:rsidR="00EA11D8">
        <w:rPr>
          <w:lang w:val="en-GB"/>
        </w:rPr>
        <w:fldChar w:fldCharType="begin"/>
      </w:r>
      <w:r w:rsidR="00635DB9">
        <w:rPr>
          <w:lang w:val="en-GB"/>
        </w:rPr>
        <w:instrText xml:space="preserve"> ADDIN ZOTERO_ITEM CSL_CITATION {"citationID":"lVPW3V1h","properties":{"formattedCitation":"(16)","plainCitation":"(16)","noteIndex":0},"citationItems":[{"id":271,"uris":["http://zotero.org/users/local/9dyqp7oC/items/YUIZKCZN"],"uri":["http://zotero.org/users/local/9dyqp7oC/items/YUIZKCZN"],"itemData":{"id":271,"type":"article-journal","abstract":"Background. The primary environmental risk associated with artisanal small-scale gold mining (ASGM) activities in Sekotong and Taliwang is waste discharged directly into the environment. This waste contains variable concentrations of heavy metals and a high level of mercury. When these elements are released into the environment, plants and animals can be contaminated. If mercury is methylated to methylmercury, levels can increase in concentration at each level of the food chain (biomagnify). Fish are a primary risk vector for methylmercury poisoning in humans, and represent a significant source of protein for the Sekotong and Taliwang communities.\nObjectives. The present study aimed to identify the concentration of mercury in fish from ASGM sites in Sekotong and Taliwang.\nMethods. Descriptive research was used to describe the mercury concentrations of fish in the present study. The fish species collected for the samples represented commercially available fish most commonly consumed by the community on a daily basis.\nResults. In Sekotong’s ASGM area, the mercury concentration in Pilsbryoconcha exilis tissue was 596 ppb, 721 ppb for Sephia officinalis and 50% of the Euthynnus affinis samples had a high level of mercury, above the World Health Organization (WHO) maximum permissable limit for the sale of fish for human consumption of 0.5 ppb.\nConclusions. Some fish species from the studied ASGM sites had high mercury concentrations above the maximum permissible mercury concentration in edible fish tissue. The risks associated with mercury exposure from ﬁsh consumption threaten community health. Ethics Approval. All experiments were performed in accordance with relevant local guidelines and regulations. Competing Interests. The authors declare no competing financial interests.","container-title":"Journal of Health and Pollution","DOI":"10.5696/2156-9614-9.21.190302","ISSN":"2156-9614","issue":"21","journalAbbreviation":"Journal of Health and Pollution","language":"en","page":"1-10","source":"DOI.org (Crossref)","title":"Risk of Mercury Exposure from Fish Consumption at Artisanal Small-Scale Gold Mining Areas in West Nusa Tenggara, Indonesia","volume":"9","author":[{"family":"Junaidi","given":"Muhammad"},{"family":"Krisnayanti","given":"Baiq Dewi"},{"family":"Anderson","given":"Christopher"}],"issued":{"date-parts":[["2019",3]]}}}],"schema":"https://github.com/citation-style-language/schema/raw/master/csl-citation.json"} </w:instrText>
      </w:r>
      <w:r w:rsidR="00EA11D8">
        <w:rPr>
          <w:lang w:val="en-GB"/>
        </w:rPr>
        <w:fldChar w:fldCharType="separate"/>
      </w:r>
      <w:r w:rsidR="00635DB9" w:rsidRPr="00635DB9">
        <w:rPr>
          <w:rFonts w:cs="Times"/>
        </w:rPr>
        <w:t>(16)</w:t>
      </w:r>
      <w:r w:rsidR="00EA11D8">
        <w:rPr>
          <w:lang w:val="en-GB"/>
        </w:rPr>
        <w:fldChar w:fldCharType="end"/>
      </w:r>
      <w:r w:rsidRPr="00467448">
        <w:rPr>
          <w:lang w:val="en-GB"/>
        </w:rPr>
        <w:t xml:space="preserve">, a mixture of facial / skin whitening ingredients (cosmetics), gold mining/gold processing waste, electrical equipment, antiseptic, diuretic, anti-fungal, insect repellent, and can be used as a preservative in vaccines </w:t>
      </w:r>
      <w:r w:rsidR="00B03C7E">
        <w:rPr>
          <w:lang w:val="en-GB"/>
        </w:rPr>
        <w:fldChar w:fldCharType="begin"/>
      </w:r>
      <w:r w:rsidR="00635DB9">
        <w:rPr>
          <w:lang w:val="en-GB"/>
        </w:rPr>
        <w:instrText xml:space="preserve"> ADDIN ZOTERO_ITEM CSL_CITATION {"citationID":"yOx4Z330","properties":{"formattedCitation":"(17)","plainCitation":"(17)","noteIndex":0},"citationItems":[{"id":121,"uris":["http://zotero.org/users/local/9dyqp7oC/items/9QAZ9CJ4"],"uri":["http://zotero.org/users/local/9dyqp7oC/items/9QAZ9CJ4"],"itemData":{"id":121,"type":"article-journal","container-title":"Critical Reviews in Toxicology","DOI":"10.1080/10408440600845619","ISSN":"1040-8444, 1547-6898","issue":"8","journalAbbreviation":"Critical Reviews in Toxicology","language":"en","page":"609-662","source":"DOI.org (Crossref)","title":"The Toxicology of Mercury and Its Chemical Compounds","volume":"36","author":[{"family":"Clarkson","given":"Thomas W."},{"family":"Magos","given":"Laszlo"}],"issued":{"date-parts":[["2006",1]]}}}],"schema":"https://github.com/citation-style-language/schema/raw/master/csl-citation.json"} </w:instrText>
      </w:r>
      <w:r w:rsidR="00B03C7E">
        <w:rPr>
          <w:lang w:val="en-GB"/>
        </w:rPr>
        <w:fldChar w:fldCharType="separate"/>
      </w:r>
      <w:r w:rsidR="00635DB9" w:rsidRPr="00635DB9">
        <w:rPr>
          <w:rFonts w:cs="Times"/>
        </w:rPr>
        <w:t>(17)</w:t>
      </w:r>
      <w:r w:rsidR="00B03C7E">
        <w:rPr>
          <w:lang w:val="en-GB"/>
        </w:rPr>
        <w:fldChar w:fldCharType="end"/>
      </w:r>
      <w:r w:rsidR="00B03C7E">
        <w:rPr>
          <w:lang w:val="en-GB"/>
        </w:rPr>
        <w:t>.</w:t>
      </w:r>
    </w:p>
    <w:p w14:paraId="079C0836" w14:textId="1E461380" w:rsidR="00CB3D50" w:rsidRDefault="00CB3D50" w:rsidP="00CB3D50">
      <w:pPr>
        <w:pStyle w:val="Bodytext"/>
      </w:pPr>
      <w:r w:rsidRPr="00467448">
        <w:t xml:space="preserve">In </w:t>
      </w:r>
      <w:r w:rsidR="00BA379D">
        <w:t>present</w:t>
      </w:r>
      <w:r w:rsidRPr="00467448">
        <w:t xml:space="preserve"> study, a negative correlation was found between the concentration of heavy metals in </w:t>
      </w:r>
      <w:r w:rsidRPr="00E22D8A">
        <w:rPr>
          <w:i/>
          <w:iCs w:val="0"/>
        </w:rPr>
        <w:t>S. lemuru</w:t>
      </w:r>
      <w:r w:rsidRPr="00467448">
        <w:t xml:space="preserve"> and fish size (Figure 3). The Pearson coefficient value obtained is 0.392 which means that there is a weak correlation. The negative correlation between heavy metal concentrations and fish size does not necessarily mean that fish do not receive heavy metal concentrations at the beginning of their life phase, and absorb heavy metals when they are large; conversely, it is determined by the variation in feeding rate with the developmental stages of individual fish</w:t>
      </w:r>
      <w:r>
        <w:fldChar w:fldCharType="begin"/>
      </w:r>
      <w:r w:rsidR="00635DB9">
        <w:instrText xml:space="preserve"> ADDIN ZOTERO_ITEM CSL_CITATION {"citationID":"DZws5wrl","properties":{"formattedCitation":"(18)","plainCitation":"(18)","noteIndex":0},"citationItems":[{"id":113,"uris":["http://zotero.org/users/local/9dyqp7oC/items/JFM68EWX"],"uri":["http://zotero.org/users/local/9dyqp7oC/items/JFM68EWX"],"itemData":{"id":113,"type":"article-journal","abstract":"Concentrations of cadmium, copper, mercury, lead and zinc were determined by atomic absorption spectrophotometry in the muscle, gill and liver of bream Abramis brama L. to study the relationship between the heavy metal load of ﬁsh and their age and size, and the seasonal variation of pollutant loads. Fish were collected from the Western basin of Lake Balaton (Hungary) in October 1999 and May 2000. The average metal concentrations of different organs varied in the following ranges: Cd 0.42–2.10; Cu 1.77–56.2; Hg 0.01–0.19; Pb 0.44–3.24; Zn 10.9–82:5 mg gÀ1 dry weight. The highest Cd, Cu, Pb and Zn concentrations were detected in the gill or liver of ﬁsh, whereas the highest Hg concentrations were measured in the muscle. In the liver of bream for cadmium, copper and mercury the Pearson correlation analysis revealed positive associations related to age and size (length, net weight), as well as for the mercury load of all three investigated organs. In the muscle and gill the copper, lead and zinc concentrations, similarly to the lead and zinc concentrations of the liver, the associations related to age and size were negative. The correlations between the heavy metal concentrations of organs and the individual condition factors of ﬁsh samples proved to have opposite trends compared to those related to the age and size of ﬁsh. The seasonal variations in the heavy metal load of bream could be attributed rather to the seasonal change in the condition factor of ﬁsh than to variations in the pollutant load of the site.","container-title":"Water Research","DOI":"10.1016/S0043-1354(02)00447-5","ISSN":"00431354","issue":"5","journalAbbreviation":"Water Research","language":"en","page":"959-964","source":"DOI.org (Crossref)","title":"Age and size specific patterns of heavy metals in the organs of freshwater fish Abramis brama L. populating a low-contaminated site","volume":"37","author":[{"family":"Farkas","given":"Anna"},{"family":"Salánki","given":"János"},{"family":"Specziár","given":"András"}],"issued":{"date-parts":[["2003",3]]}}}],"schema":"https://github.com/citation-style-language/schema/raw/master/csl-citation.json"} </w:instrText>
      </w:r>
      <w:r>
        <w:fldChar w:fldCharType="separate"/>
      </w:r>
      <w:r w:rsidR="00635DB9" w:rsidRPr="00635DB9">
        <w:rPr>
          <w:rFonts w:cs="Times"/>
        </w:rPr>
        <w:t>(18)</w:t>
      </w:r>
      <w:r>
        <w:fldChar w:fldCharType="end"/>
      </w:r>
      <w:r w:rsidRPr="00467448">
        <w:t>.</w:t>
      </w:r>
      <w:r>
        <w:t xml:space="preserve"> </w:t>
      </w:r>
      <w:r w:rsidRPr="00467448">
        <w:t>The concentration of heavy metals contained in fish depends on the balance between absorption and release of heavy metals, both of which are influenced by various factors such as habitat, location, feeding behavior, and life stage of the fish. Young individuals with high dietary and metabolic activity showed a higher accumulation of heavy metals when compared to older fish</w:t>
      </w:r>
      <w:r>
        <w:fldChar w:fldCharType="begin"/>
      </w:r>
      <w:r w:rsidR="00635DB9">
        <w:instrText xml:space="preserve"> ADDIN ZOTERO_ITEM CSL_CITATION {"citationID":"GoLgVIyV","properties":{"formattedCitation":"(19)","plainCitation":"(19)","noteIndex":0},"citationItems":[{"id":115,"uris":["http://zotero.org/users/local/9dyqp7oC/items/Z6P2R8JH"],"uri":["http://zotero.org/users/local/9dyqp7oC/items/Z6P2R8JH"],"itemData":{"id":115,"type":"article-journal","container-title":"Ecotoxicology","DOI":"10.1007/s10646-015-1451-7","ISSN":"0963-9292, 1573-3017","issue":"7-8","journalAbbreviation":"Ecotoxicology","language":"en","page":"1583-1592","source":"DOI.org (Crossref)","title":"Heavy metals in wild marine fish from South China Sea: levels, tissue- and species-specific accumulation and potential risk to humans","title-short":"Heavy metals in wild marine fish from South China Sea","volume":"24","author":[{"family":"Liu","given":"Jin-Ling"},{"family":"Xu","given":"Xiang-Rong"},{"family":"Ding","given":"Zhen-Hua"},{"family":"Peng","given":"Jia-Xi"},{"family":"Jin","given":"Ming-Hua"},{"family":"Wang","given":"You-Shao"},{"family":"Hong","given":"Yi-Guo"},{"family":"Yue","given":"Wei-Zhong"}],"issued":{"date-parts":[["2015",10]]}}}],"schema":"https://github.com/citation-style-language/schema/raw/master/csl-citation.json"} </w:instrText>
      </w:r>
      <w:r>
        <w:fldChar w:fldCharType="separate"/>
      </w:r>
      <w:r w:rsidR="00635DB9" w:rsidRPr="00635DB9">
        <w:rPr>
          <w:rFonts w:cs="Times"/>
        </w:rPr>
        <w:t>(19)</w:t>
      </w:r>
      <w:r>
        <w:fldChar w:fldCharType="end"/>
      </w:r>
      <w:r>
        <w:t>.</w:t>
      </w:r>
      <w:r w:rsidRPr="00467448">
        <w:t xml:space="preserve"> High concentrations of </w:t>
      </w:r>
      <w:r w:rsidRPr="00C971F1">
        <w:t>mercury</w:t>
      </w:r>
      <w:r w:rsidRPr="00467448">
        <w:t xml:space="preserve"> were also present in a study conducted by </w:t>
      </w:r>
      <w:r>
        <w:fldChar w:fldCharType="begin"/>
      </w:r>
      <w:r w:rsidR="00635DB9">
        <w:instrText xml:space="preserve"> ADDIN ZOTERO_ITEM CSL_CITATION {"citationID":"PurUxB2H","properties":{"formattedCitation":"(20)","plainCitation":"(20)","noteIndex":0},"citationItems":[{"id":129,"uris":["http://zotero.org/users/local/9dyqp7oC/items/RULJRKSI"],"uri":["http://zotero.org/users/local/9dyqp7oC/items/RULJRKSI"],"itemData":{"id":129,"type":"article-journal","container-title":"Food Additives and Contaminants: Part B","DOI":"10.4995/ia.2014.3293","ISSN":"1886-4996, 1134-2196","issue":"1","journalAbbreviation":"ing.agua","language":"en","page":"ix","source":"DOI.org (Crossref)","title":"Monitoring programme on cadmium, lead and mercury in fish and seafood from Valencia, Spain: levels and estimated weekly intake","volume":"1","author":[{"family":"Yusa","given":"V"},{"family":"Suelves","given":"T"},{"family":"Ruiz-Atienza","given":"L"},{"family":"Cervera","given":"M.L"},{"family":"Benedito","given":"V"},{"family":"Pastor","given":"A"}],"issued":{"date-parts":[["2008",7]]}}}],"schema":"https://github.com/citation-style-language/schema/raw/master/csl-citation.json"} </w:instrText>
      </w:r>
      <w:r>
        <w:fldChar w:fldCharType="separate"/>
      </w:r>
      <w:r w:rsidR="00635DB9" w:rsidRPr="00635DB9">
        <w:rPr>
          <w:rFonts w:cs="Times"/>
        </w:rPr>
        <w:t>(20)</w:t>
      </w:r>
      <w:r>
        <w:fldChar w:fldCharType="end"/>
      </w:r>
      <w:r>
        <w:t xml:space="preserve"> </w:t>
      </w:r>
      <w:r w:rsidRPr="00467448">
        <w:t>on Luvar fish (</w:t>
      </w:r>
      <w:r w:rsidRPr="009D4669">
        <w:rPr>
          <w:i/>
          <w:iCs w:val="0"/>
        </w:rPr>
        <w:t>Luvarus imperialis</w:t>
      </w:r>
      <w:r w:rsidRPr="00467448">
        <w:t>) and tuna fish (</w:t>
      </w:r>
      <w:r w:rsidRPr="00C971F1">
        <w:rPr>
          <w:i/>
          <w:iCs w:val="0"/>
        </w:rPr>
        <w:t>Thunnus spp.</w:t>
      </w:r>
      <w:r w:rsidRPr="00467448">
        <w:t>)</w:t>
      </w:r>
      <w:r>
        <w:t>, h</w:t>
      </w:r>
      <w:r w:rsidRPr="00467448">
        <w:t>eavy metals can accumulate in the fish body through the bioaccumulation process.</w:t>
      </w:r>
    </w:p>
    <w:p w14:paraId="507EE726" w14:textId="420A2CFB" w:rsidR="00535822" w:rsidRDefault="00C971F1" w:rsidP="00535822">
      <w:pPr>
        <w:keepNext/>
        <w:jc w:val="center"/>
      </w:pPr>
      <w:r>
        <w:rPr>
          <w:noProof/>
        </w:rPr>
        <w:lastRenderedPageBreak/>
        <w:drawing>
          <wp:inline distT="0" distB="0" distL="0" distR="0" wp14:anchorId="1B6C781F" wp14:editId="35AAE61B">
            <wp:extent cx="3083668" cy="1770032"/>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2712" r="1728" b="4711"/>
                    <a:stretch/>
                  </pic:blipFill>
                  <pic:spPr bwMode="auto">
                    <a:xfrm>
                      <a:off x="0" y="0"/>
                      <a:ext cx="3114315" cy="1787623"/>
                    </a:xfrm>
                    <a:prstGeom prst="rect">
                      <a:avLst/>
                    </a:prstGeom>
                    <a:noFill/>
                    <a:ln>
                      <a:noFill/>
                    </a:ln>
                    <a:extLst>
                      <a:ext uri="{53640926-AAD7-44D8-BBD7-CCE9431645EC}">
                        <a14:shadowObscured xmlns:a14="http://schemas.microsoft.com/office/drawing/2010/main"/>
                      </a:ext>
                    </a:extLst>
                  </pic:spPr>
                </pic:pic>
              </a:graphicData>
            </a:graphic>
          </wp:inline>
        </w:drawing>
      </w:r>
    </w:p>
    <w:p w14:paraId="5DE65701" w14:textId="2305336F" w:rsidR="00CB5AF5" w:rsidRPr="00535822" w:rsidRDefault="00C971F1" w:rsidP="00C971F1">
      <w:pPr>
        <w:pStyle w:val="FigureCaption"/>
        <w:spacing w:after="240"/>
        <w:ind w:left="810" w:hanging="782"/>
        <w:jc w:val="both"/>
      </w:pPr>
      <w:r w:rsidRPr="00535822">
        <w:t xml:space="preserve">Figure </w:t>
      </w:r>
      <w:r w:rsidR="00607C38">
        <w:fldChar w:fldCharType="begin"/>
      </w:r>
      <w:r w:rsidR="00607C38">
        <w:instrText xml:space="preserve"> SEQ Figure \* ARABIC </w:instrText>
      </w:r>
      <w:r w:rsidR="00607C38">
        <w:fldChar w:fldCharType="separate"/>
      </w:r>
      <w:r>
        <w:rPr>
          <w:noProof/>
        </w:rPr>
        <w:t>2</w:t>
      </w:r>
      <w:r w:rsidR="00607C38">
        <w:rPr>
          <w:noProof/>
        </w:rPr>
        <w:fldChar w:fldCharType="end"/>
      </w:r>
      <w:r w:rsidRPr="00535822">
        <w:t xml:space="preserve">. </w:t>
      </w:r>
      <w:r>
        <w:t>M</w:t>
      </w:r>
      <w:r w:rsidRPr="00535822">
        <w:t xml:space="preserve">ercury concentrations in </w:t>
      </w:r>
      <w:r w:rsidRPr="00302F10">
        <w:rPr>
          <w:i/>
          <w:iCs/>
        </w:rPr>
        <w:t>S. lemuru</w:t>
      </w:r>
      <w:r>
        <w:t xml:space="preserve"> caught in Prigi, Muncar, and Kedonganan fishing ground. Mercury concentration </w:t>
      </w:r>
      <w:r w:rsidR="00635DB9">
        <w:t>found is</w:t>
      </w:r>
      <w:r>
        <w:t xml:space="preserve"> exceeded the safe threshold.</w:t>
      </w:r>
    </w:p>
    <w:p w14:paraId="56686E34" w14:textId="50F84508" w:rsidR="00C971F1" w:rsidRDefault="000D5460" w:rsidP="00EA790C">
      <w:pPr>
        <w:pStyle w:val="BodytextIndented"/>
        <w:keepNext/>
        <w:ind w:firstLine="0"/>
        <w:jc w:val="center"/>
      </w:pPr>
      <w:r>
        <w:rPr>
          <w:noProof/>
        </w:rPr>
        <w:drawing>
          <wp:inline distT="0" distB="0" distL="0" distR="0" wp14:anchorId="65AD9C18" wp14:editId="6FFA2F6F">
            <wp:extent cx="2519464" cy="25385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39" t="1102" r="1902" b="2897"/>
                    <a:stretch/>
                  </pic:blipFill>
                  <pic:spPr bwMode="auto">
                    <a:xfrm>
                      <a:off x="0" y="0"/>
                      <a:ext cx="2526890" cy="2546010"/>
                    </a:xfrm>
                    <a:prstGeom prst="rect">
                      <a:avLst/>
                    </a:prstGeom>
                    <a:noFill/>
                    <a:ln>
                      <a:noFill/>
                    </a:ln>
                    <a:extLst>
                      <a:ext uri="{53640926-AAD7-44D8-BBD7-CCE9431645EC}">
                        <a14:shadowObscured xmlns:a14="http://schemas.microsoft.com/office/drawing/2010/main"/>
                      </a:ext>
                    </a:extLst>
                  </pic:spPr>
                </pic:pic>
              </a:graphicData>
            </a:graphic>
          </wp:inline>
        </w:drawing>
      </w:r>
    </w:p>
    <w:p w14:paraId="07156040" w14:textId="35A76D8B" w:rsidR="00467448" w:rsidRPr="009D4669" w:rsidRDefault="009D4669" w:rsidP="009D4669">
      <w:pPr>
        <w:pStyle w:val="Caption"/>
        <w:jc w:val="center"/>
        <w:rPr>
          <w:i w:val="0"/>
          <w:iCs w:val="0"/>
          <w:color w:val="auto"/>
          <w:sz w:val="22"/>
          <w:szCs w:val="22"/>
        </w:rPr>
      </w:pPr>
      <w:r w:rsidRPr="009D4669">
        <w:rPr>
          <w:i w:val="0"/>
          <w:iCs w:val="0"/>
          <w:color w:val="auto"/>
          <w:sz w:val="22"/>
          <w:szCs w:val="22"/>
        </w:rPr>
        <w:t xml:space="preserve">Figure </w:t>
      </w:r>
      <w:r w:rsidRPr="009D4669">
        <w:rPr>
          <w:i w:val="0"/>
          <w:iCs w:val="0"/>
          <w:color w:val="auto"/>
          <w:sz w:val="22"/>
          <w:szCs w:val="22"/>
        </w:rPr>
        <w:fldChar w:fldCharType="begin"/>
      </w:r>
      <w:r w:rsidRPr="009D4669">
        <w:rPr>
          <w:i w:val="0"/>
          <w:iCs w:val="0"/>
          <w:color w:val="auto"/>
          <w:sz w:val="22"/>
          <w:szCs w:val="22"/>
        </w:rPr>
        <w:instrText xml:space="preserve"> SEQ Figure \* ARABIC </w:instrText>
      </w:r>
      <w:r w:rsidRPr="009D4669">
        <w:rPr>
          <w:i w:val="0"/>
          <w:iCs w:val="0"/>
          <w:color w:val="auto"/>
          <w:sz w:val="22"/>
          <w:szCs w:val="22"/>
        </w:rPr>
        <w:fldChar w:fldCharType="separate"/>
      </w:r>
      <w:r w:rsidRPr="009D4669">
        <w:rPr>
          <w:i w:val="0"/>
          <w:iCs w:val="0"/>
          <w:noProof/>
          <w:color w:val="auto"/>
          <w:sz w:val="22"/>
          <w:szCs w:val="22"/>
        </w:rPr>
        <w:t>3</w:t>
      </w:r>
      <w:r w:rsidRPr="009D4669">
        <w:rPr>
          <w:i w:val="0"/>
          <w:iCs w:val="0"/>
          <w:color w:val="auto"/>
          <w:sz w:val="22"/>
          <w:szCs w:val="22"/>
        </w:rPr>
        <w:fldChar w:fldCharType="end"/>
      </w:r>
      <w:r w:rsidRPr="009D4669">
        <w:rPr>
          <w:i w:val="0"/>
          <w:iCs w:val="0"/>
          <w:color w:val="auto"/>
          <w:sz w:val="22"/>
          <w:szCs w:val="22"/>
        </w:rPr>
        <w:t xml:space="preserve">. </w:t>
      </w:r>
      <w:r w:rsidR="00C971F1">
        <w:rPr>
          <w:i w:val="0"/>
          <w:iCs w:val="0"/>
          <w:color w:val="auto"/>
          <w:sz w:val="22"/>
          <w:szCs w:val="22"/>
        </w:rPr>
        <w:t>Weak c</w:t>
      </w:r>
      <w:r w:rsidR="00C971F1" w:rsidRPr="009D4669">
        <w:rPr>
          <w:i w:val="0"/>
          <w:iCs w:val="0"/>
          <w:color w:val="auto"/>
          <w:sz w:val="22"/>
          <w:szCs w:val="22"/>
        </w:rPr>
        <w:t>orrelation between fish length and</w:t>
      </w:r>
      <w:r w:rsidR="00C971F1">
        <w:rPr>
          <w:i w:val="0"/>
          <w:iCs w:val="0"/>
          <w:color w:val="auto"/>
          <w:sz w:val="22"/>
          <w:szCs w:val="22"/>
        </w:rPr>
        <w:t xml:space="preserve"> mercury </w:t>
      </w:r>
      <w:r w:rsidR="00C971F1" w:rsidRPr="009D4669">
        <w:rPr>
          <w:i w:val="0"/>
          <w:iCs w:val="0"/>
          <w:color w:val="auto"/>
          <w:sz w:val="22"/>
          <w:szCs w:val="22"/>
        </w:rPr>
        <w:t>concentration</w:t>
      </w:r>
      <w:r w:rsidR="00C971F1">
        <w:rPr>
          <w:i w:val="0"/>
          <w:iCs w:val="0"/>
          <w:color w:val="auto"/>
          <w:sz w:val="22"/>
          <w:szCs w:val="22"/>
        </w:rPr>
        <w:t>.</w:t>
      </w:r>
    </w:p>
    <w:p w14:paraId="1AE30A29" w14:textId="628B7E60" w:rsidR="00467448" w:rsidRDefault="00467448" w:rsidP="00467448">
      <w:pPr>
        <w:pStyle w:val="BodytextIndented"/>
        <w:ind w:firstLine="0"/>
      </w:pPr>
      <w:r>
        <w:t>The estimated daily intake (EDI) obtained was above the PTDI (Provisional Tolerable Daily Intake) value</w:t>
      </w:r>
      <w:r w:rsidR="00F8112B">
        <w:t xml:space="preserve">  issued by </w:t>
      </w:r>
      <w:r>
        <w:t>WHO</w:t>
      </w:r>
      <w:bookmarkStart w:id="1" w:name="_GoBack"/>
      <w:bookmarkEnd w:id="1"/>
      <w:r w:rsidR="00F8112B">
        <w:t xml:space="preserve"> as</w:t>
      </w:r>
      <w:r>
        <w:t xml:space="preserve"> 0.000</w:t>
      </w:r>
      <w:r w:rsidR="00821AEC">
        <w:t>57</w:t>
      </w:r>
      <w:r>
        <w:t xml:space="preserve"> mg/kg/day (Table 1). This value states that the concentration of heavy metals that enter the body in one day is already above the body's tolerance value for heavy metal mercury, of course, this can affect the health of the consumer's body</w:t>
      </w:r>
      <w:r w:rsidR="00B03C7E">
        <w:fldChar w:fldCharType="begin"/>
      </w:r>
      <w:r w:rsidR="00635DB9">
        <w:instrText xml:space="preserve"> ADDIN ZOTERO_ITEM CSL_CITATION {"citationID":"ZrrT9iSa","properties":{"formattedCitation":"(21)","plainCitation":"(21)","noteIndex":0},"citationItems":[{"id":99,"uris":["http://zotero.org/users/local/9dyqp7oC/items/3UR3S7QM"],"uri":["http://zotero.org/users/local/9dyqp7oC/items/3UR3S7QM"],"itemData":{"id":99,"type":"article-journal","abstract":"Banyuurip is one of villages in Ujung Pangkah District, Gresik with high aquaculture activities of Perna viridis. Green mussels are highly produced in that area, however Banyuurip waters also has potential risk of heavy metals pollution. Therefore, this research was conducted to understand the concentrations of Fe and Zn in the sediments and in the Green Mussels. The heavy metals concentration will be used to analyze Bio Concentration Factor (BCF) and Human Health Risk Assessments (HHRA). A total about 45 P. viridis populations were collected from 3 sites in Banyuurip waters. In order to obtain a representative sample at each site, 15 populations of Green Mussels with similar shell lengths and bottom sediment were collected. Mussel’s tissue and bottom sediment were analyzed using AAS (AAnalyst700) to determine the concentrations of Fe and Zn. The concentrations of Fe were found almost similar with the concentrations of Zn in P. viridis within the range of Fe = 3.10 – 5.25 mg.kg-1 and Zn = 3.91 - 4.67 mg.kg-1. BCF (o-s) of Fe in P. viridis is lower than the BCF (o-s) of Zn, because the concentrations of Fe in the mussels were less than the concentrations in the sediments. According to the Target Hazard Quotients (THQ) values (THQ &lt; 1), both heavy metals are not likely causing negative health effects for human during lifetime. However, Estimated Daily Intakes (EDI) values are above Provisional Tolerable Daily Intakes (PTDI) standard means it can cause negative effects due to daily consumption (EDI &gt; PTDI).","container-title":"JFMR-Journal of Fisheries and Marine Research","DOI":"10.21776/ub.jfmr.2019.003.02.2","ISSN":"25810294","issue":"2","journalAbbreviation":"JFMR","language":"id","page":"9-17","source":"DOI.org (Crossref)","title":"HEALTH RISK ASSESSMENTS OF HEAVY METALS OF PERNA VIRIDIS FROM BANYUURIP WATERS IN UJUNG PANGKAH, GRESIK","volume":"3","author":[{"family":"Rayyan","given":"Muhammad Fathur"},{"family":"Yona","given":"Defri"},{"family":"Sari","given":"Syarifah Hikmah Julinda"}],"issued":{"date-parts":[["2019",7,31]]}}}],"schema":"https://github.com/citation-style-language/schema/raw/master/csl-citation.json"} </w:instrText>
      </w:r>
      <w:r w:rsidR="00B03C7E">
        <w:fldChar w:fldCharType="separate"/>
      </w:r>
      <w:r w:rsidR="00635DB9" w:rsidRPr="00635DB9">
        <w:rPr>
          <w:rFonts w:cs="Times"/>
        </w:rPr>
        <w:t>(21)</w:t>
      </w:r>
      <w:r w:rsidR="00B03C7E">
        <w:fldChar w:fldCharType="end"/>
      </w:r>
      <w:r>
        <w:t>.</w:t>
      </w:r>
    </w:p>
    <w:p w14:paraId="1B7C7EA9" w14:textId="4B32D375" w:rsidR="00467448" w:rsidRPr="00467448" w:rsidRDefault="00467448" w:rsidP="00467448">
      <w:pPr>
        <w:pStyle w:val="BodytextIndented"/>
        <w:ind w:firstLine="0"/>
      </w:pPr>
      <w:r>
        <w:t xml:space="preserve">The Maximum Tolerable Intake (MTI) obtained in the sample has very lightweight. This indicates that </w:t>
      </w:r>
      <w:r w:rsidR="00C971F1" w:rsidRPr="00C971F1">
        <w:rPr>
          <w:i/>
          <w:iCs w:val="0"/>
        </w:rPr>
        <w:t xml:space="preserve">S. </w:t>
      </w:r>
      <w:r w:rsidRPr="00C971F1">
        <w:rPr>
          <w:i/>
          <w:iCs w:val="0"/>
        </w:rPr>
        <w:t>lemuru</w:t>
      </w:r>
      <w:r>
        <w:t xml:space="preserve"> contains very high concentrations of mercury. The maximum value of mercury concentration that can enter the body (MWI) for adults assuming a weight of 60kg is 0.24 mg Hg/week. If people consume </w:t>
      </w:r>
      <w:r w:rsidR="00884468" w:rsidRPr="00E22D8A">
        <w:rPr>
          <w:i/>
          <w:iCs w:val="0"/>
        </w:rPr>
        <w:t>S. lemuru</w:t>
      </w:r>
      <w:r>
        <w:t xml:space="preserve"> that exceeds the MTI value, the heavy metal is toxic in the human body </w:t>
      </w:r>
      <w:r w:rsidR="00B03C7E">
        <w:fldChar w:fldCharType="begin"/>
      </w:r>
      <w:r w:rsidR="00635DB9">
        <w:instrText xml:space="preserve"> ADDIN ZOTERO_ITEM CSL_CITATION {"citationID":"PtDB3QTF","properties":{"formattedCitation":"(21)","plainCitation":"(21)","noteIndex":0},"citationItems":[{"id":99,"uris":["http://zotero.org/users/local/9dyqp7oC/items/3UR3S7QM"],"uri":["http://zotero.org/users/local/9dyqp7oC/items/3UR3S7QM"],"itemData":{"id":99,"type":"article-journal","abstract":"Banyuurip is one of villages in Ujung Pangkah District, Gresik with high aquaculture activities of Perna viridis. Green mussels are highly produced in that area, however Banyuurip waters also has potential risk of heavy metals pollution. Therefore, this research was conducted to understand the concentrations of Fe and Zn in the sediments and in the Green Mussels. The heavy metals concentration will be used to analyze Bio Concentration Factor (BCF) and Human Health Risk Assessments (HHRA). A total about 45 P. viridis populations were collected from 3 sites in Banyuurip waters. In order to obtain a representative sample at each site, 15 populations of Green Mussels with similar shell lengths and bottom sediment were collected. Mussel’s tissue and bottom sediment were analyzed using AAS (AAnalyst700) to determine the concentrations of Fe and Zn. The concentrations of Fe were found almost similar with the concentrations of Zn in P. viridis within the range of Fe = 3.10 – 5.25 mg.kg-1 and Zn = 3.91 - 4.67 mg.kg-1. BCF (o-s) of Fe in P. viridis is lower than the BCF (o-s) of Zn, because the concentrations of Fe in the mussels were less than the concentrations in the sediments. According to the Target Hazard Quotients (THQ) values (THQ &lt; 1), both heavy metals are not likely causing negative health effects for human during lifetime. However, Estimated Daily Intakes (EDI) values are above Provisional Tolerable Daily Intakes (PTDI) standard means it can cause negative effects due to daily consumption (EDI &gt; PTDI).","container-title":"JFMR-Journal of Fisheries and Marine Research","DOI":"10.21776/ub.jfmr.2019.003.02.2","ISSN":"25810294","issue":"2","journalAbbreviation":"JFMR","language":"id","page":"9-17","source":"DOI.org (Crossref)","title":"HEALTH RISK ASSESSMENTS OF HEAVY METALS OF PERNA VIRIDIS FROM BANYUURIP WATERS IN UJUNG PANGKAH, GRESIK","volume":"3","author":[{"family":"Rayyan","given":"Muhammad Fathur"},{"family":"Yona","given":"Defri"},{"family":"Sari","given":"Syarifah Hikmah Julinda"}],"issued":{"date-parts":[["2019",7,31]]}}}],"schema":"https://github.com/citation-style-language/schema/raw/master/csl-citation.json"} </w:instrText>
      </w:r>
      <w:r w:rsidR="00B03C7E">
        <w:fldChar w:fldCharType="separate"/>
      </w:r>
      <w:r w:rsidR="00635DB9" w:rsidRPr="00635DB9">
        <w:rPr>
          <w:rFonts w:cs="Times"/>
        </w:rPr>
        <w:t>(21)</w:t>
      </w:r>
      <w:r w:rsidR="00B03C7E">
        <w:fldChar w:fldCharType="end"/>
      </w:r>
      <w:r w:rsidR="00B03C7E">
        <w:t>.</w:t>
      </w:r>
    </w:p>
    <w:p w14:paraId="40FCFAC7" w14:textId="5A1F7DBF" w:rsidR="008D08B5" w:rsidRPr="008D08B5" w:rsidRDefault="008D08B5" w:rsidP="00FF4960">
      <w:pPr>
        <w:pStyle w:val="FigureCaption"/>
        <w:spacing w:after="240"/>
      </w:pPr>
      <w:r w:rsidRPr="008D08B5">
        <w:t xml:space="preserve">Table </w:t>
      </w:r>
      <w:fldSimple w:instr=" SEQ Table \* ARABIC ">
        <w:r>
          <w:rPr>
            <w:noProof/>
          </w:rPr>
          <w:t>1</w:t>
        </w:r>
      </w:fldSimple>
      <w:r w:rsidRPr="008D08B5">
        <w:t xml:space="preserve">. EDI (Estimated Daily Intake) </w:t>
      </w:r>
      <w:r w:rsidR="00467448">
        <w:t xml:space="preserve">and MTI (Maximum Tolerable Intake) </w:t>
      </w:r>
      <w:r w:rsidRPr="008D08B5">
        <w:t>value</w:t>
      </w:r>
      <w:r w:rsidR="00FF4960">
        <w:t>.</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3227"/>
        <w:gridCol w:w="3038"/>
      </w:tblGrid>
      <w:tr w:rsidR="007E36D3" w:rsidRPr="00D51377" w14:paraId="27D0B863" w14:textId="2DC66A80" w:rsidTr="00D51377">
        <w:trPr>
          <w:trHeight w:val="561"/>
          <w:jc w:val="center"/>
        </w:trPr>
        <w:tc>
          <w:tcPr>
            <w:tcW w:w="0" w:type="auto"/>
            <w:tcBorders>
              <w:top w:val="single" w:sz="4" w:space="0" w:color="auto"/>
              <w:bottom w:val="single" w:sz="4" w:space="0" w:color="auto"/>
            </w:tcBorders>
            <w:hideMark/>
          </w:tcPr>
          <w:p w14:paraId="5929EA92" w14:textId="77777777" w:rsidR="007E36D3" w:rsidRPr="00F8112B" w:rsidRDefault="007E36D3" w:rsidP="00F10370">
            <w:pPr>
              <w:jc w:val="both"/>
              <w:rPr>
                <w:rFonts w:cs="Times"/>
                <w:sz w:val="20"/>
                <w:szCs w:val="20"/>
              </w:rPr>
            </w:pPr>
            <w:r w:rsidRPr="00F8112B">
              <w:rPr>
                <w:rFonts w:cs="Times"/>
                <w:sz w:val="20"/>
                <w:szCs w:val="20"/>
              </w:rPr>
              <w:t>Fishing ground</w:t>
            </w:r>
          </w:p>
        </w:tc>
        <w:tc>
          <w:tcPr>
            <w:tcW w:w="0" w:type="auto"/>
            <w:tcBorders>
              <w:top w:val="single" w:sz="4" w:space="0" w:color="auto"/>
              <w:bottom w:val="single" w:sz="4" w:space="0" w:color="auto"/>
            </w:tcBorders>
            <w:hideMark/>
          </w:tcPr>
          <w:p w14:paraId="3818BB28" w14:textId="6500F131" w:rsidR="007E36D3" w:rsidRPr="00D51377" w:rsidRDefault="007E36D3" w:rsidP="00F10370">
            <w:pPr>
              <w:jc w:val="both"/>
              <w:rPr>
                <w:rFonts w:cs="Times"/>
                <w:sz w:val="20"/>
                <w:szCs w:val="20"/>
              </w:rPr>
            </w:pPr>
            <w:r w:rsidRPr="00D51377">
              <w:rPr>
                <w:rFonts w:cs="Times"/>
                <w:sz w:val="20"/>
                <w:szCs w:val="20"/>
              </w:rPr>
              <w:t xml:space="preserve">Estimated Daily Intake </w:t>
            </w:r>
            <w:r w:rsidR="009E3B11" w:rsidRPr="00D51377">
              <w:rPr>
                <w:rFonts w:cs="Times"/>
                <w:sz w:val="20"/>
                <w:szCs w:val="20"/>
              </w:rPr>
              <w:t>Mercury</w:t>
            </w:r>
            <w:r w:rsidRPr="00D51377">
              <w:rPr>
                <w:rFonts w:cs="Times"/>
                <w:sz w:val="20"/>
                <w:szCs w:val="20"/>
              </w:rPr>
              <w:t xml:space="preserve"> (Hg)</w:t>
            </w:r>
          </w:p>
        </w:tc>
        <w:tc>
          <w:tcPr>
            <w:tcW w:w="0" w:type="auto"/>
            <w:tcBorders>
              <w:top w:val="single" w:sz="4" w:space="0" w:color="auto"/>
              <w:bottom w:val="single" w:sz="4" w:space="0" w:color="auto"/>
            </w:tcBorders>
          </w:tcPr>
          <w:p w14:paraId="2FF0888B" w14:textId="481B8610" w:rsidR="007E36D3" w:rsidRPr="00D51377" w:rsidRDefault="007E36D3" w:rsidP="00F10370">
            <w:pPr>
              <w:jc w:val="both"/>
              <w:rPr>
                <w:rFonts w:cs="Times"/>
                <w:sz w:val="20"/>
                <w:szCs w:val="20"/>
              </w:rPr>
            </w:pPr>
            <w:r w:rsidRPr="00D51377">
              <w:rPr>
                <w:sz w:val="20"/>
                <w:szCs w:val="20"/>
              </w:rPr>
              <w:t xml:space="preserve">MTI </w:t>
            </w:r>
            <w:r w:rsidR="009E3B11" w:rsidRPr="00D51377">
              <w:rPr>
                <w:sz w:val="20"/>
                <w:szCs w:val="20"/>
              </w:rPr>
              <w:t>Mercury</w:t>
            </w:r>
            <w:r w:rsidRPr="00D51377">
              <w:rPr>
                <w:sz w:val="20"/>
                <w:szCs w:val="20"/>
              </w:rPr>
              <w:t xml:space="preserve"> / Hg (mg</w:t>
            </w:r>
            <w:r w:rsidR="00E22D8A" w:rsidRPr="00D51377">
              <w:rPr>
                <w:sz w:val="20"/>
                <w:szCs w:val="20"/>
              </w:rPr>
              <w:t xml:space="preserve"> fish /week</w:t>
            </w:r>
            <w:r w:rsidRPr="00D51377">
              <w:rPr>
                <w:sz w:val="20"/>
                <w:szCs w:val="20"/>
              </w:rPr>
              <w:t>)</w:t>
            </w:r>
          </w:p>
        </w:tc>
      </w:tr>
      <w:tr w:rsidR="007E36D3" w:rsidRPr="00D51377" w14:paraId="6CB1AFE6" w14:textId="39B30062" w:rsidTr="00BC4D75">
        <w:trPr>
          <w:trHeight w:val="71"/>
          <w:jc w:val="center"/>
        </w:trPr>
        <w:tc>
          <w:tcPr>
            <w:tcW w:w="0" w:type="auto"/>
            <w:tcBorders>
              <w:top w:val="single" w:sz="4" w:space="0" w:color="auto"/>
            </w:tcBorders>
            <w:hideMark/>
          </w:tcPr>
          <w:p w14:paraId="0D3E730D" w14:textId="5B1F0E14" w:rsidR="007E36D3" w:rsidRPr="00D51377" w:rsidRDefault="007E36D3" w:rsidP="00F10370">
            <w:pPr>
              <w:jc w:val="both"/>
              <w:rPr>
                <w:rFonts w:cs="Times"/>
                <w:sz w:val="20"/>
                <w:szCs w:val="20"/>
              </w:rPr>
            </w:pPr>
            <w:r w:rsidRPr="00D51377">
              <w:rPr>
                <w:rFonts w:cs="Times"/>
                <w:sz w:val="20"/>
                <w:szCs w:val="20"/>
              </w:rPr>
              <w:t>Prigi</w:t>
            </w:r>
          </w:p>
        </w:tc>
        <w:tc>
          <w:tcPr>
            <w:tcW w:w="0" w:type="auto"/>
            <w:tcBorders>
              <w:top w:val="single" w:sz="4" w:space="0" w:color="auto"/>
            </w:tcBorders>
            <w:hideMark/>
          </w:tcPr>
          <w:p w14:paraId="2FD07F55" w14:textId="0B6971FB" w:rsidR="007E36D3" w:rsidRPr="00D51377" w:rsidRDefault="007E36D3" w:rsidP="00F10370">
            <w:pPr>
              <w:jc w:val="both"/>
              <w:rPr>
                <w:rFonts w:cs="Times"/>
                <w:sz w:val="20"/>
                <w:szCs w:val="20"/>
              </w:rPr>
            </w:pPr>
            <w:r w:rsidRPr="00D51377">
              <w:rPr>
                <w:rFonts w:cs="Times"/>
                <w:sz w:val="20"/>
                <w:szCs w:val="20"/>
              </w:rPr>
              <w:t>0,026</w:t>
            </w:r>
          </w:p>
        </w:tc>
        <w:tc>
          <w:tcPr>
            <w:tcW w:w="0" w:type="auto"/>
            <w:tcBorders>
              <w:top w:val="single" w:sz="4" w:space="0" w:color="auto"/>
            </w:tcBorders>
          </w:tcPr>
          <w:p w14:paraId="232278CF" w14:textId="412E50A3" w:rsidR="007E36D3" w:rsidRPr="00D51377" w:rsidRDefault="007E36D3" w:rsidP="00F10370">
            <w:pPr>
              <w:jc w:val="both"/>
              <w:rPr>
                <w:rFonts w:cs="Times"/>
                <w:sz w:val="20"/>
                <w:szCs w:val="20"/>
              </w:rPr>
            </w:pPr>
            <w:r w:rsidRPr="00D51377">
              <w:rPr>
                <w:sz w:val="20"/>
                <w:szCs w:val="20"/>
              </w:rPr>
              <w:t>0,414</w:t>
            </w:r>
          </w:p>
        </w:tc>
      </w:tr>
      <w:tr w:rsidR="007E36D3" w:rsidRPr="00D51377" w14:paraId="515B7194" w14:textId="7C81626E" w:rsidTr="00BC4D75">
        <w:trPr>
          <w:trHeight w:val="180"/>
          <w:jc w:val="center"/>
        </w:trPr>
        <w:tc>
          <w:tcPr>
            <w:tcW w:w="0" w:type="auto"/>
            <w:tcBorders>
              <w:bottom w:val="nil"/>
            </w:tcBorders>
            <w:hideMark/>
          </w:tcPr>
          <w:p w14:paraId="77B60A74" w14:textId="2B17DC75" w:rsidR="007E36D3" w:rsidRPr="00D51377" w:rsidRDefault="007E36D3" w:rsidP="00F10370">
            <w:pPr>
              <w:jc w:val="both"/>
              <w:rPr>
                <w:rFonts w:cs="Times"/>
                <w:sz w:val="20"/>
                <w:szCs w:val="20"/>
              </w:rPr>
            </w:pPr>
            <w:r w:rsidRPr="00D51377">
              <w:rPr>
                <w:rFonts w:cs="Times"/>
                <w:sz w:val="20"/>
                <w:szCs w:val="20"/>
              </w:rPr>
              <w:t>Muncar</w:t>
            </w:r>
          </w:p>
        </w:tc>
        <w:tc>
          <w:tcPr>
            <w:tcW w:w="0" w:type="auto"/>
            <w:tcBorders>
              <w:bottom w:val="nil"/>
            </w:tcBorders>
            <w:hideMark/>
          </w:tcPr>
          <w:p w14:paraId="1DBC06BE" w14:textId="77777777" w:rsidR="007E36D3" w:rsidRPr="00D51377" w:rsidRDefault="007E36D3" w:rsidP="00F10370">
            <w:pPr>
              <w:jc w:val="both"/>
              <w:rPr>
                <w:rFonts w:cs="Times"/>
                <w:sz w:val="20"/>
                <w:szCs w:val="20"/>
              </w:rPr>
            </w:pPr>
            <w:r w:rsidRPr="00D51377">
              <w:rPr>
                <w:rFonts w:cs="Times"/>
                <w:sz w:val="20"/>
                <w:szCs w:val="20"/>
              </w:rPr>
              <w:t>0</w:t>
            </w:r>
          </w:p>
        </w:tc>
        <w:tc>
          <w:tcPr>
            <w:tcW w:w="0" w:type="auto"/>
            <w:tcBorders>
              <w:bottom w:val="nil"/>
            </w:tcBorders>
          </w:tcPr>
          <w:p w14:paraId="0AAA0FDF" w14:textId="28D851F6" w:rsidR="007E36D3" w:rsidRPr="00D51377" w:rsidRDefault="007E36D3" w:rsidP="00F10370">
            <w:pPr>
              <w:jc w:val="both"/>
              <w:rPr>
                <w:rFonts w:cs="Times"/>
                <w:sz w:val="20"/>
                <w:szCs w:val="20"/>
              </w:rPr>
            </w:pPr>
            <w:r w:rsidRPr="00D51377">
              <w:rPr>
                <w:sz w:val="20"/>
                <w:szCs w:val="20"/>
              </w:rPr>
              <w:t>0,000</w:t>
            </w:r>
          </w:p>
        </w:tc>
      </w:tr>
      <w:tr w:rsidR="007E36D3" w:rsidRPr="00D51377" w14:paraId="5AFA7E8D" w14:textId="392FA5DE" w:rsidTr="00BC4D75">
        <w:trPr>
          <w:trHeight w:val="180"/>
          <w:jc w:val="center"/>
        </w:trPr>
        <w:tc>
          <w:tcPr>
            <w:tcW w:w="0" w:type="auto"/>
            <w:tcBorders>
              <w:top w:val="nil"/>
              <w:bottom w:val="single" w:sz="4" w:space="0" w:color="auto"/>
            </w:tcBorders>
            <w:hideMark/>
          </w:tcPr>
          <w:p w14:paraId="3C210A57" w14:textId="4E7E52E9" w:rsidR="007E36D3" w:rsidRPr="00D51377" w:rsidRDefault="007E36D3" w:rsidP="00F10370">
            <w:pPr>
              <w:jc w:val="both"/>
              <w:rPr>
                <w:rFonts w:cs="Times"/>
                <w:sz w:val="20"/>
                <w:szCs w:val="20"/>
              </w:rPr>
            </w:pPr>
            <w:r w:rsidRPr="00D51377">
              <w:rPr>
                <w:rFonts w:cs="Times"/>
                <w:sz w:val="20"/>
                <w:szCs w:val="20"/>
              </w:rPr>
              <w:t>Kedonganan</w:t>
            </w:r>
          </w:p>
        </w:tc>
        <w:tc>
          <w:tcPr>
            <w:tcW w:w="0" w:type="auto"/>
            <w:tcBorders>
              <w:top w:val="nil"/>
              <w:bottom w:val="single" w:sz="4" w:space="0" w:color="auto"/>
            </w:tcBorders>
            <w:hideMark/>
          </w:tcPr>
          <w:p w14:paraId="5A9681B2" w14:textId="12E24C48" w:rsidR="007E36D3" w:rsidRPr="00D51377" w:rsidRDefault="007E36D3" w:rsidP="00F10370">
            <w:pPr>
              <w:jc w:val="both"/>
              <w:rPr>
                <w:rFonts w:cs="Times"/>
                <w:sz w:val="20"/>
                <w:szCs w:val="20"/>
              </w:rPr>
            </w:pPr>
            <w:r w:rsidRPr="00D51377">
              <w:rPr>
                <w:rFonts w:cs="Times"/>
                <w:sz w:val="20"/>
                <w:szCs w:val="20"/>
              </w:rPr>
              <w:t>0,035</w:t>
            </w:r>
          </w:p>
        </w:tc>
        <w:tc>
          <w:tcPr>
            <w:tcW w:w="0" w:type="auto"/>
            <w:tcBorders>
              <w:top w:val="nil"/>
              <w:bottom w:val="single" w:sz="4" w:space="0" w:color="auto"/>
            </w:tcBorders>
          </w:tcPr>
          <w:p w14:paraId="73FB16E7" w14:textId="0DCD0E8E" w:rsidR="007E36D3" w:rsidRPr="00D51377" w:rsidRDefault="007E36D3" w:rsidP="00F10370">
            <w:pPr>
              <w:jc w:val="both"/>
              <w:rPr>
                <w:rFonts w:cs="Times"/>
                <w:sz w:val="20"/>
                <w:szCs w:val="20"/>
              </w:rPr>
            </w:pPr>
            <w:r w:rsidRPr="00D51377">
              <w:rPr>
                <w:sz w:val="20"/>
                <w:szCs w:val="20"/>
              </w:rPr>
              <w:t>0,256</w:t>
            </w:r>
          </w:p>
        </w:tc>
      </w:tr>
      <w:tr w:rsidR="007E36D3" w:rsidRPr="00D51377" w14:paraId="70BE0E51" w14:textId="02AA9348" w:rsidTr="00BC4D75">
        <w:trPr>
          <w:trHeight w:val="323"/>
          <w:jc w:val="center"/>
        </w:trPr>
        <w:tc>
          <w:tcPr>
            <w:tcW w:w="0" w:type="auto"/>
            <w:tcBorders>
              <w:top w:val="single" w:sz="4" w:space="0" w:color="auto"/>
            </w:tcBorders>
            <w:hideMark/>
          </w:tcPr>
          <w:p w14:paraId="56D5CED9" w14:textId="27AF6DB0" w:rsidR="007E36D3" w:rsidRPr="00D51377" w:rsidRDefault="00BB30F2" w:rsidP="00F10370">
            <w:pPr>
              <w:jc w:val="both"/>
              <w:rPr>
                <w:rFonts w:cs="Times"/>
                <w:sz w:val="20"/>
                <w:szCs w:val="20"/>
              </w:rPr>
            </w:pPr>
            <w:r w:rsidRPr="00D51377">
              <w:rPr>
                <w:rFonts w:cs="Times"/>
                <w:sz w:val="20"/>
                <w:szCs w:val="20"/>
              </w:rPr>
              <w:t>Average</w:t>
            </w:r>
          </w:p>
        </w:tc>
        <w:tc>
          <w:tcPr>
            <w:tcW w:w="0" w:type="auto"/>
            <w:tcBorders>
              <w:top w:val="single" w:sz="4" w:space="0" w:color="auto"/>
            </w:tcBorders>
            <w:hideMark/>
          </w:tcPr>
          <w:p w14:paraId="636D3CB0" w14:textId="7D69BC41" w:rsidR="007E36D3" w:rsidRPr="00D51377" w:rsidRDefault="007E36D3" w:rsidP="00F10370">
            <w:pPr>
              <w:jc w:val="both"/>
              <w:rPr>
                <w:rFonts w:cs="Times"/>
                <w:sz w:val="20"/>
                <w:szCs w:val="20"/>
              </w:rPr>
            </w:pPr>
            <w:r w:rsidRPr="00D51377">
              <w:rPr>
                <w:rFonts w:cs="Times"/>
                <w:sz w:val="20"/>
                <w:szCs w:val="20"/>
              </w:rPr>
              <w:t>0,031</w:t>
            </w:r>
          </w:p>
        </w:tc>
        <w:tc>
          <w:tcPr>
            <w:tcW w:w="0" w:type="auto"/>
            <w:tcBorders>
              <w:top w:val="single" w:sz="4" w:space="0" w:color="auto"/>
            </w:tcBorders>
          </w:tcPr>
          <w:p w14:paraId="64E0F244" w14:textId="0EB41C4E" w:rsidR="007E36D3" w:rsidRPr="00D51377" w:rsidRDefault="007E36D3" w:rsidP="00F10370">
            <w:pPr>
              <w:jc w:val="both"/>
              <w:rPr>
                <w:rFonts w:cs="Times"/>
                <w:sz w:val="20"/>
                <w:szCs w:val="20"/>
              </w:rPr>
            </w:pPr>
            <w:r w:rsidRPr="00D51377">
              <w:rPr>
                <w:sz w:val="20"/>
                <w:szCs w:val="20"/>
              </w:rPr>
              <w:t>0,223</w:t>
            </w:r>
          </w:p>
        </w:tc>
      </w:tr>
    </w:tbl>
    <w:p w14:paraId="5A7F46DB" w14:textId="77777777" w:rsidR="00DF29FB" w:rsidRPr="00DF29FB" w:rsidRDefault="00DF29FB" w:rsidP="00DF29FB"/>
    <w:p w14:paraId="3FA39EA4" w14:textId="73470C68" w:rsidR="008D08B5" w:rsidRPr="008D08B5" w:rsidRDefault="008D08B5" w:rsidP="00003AE9">
      <w:pPr>
        <w:pStyle w:val="FigureCaption"/>
        <w:spacing w:after="240"/>
      </w:pPr>
      <w:r w:rsidRPr="008D08B5">
        <w:lastRenderedPageBreak/>
        <w:t xml:space="preserve">Table </w:t>
      </w:r>
      <w:fldSimple w:instr=" SEQ Table \* ARABIC ">
        <w:r w:rsidRPr="008D08B5">
          <w:rPr>
            <w:noProof/>
          </w:rPr>
          <w:t>2</w:t>
        </w:r>
      </w:fldSimple>
      <w:r w:rsidRPr="008D08B5">
        <w:t>. Comparison of heavy metal concentration from different location</w:t>
      </w:r>
      <w:r w:rsidR="00E84574">
        <w:t>s in the world</w:t>
      </w:r>
    </w:p>
    <w:tbl>
      <w:tblPr>
        <w:tblStyle w:val="TableGrid"/>
        <w:tblW w:w="0" w:type="auto"/>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610"/>
        <w:gridCol w:w="1980"/>
        <w:gridCol w:w="1511"/>
      </w:tblGrid>
      <w:tr w:rsidR="00E807B7" w:rsidRPr="00D51377" w14:paraId="2D06AC09" w14:textId="77777777" w:rsidTr="00BC4D75">
        <w:trPr>
          <w:tblHeader/>
        </w:trPr>
        <w:tc>
          <w:tcPr>
            <w:tcW w:w="3083" w:type="dxa"/>
            <w:tcBorders>
              <w:top w:val="single" w:sz="4" w:space="0" w:color="auto"/>
              <w:bottom w:val="single" w:sz="4" w:space="0" w:color="auto"/>
            </w:tcBorders>
          </w:tcPr>
          <w:p w14:paraId="7E7F7048" w14:textId="76F76E38" w:rsidR="00E807B7" w:rsidRPr="00D51377" w:rsidRDefault="00E807B7" w:rsidP="00E61140">
            <w:pPr>
              <w:rPr>
                <w:sz w:val="20"/>
                <w:szCs w:val="20"/>
              </w:rPr>
            </w:pPr>
            <w:r w:rsidRPr="00D51377">
              <w:rPr>
                <w:sz w:val="20"/>
                <w:szCs w:val="20"/>
              </w:rPr>
              <w:t>L</w:t>
            </w:r>
            <w:r w:rsidR="008D08B5" w:rsidRPr="00D51377">
              <w:rPr>
                <w:sz w:val="20"/>
                <w:szCs w:val="20"/>
              </w:rPr>
              <w:t>ocation</w:t>
            </w:r>
          </w:p>
        </w:tc>
        <w:tc>
          <w:tcPr>
            <w:tcW w:w="2610" w:type="dxa"/>
            <w:tcBorders>
              <w:top w:val="single" w:sz="4" w:space="0" w:color="auto"/>
              <w:bottom w:val="single" w:sz="4" w:space="0" w:color="auto"/>
            </w:tcBorders>
          </w:tcPr>
          <w:p w14:paraId="7A036F91" w14:textId="77777777" w:rsidR="00E807B7" w:rsidRPr="00D51377" w:rsidRDefault="00E807B7" w:rsidP="00E61140">
            <w:pPr>
              <w:rPr>
                <w:sz w:val="20"/>
                <w:szCs w:val="20"/>
              </w:rPr>
            </w:pPr>
            <w:r w:rsidRPr="00D51377">
              <w:rPr>
                <w:sz w:val="20"/>
                <w:szCs w:val="20"/>
              </w:rPr>
              <w:t>Species</w:t>
            </w:r>
          </w:p>
        </w:tc>
        <w:tc>
          <w:tcPr>
            <w:tcW w:w="1980" w:type="dxa"/>
            <w:tcBorders>
              <w:top w:val="single" w:sz="4" w:space="0" w:color="auto"/>
              <w:bottom w:val="single" w:sz="4" w:space="0" w:color="auto"/>
            </w:tcBorders>
          </w:tcPr>
          <w:p w14:paraId="70DBFFCA" w14:textId="77777777" w:rsidR="00E807B7" w:rsidRPr="00D51377" w:rsidRDefault="00E807B7" w:rsidP="00E61140">
            <w:pPr>
              <w:rPr>
                <w:sz w:val="20"/>
                <w:szCs w:val="20"/>
              </w:rPr>
            </w:pPr>
            <w:r w:rsidRPr="00D51377">
              <w:rPr>
                <w:sz w:val="20"/>
                <w:szCs w:val="20"/>
              </w:rPr>
              <w:t>Hg</w:t>
            </w:r>
          </w:p>
        </w:tc>
        <w:tc>
          <w:tcPr>
            <w:tcW w:w="1511" w:type="dxa"/>
            <w:tcBorders>
              <w:top w:val="single" w:sz="4" w:space="0" w:color="auto"/>
              <w:bottom w:val="single" w:sz="4" w:space="0" w:color="auto"/>
            </w:tcBorders>
          </w:tcPr>
          <w:p w14:paraId="42F0DACC" w14:textId="0B6466ED" w:rsidR="00E807B7" w:rsidRPr="00D51377" w:rsidRDefault="008D08B5" w:rsidP="00E61140">
            <w:pPr>
              <w:rPr>
                <w:sz w:val="20"/>
                <w:szCs w:val="20"/>
              </w:rPr>
            </w:pPr>
            <w:r w:rsidRPr="00D51377">
              <w:rPr>
                <w:sz w:val="20"/>
                <w:szCs w:val="20"/>
              </w:rPr>
              <w:t>Reference</w:t>
            </w:r>
          </w:p>
        </w:tc>
      </w:tr>
      <w:tr w:rsidR="00E807B7" w:rsidRPr="00D51377" w14:paraId="10042F46" w14:textId="77777777" w:rsidTr="00BC4D75">
        <w:tc>
          <w:tcPr>
            <w:tcW w:w="3083" w:type="dxa"/>
            <w:tcBorders>
              <w:top w:val="single" w:sz="4" w:space="0" w:color="auto"/>
            </w:tcBorders>
          </w:tcPr>
          <w:p w14:paraId="7402ACA2" w14:textId="77777777" w:rsidR="00E807B7" w:rsidRPr="00D51377" w:rsidRDefault="00E807B7" w:rsidP="00E61140">
            <w:pPr>
              <w:rPr>
                <w:sz w:val="20"/>
                <w:szCs w:val="20"/>
              </w:rPr>
            </w:pPr>
            <w:r w:rsidRPr="00D51377">
              <w:rPr>
                <w:sz w:val="20"/>
                <w:szCs w:val="20"/>
              </w:rPr>
              <w:t>Arabian Gulf</w:t>
            </w:r>
          </w:p>
        </w:tc>
        <w:tc>
          <w:tcPr>
            <w:tcW w:w="2610" w:type="dxa"/>
            <w:tcBorders>
              <w:top w:val="single" w:sz="4" w:space="0" w:color="auto"/>
            </w:tcBorders>
          </w:tcPr>
          <w:p w14:paraId="25A5BB1D" w14:textId="77777777" w:rsidR="00E807B7" w:rsidRPr="00D51377" w:rsidRDefault="00E807B7" w:rsidP="00E61140">
            <w:pPr>
              <w:rPr>
                <w:i/>
                <w:iCs/>
                <w:sz w:val="20"/>
                <w:szCs w:val="20"/>
              </w:rPr>
            </w:pPr>
            <w:r w:rsidRPr="00D51377">
              <w:rPr>
                <w:i/>
                <w:iCs/>
                <w:sz w:val="20"/>
                <w:szCs w:val="20"/>
              </w:rPr>
              <w:t>Stolephorus indicus</w:t>
            </w:r>
          </w:p>
        </w:tc>
        <w:tc>
          <w:tcPr>
            <w:tcW w:w="1980" w:type="dxa"/>
            <w:tcBorders>
              <w:top w:val="single" w:sz="4" w:space="0" w:color="auto"/>
            </w:tcBorders>
          </w:tcPr>
          <w:p w14:paraId="62080F8A" w14:textId="631450BB" w:rsidR="00E807B7" w:rsidRPr="00D51377" w:rsidRDefault="00E807B7" w:rsidP="00E61140">
            <w:pPr>
              <w:rPr>
                <w:sz w:val="20"/>
                <w:szCs w:val="20"/>
              </w:rPr>
            </w:pPr>
            <w:r w:rsidRPr="00D51377">
              <w:rPr>
                <w:sz w:val="20"/>
                <w:szCs w:val="20"/>
              </w:rPr>
              <w:t>0.053</w:t>
            </w:r>
          </w:p>
        </w:tc>
        <w:tc>
          <w:tcPr>
            <w:tcW w:w="1511" w:type="dxa"/>
            <w:tcBorders>
              <w:top w:val="single" w:sz="4" w:space="0" w:color="auto"/>
            </w:tcBorders>
          </w:tcPr>
          <w:p w14:paraId="6A491053" w14:textId="595F15BB" w:rsidR="00E807B7" w:rsidRPr="00D51377" w:rsidRDefault="00011115" w:rsidP="00E61140">
            <w:pPr>
              <w:rPr>
                <w:sz w:val="20"/>
                <w:szCs w:val="20"/>
              </w:rPr>
            </w:pPr>
            <w:r w:rsidRPr="00D51377">
              <w:rPr>
                <w:sz w:val="20"/>
              </w:rPr>
              <w:fldChar w:fldCharType="begin"/>
            </w:r>
            <w:r w:rsidR="00635DB9">
              <w:rPr>
                <w:sz w:val="20"/>
                <w:szCs w:val="20"/>
              </w:rPr>
              <w:instrText xml:space="preserve"> ADDIN ZOTERO_ITEM CSL_CITATION {"citationID":"8258qtmz","properties":{"formattedCitation":"(22)","plainCitation":"(22)","noteIndex":0},"citationItems":[{"id":53,"uris":["http://zotero.org/users/local/9dyqp7oC/items/LKYAGCSH"],"uri":["http://zotero.org/users/local/9dyqp7oC/items/LKYAGCSH"],"itemData":{"id":53,"type":"article-journal","abstract":"Pollution in the Arabian Gulf has risen in recent decades due to rapid development in the region. We studied 21 elements in the liver, gastrointestinal (GI) tract and muscles of the Indian anchovy (Stolephorus indicus) to characterize bioaccumulation in this abundant forage ﬁsh. Mean concentrations (μg/g wet weight) of elements ranged as follows: Cd: 0.1–8.0; Cr: 0.1–24.0; Cu: 1.2–24.0; Ni: 0.3–76.5; Ca: 1237.0–15,270.0; S: 2966.0–7467.0; Zn: 7.1–247.0; V: 0.1–27.0; Hg: 0.04–0.18 and Sr: 8.1–191.0. Zn, Cu, Cr, and Cd in the tissues exceeded the maximum permissible limit recommended by FAO, WHO and EC. We suggest that bioaccumulation in ﬁsh could be a hazard for human consumption. Therefore, further monitoring is needed to better characterize pollutant levels in ﬁsh of higher trophic levels in the Arabian Gulf.","container-title":"Marine Pollution Bulletin","DOI":"10.1016/j.marpolbul.2020.111033","ISSN":"0025326X","journalAbbreviation":"Marine Pollution Bulletin","language":"en","page":"111033","source":"DOI.org (Crossref)","title":"Bioaccumulation of heavy metals in tissues of Indian anchovy (Stolephorus indicus) from the UAE coast, Arabian Gulf","volume":"154","author":[{"family":"Alizada","given":"Nuray"},{"family":"Malik","given":"Shaima"},{"family":"Muzaffar","given":"Sabir Bin"}],"issued":{"date-parts":[["2020",5]]}}}],"schema":"https://github.com/citation-style-language/schema/raw/master/csl-citation.json"} </w:instrText>
            </w:r>
            <w:r w:rsidRPr="00D51377">
              <w:rPr>
                <w:sz w:val="20"/>
              </w:rPr>
              <w:fldChar w:fldCharType="separate"/>
            </w:r>
            <w:r w:rsidR="00635DB9" w:rsidRPr="00635DB9">
              <w:rPr>
                <w:rFonts w:cs="Times"/>
                <w:sz w:val="20"/>
              </w:rPr>
              <w:t>(22)</w:t>
            </w:r>
            <w:r w:rsidRPr="00D51377">
              <w:rPr>
                <w:sz w:val="20"/>
              </w:rPr>
              <w:fldChar w:fldCharType="end"/>
            </w:r>
          </w:p>
        </w:tc>
      </w:tr>
      <w:tr w:rsidR="00F10370" w:rsidRPr="00D51377" w14:paraId="50C4CBC2" w14:textId="77777777" w:rsidTr="00BC4D75">
        <w:tc>
          <w:tcPr>
            <w:tcW w:w="3083" w:type="dxa"/>
          </w:tcPr>
          <w:p w14:paraId="05531DEC" w14:textId="58392574" w:rsidR="00F10370" w:rsidRPr="00D51377" w:rsidRDefault="00F10370" w:rsidP="00F10370">
            <w:pPr>
              <w:rPr>
                <w:sz w:val="20"/>
                <w:szCs w:val="20"/>
              </w:rPr>
            </w:pPr>
            <w:r w:rsidRPr="00D51377">
              <w:rPr>
                <w:sz w:val="20"/>
                <w:szCs w:val="20"/>
              </w:rPr>
              <w:t>Black Sea, Turkey</w:t>
            </w:r>
          </w:p>
        </w:tc>
        <w:tc>
          <w:tcPr>
            <w:tcW w:w="2610" w:type="dxa"/>
          </w:tcPr>
          <w:p w14:paraId="60AF8767" w14:textId="77777777" w:rsidR="00F10370" w:rsidRPr="00D51377" w:rsidRDefault="00F10370" w:rsidP="00F10370">
            <w:pPr>
              <w:rPr>
                <w:i/>
                <w:iCs/>
                <w:sz w:val="20"/>
                <w:szCs w:val="20"/>
              </w:rPr>
            </w:pPr>
            <w:r w:rsidRPr="00D51377">
              <w:rPr>
                <w:i/>
                <w:iCs/>
                <w:sz w:val="20"/>
                <w:szCs w:val="20"/>
              </w:rPr>
              <w:t>Scomber scombrus</w:t>
            </w:r>
          </w:p>
        </w:tc>
        <w:tc>
          <w:tcPr>
            <w:tcW w:w="1980" w:type="dxa"/>
          </w:tcPr>
          <w:p w14:paraId="48EA5BC0" w14:textId="77777777" w:rsidR="00F10370" w:rsidRPr="00D51377" w:rsidRDefault="00F10370" w:rsidP="00F10370">
            <w:pPr>
              <w:rPr>
                <w:sz w:val="20"/>
                <w:szCs w:val="20"/>
              </w:rPr>
            </w:pPr>
            <w:r w:rsidRPr="00D51377">
              <w:rPr>
                <w:sz w:val="20"/>
                <w:szCs w:val="20"/>
              </w:rPr>
              <w:t>0,060 ± 0,03</w:t>
            </w:r>
          </w:p>
        </w:tc>
        <w:tc>
          <w:tcPr>
            <w:tcW w:w="1511" w:type="dxa"/>
          </w:tcPr>
          <w:p w14:paraId="61CEACB7" w14:textId="28C68D1D" w:rsidR="00F10370" w:rsidRPr="00D51377" w:rsidRDefault="00F10370" w:rsidP="00F10370">
            <w:pPr>
              <w:rPr>
                <w:sz w:val="20"/>
                <w:szCs w:val="20"/>
              </w:rPr>
            </w:pPr>
            <w:r w:rsidRPr="00D51377">
              <w:rPr>
                <w:sz w:val="20"/>
              </w:rPr>
              <w:fldChar w:fldCharType="begin"/>
            </w:r>
            <w:r w:rsidR="00635DB9">
              <w:rPr>
                <w:sz w:val="20"/>
                <w:szCs w:val="20"/>
              </w:rPr>
              <w:instrText xml:space="preserve"> ADDIN ZOTERO_ITEM CSL_CITATION {"citationID":"KRW4AcJa","properties":{"formattedCitation":"(23)","plainCitation":"(23)","noteIndex":0},"citationItems":[{"id":61,"uris":["http://zotero.org/users/local/9dyqp7oC/items/WLFD4ZMM"],"uri":["http://zotero.org/users/local/9dyqp7oC/items/WLFD4ZMM"],"itemData":{"id":61,"type":"article-journal","abstract":"Toxic and essential element content of ten different ﬁsh species from the Black Sea were determined by atomic absorption spectrometry after microwave digestion method. The validation of the presented procedure is performed by the analysis of standard reference materials (NRCC-DORM 2 Dogﬁsh Muscle). The relative standard deviations were found to be lower than 10%. Toxic element content in ﬁsh samples were found 25–84 lg/kg for mercury, 0.11–0.32 lg/g for arsenic, 0.28–0.87 lg/g for lead, 0.10–0.35 lg/g for cadmium, 1.14–3.60 lg/g for nickel. Trace element content in ﬁsh samples were found 36.2–145 lg/g for iron, 0.65–2.78 lg/g for copper, 2.76–9.10 lg/g for manganese, 38.8–93.4 lg/g for zinc, 0.19–0.85 lg/g for selenium, 0.63–1.74 lg/g for chromium. The levels of lead and cadmium in ﬁsh samples were higher than the recommended legal limits for human consumption.","container-title":"Food and Chemical Toxicology","DOI":"10.1016/j.fct.2009.04.029","ISSN":"02786915","issue":"8","journalAbbreviation":"Food and Chemical Toxicology","language":"en","note":"number: 8","page":"1785-1790","source":"DOI.org (Crossref)","title":"Toxic and essential trace elemental contents in fish species from the Black Sea, Turkey","volume":"47","author":[{"family":"Tuzen","given":"Mustafa"}],"issued":{"date-parts":[["2009",8]]}}}],"schema":"https://github.com/citation-style-language/schema/raw/master/csl-citation.json"} </w:instrText>
            </w:r>
            <w:r w:rsidRPr="00D51377">
              <w:rPr>
                <w:sz w:val="20"/>
              </w:rPr>
              <w:fldChar w:fldCharType="separate"/>
            </w:r>
            <w:r w:rsidR="00635DB9" w:rsidRPr="00635DB9">
              <w:rPr>
                <w:rFonts w:cs="Times"/>
                <w:sz w:val="20"/>
              </w:rPr>
              <w:t>(23)</w:t>
            </w:r>
            <w:r w:rsidRPr="00D51377">
              <w:rPr>
                <w:sz w:val="20"/>
              </w:rPr>
              <w:fldChar w:fldCharType="end"/>
            </w:r>
          </w:p>
        </w:tc>
      </w:tr>
      <w:tr w:rsidR="00F10370" w:rsidRPr="00D51377" w14:paraId="2A490122" w14:textId="77777777" w:rsidTr="00BC4D75">
        <w:tc>
          <w:tcPr>
            <w:tcW w:w="3083" w:type="dxa"/>
          </w:tcPr>
          <w:p w14:paraId="28C9C52B" w14:textId="77777777" w:rsidR="00F10370" w:rsidRPr="00D51377" w:rsidRDefault="00F10370" w:rsidP="00F10370">
            <w:pPr>
              <w:rPr>
                <w:sz w:val="20"/>
                <w:szCs w:val="20"/>
              </w:rPr>
            </w:pPr>
          </w:p>
        </w:tc>
        <w:tc>
          <w:tcPr>
            <w:tcW w:w="2610" w:type="dxa"/>
          </w:tcPr>
          <w:p w14:paraId="5F9DC77B" w14:textId="77777777" w:rsidR="00F10370" w:rsidRPr="00D51377" w:rsidRDefault="00F10370" w:rsidP="00F10370">
            <w:pPr>
              <w:rPr>
                <w:i/>
                <w:iCs/>
                <w:sz w:val="20"/>
                <w:szCs w:val="20"/>
              </w:rPr>
            </w:pPr>
            <w:r w:rsidRPr="00D51377">
              <w:rPr>
                <w:i/>
                <w:iCs/>
                <w:sz w:val="20"/>
                <w:szCs w:val="20"/>
              </w:rPr>
              <w:t>Merlangius merlangus</w:t>
            </w:r>
          </w:p>
        </w:tc>
        <w:tc>
          <w:tcPr>
            <w:tcW w:w="1980" w:type="dxa"/>
          </w:tcPr>
          <w:p w14:paraId="42FA90C0" w14:textId="77777777" w:rsidR="00F10370" w:rsidRPr="00D51377" w:rsidRDefault="00F10370" w:rsidP="00F10370">
            <w:pPr>
              <w:rPr>
                <w:sz w:val="20"/>
                <w:szCs w:val="20"/>
              </w:rPr>
            </w:pPr>
            <w:r w:rsidRPr="00D51377">
              <w:rPr>
                <w:sz w:val="20"/>
                <w:szCs w:val="20"/>
              </w:rPr>
              <w:t>0,084 ± 0,05</w:t>
            </w:r>
          </w:p>
        </w:tc>
        <w:tc>
          <w:tcPr>
            <w:tcW w:w="1511" w:type="dxa"/>
          </w:tcPr>
          <w:p w14:paraId="218FF224" w14:textId="77777777" w:rsidR="00F10370" w:rsidRPr="00D51377" w:rsidRDefault="00F10370" w:rsidP="00F10370">
            <w:pPr>
              <w:rPr>
                <w:sz w:val="20"/>
                <w:szCs w:val="20"/>
              </w:rPr>
            </w:pPr>
          </w:p>
        </w:tc>
      </w:tr>
      <w:tr w:rsidR="00F10370" w:rsidRPr="00D51377" w14:paraId="1A97461E" w14:textId="77777777" w:rsidTr="00BC4D75">
        <w:tc>
          <w:tcPr>
            <w:tcW w:w="3083" w:type="dxa"/>
          </w:tcPr>
          <w:p w14:paraId="6689CF11" w14:textId="77777777" w:rsidR="00F10370" w:rsidRPr="00D51377" w:rsidRDefault="00F10370" w:rsidP="00F10370">
            <w:pPr>
              <w:rPr>
                <w:sz w:val="20"/>
                <w:szCs w:val="20"/>
              </w:rPr>
            </w:pPr>
          </w:p>
        </w:tc>
        <w:tc>
          <w:tcPr>
            <w:tcW w:w="2610" w:type="dxa"/>
          </w:tcPr>
          <w:p w14:paraId="4FD9AFB8" w14:textId="77777777" w:rsidR="00F10370" w:rsidRPr="00D51377" w:rsidRDefault="00F10370" w:rsidP="00F10370">
            <w:pPr>
              <w:rPr>
                <w:i/>
                <w:iCs/>
                <w:sz w:val="20"/>
                <w:szCs w:val="20"/>
              </w:rPr>
            </w:pPr>
            <w:r w:rsidRPr="00D51377">
              <w:rPr>
                <w:i/>
                <w:iCs/>
                <w:sz w:val="20"/>
                <w:szCs w:val="20"/>
              </w:rPr>
              <w:t>Mugil cephalus</w:t>
            </w:r>
          </w:p>
        </w:tc>
        <w:tc>
          <w:tcPr>
            <w:tcW w:w="1980" w:type="dxa"/>
          </w:tcPr>
          <w:p w14:paraId="6D36F8F0" w14:textId="77777777" w:rsidR="00F10370" w:rsidRPr="00D51377" w:rsidRDefault="00F10370" w:rsidP="00F10370">
            <w:pPr>
              <w:rPr>
                <w:sz w:val="20"/>
                <w:szCs w:val="20"/>
              </w:rPr>
            </w:pPr>
            <w:r w:rsidRPr="00D51377">
              <w:rPr>
                <w:sz w:val="20"/>
                <w:szCs w:val="20"/>
              </w:rPr>
              <w:t>0,070 ± 0,04</w:t>
            </w:r>
          </w:p>
        </w:tc>
        <w:tc>
          <w:tcPr>
            <w:tcW w:w="1511" w:type="dxa"/>
          </w:tcPr>
          <w:p w14:paraId="70F8F9E2" w14:textId="77777777" w:rsidR="00F10370" w:rsidRPr="00D51377" w:rsidRDefault="00F10370" w:rsidP="00F10370">
            <w:pPr>
              <w:rPr>
                <w:sz w:val="20"/>
                <w:szCs w:val="20"/>
              </w:rPr>
            </w:pPr>
          </w:p>
        </w:tc>
      </w:tr>
      <w:tr w:rsidR="00F10370" w:rsidRPr="00D51377" w14:paraId="49F8340D" w14:textId="77777777" w:rsidTr="00BC4D75">
        <w:tc>
          <w:tcPr>
            <w:tcW w:w="3083" w:type="dxa"/>
          </w:tcPr>
          <w:p w14:paraId="3869BFD8" w14:textId="77777777" w:rsidR="00F10370" w:rsidRPr="00D51377" w:rsidRDefault="00F10370" w:rsidP="00F10370">
            <w:pPr>
              <w:rPr>
                <w:sz w:val="20"/>
                <w:szCs w:val="20"/>
              </w:rPr>
            </w:pPr>
          </w:p>
        </w:tc>
        <w:tc>
          <w:tcPr>
            <w:tcW w:w="2610" w:type="dxa"/>
          </w:tcPr>
          <w:p w14:paraId="4BF19E3B" w14:textId="77777777" w:rsidR="00F10370" w:rsidRPr="00D51377" w:rsidRDefault="00F10370" w:rsidP="00F10370">
            <w:pPr>
              <w:rPr>
                <w:i/>
                <w:iCs/>
                <w:sz w:val="20"/>
                <w:szCs w:val="20"/>
              </w:rPr>
            </w:pPr>
            <w:r w:rsidRPr="00D51377">
              <w:rPr>
                <w:i/>
                <w:iCs/>
                <w:sz w:val="20"/>
                <w:szCs w:val="20"/>
              </w:rPr>
              <w:t>Pomatomus saltor</w:t>
            </w:r>
          </w:p>
        </w:tc>
        <w:tc>
          <w:tcPr>
            <w:tcW w:w="1980" w:type="dxa"/>
          </w:tcPr>
          <w:p w14:paraId="0F501255" w14:textId="77777777" w:rsidR="00F10370" w:rsidRPr="00D51377" w:rsidRDefault="00F10370" w:rsidP="00F10370">
            <w:pPr>
              <w:rPr>
                <w:sz w:val="20"/>
                <w:szCs w:val="20"/>
              </w:rPr>
            </w:pPr>
            <w:r w:rsidRPr="00D51377">
              <w:rPr>
                <w:sz w:val="20"/>
                <w:szCs w:val="20"/>
              </w:rPr>
              <w:t>0,062 ± 0,03</w:t>
            </w:r>
          </w:p>
        </w:tc>
        <w:tc>
          <w:tcPr>
            <w:tcW w:w="1511" w:type="dxa"/>
          </w:tcPr>
          <w:p w14:paraId="0DDBF2A4" w14:textId="77777777" w:rsidR="00F10370" w:rsidRPr="00D51377" w:rsidRDefault="00F10370" w:rsidP="00F10370">
            <w:pPr>
              <w:rPr>
                <w:sz w:val="20"/>
                <w:szCs w:val="20"/>
              </w:rPr>
            </w:pPr>
          </w:p>
        </w:tc>
      </w:tr>
      <w:tr w:rsidR="00F10370" w:rsidRPr="00D51377" w14:paraId="0C55B2E8" w14:textId="77777777" w:rsidTr="00BC4D75">
        <w:tc>
          <w:tcPr>
            <w:tcW w:w="3083" w:type="dxa"/>
          </w:tcPr>
          <w:p w14:paraId="6C6F38CA" w14:textId="77777777" w:rsidR="00F10370" w:rsidRPr="00D51377" w:rsidRDefault="00F10370" w:rsidP="00F10370">
            <w:pPr>
              <w:rPr>
                <w:sz w:val="20"/>
                <w:szCs w:val="20"/>
              </w:rPr>
            </w:pPr>
          </w:p>
        </w:tc>
        <w:tc>
          <w:tcPr>
            <w:tcW w:w="2610" w:type="dxa"/>
          </w:tcPr>
          <w:p w14:paraId="01E28A7C" w14:textId="77777777" w:rsidR="00F10370" w:rsidRPr="00D51377" w:rsidRDefault="00F10370" w:rsidP="00F10370">
            <w:pPr>
              <w:rPr>
                <w:i/>
                <w:iCs/>
                <w:sz w:val="20"/>
                <w:szCs w:val="20"/>
              </w:rPr>
            </w:pPr>
            <w:r w:rsidRPr="00D51377">
              <w:rPr>
                <w:i/>
                <w:iCs/>
                <w:sz w:val="20"/>
                <w:szCs w:val="20"/>
              </w:rPr>
              <w:t>Trachurus trachurus</w:t>
            </w:r>
          </w:p>
        </w:tc>
        <w:tc>
          <w:tcPr>
            <w:tcW w:w="1980" w:type="dxa"/>
          </w:tcPr>
          <w:p w14:paraId="6AE75624" w14:textId="77777777" w:rsidR="00F10370" w:rsidRPr="00D51377" w:rsidRDefault="00F10370" w:rsidP="00F10370">
            <w:pPr>
              <w:rPr>
                <w:sz w:val="20"/>
                <w:szCs w:val="20"/>
              </w:rPr>
            </w:pPr>
            <w:r w:rsidRPr="00D51377">
              <w:rPr>
                <w:sz w:val="20"/>
                <w:szCs w:val="20"/>
              </w:rPr>
              <w:t>0,078 ± 0,05</w:t>
            </w:r>
          </w:p>
        </w:tc>
        <w:tc>
          <w:tcPr>
            <w:tcW w:w="1511" w:type="dxa"/>
          </w:tcPr>
          <w:p w14:paraId="47E08B88" w14:textId="77777777" w:rsidR="00F10370" w:rsidRPr="00D51377" w:rsidRDefault="00F10370" w:rsidP="00F10370">
            <w:pPr>
              <w:rPr>
                <w:sz w:val="20"/>
                <w:szCs w:val="20"/>
              </w:rPr>
            </w:pPr>
          </w:p>
        </w:tc>
      </w:tr>
      <w:tr w:rsidR="00F10370" w:rsidRPr="00D51377" w14:paraId="62E854BA" w14:textId="77777777" w:rsidTr="00BC4D75">
        <w:tc>
          <w:tcPr>
            <w:tcW w:w="3083" w:type="dxa"/>
          </w:tcPr>
          <w:p w14:paraId="5609DA5D" w14:textId="77777777" w:rsidR="00F10370" w:rsidRPr="00D51377" w:rsidRDefault="00F10370" w:rsidP="00F10370">
            <w:pPr>
              <w:rPr>
                <w:sz w:val="20"/>
                <w:szCs w:val="20"/>
              </w:rPr>
            </w:pPr>
            <w:r w:rsidRPr="00D51377">
              <w:rPr>
                <w:sz w:val="20"/>
                <w:szCs w:val="20"/>
              </w:rPr>
              <w:t>The Congolese Atlantic Coastal, Republic of Congo</w:t>
            </w:r>
          </w:p>
        </w:tc>
        <w:tc>
          <w:tcPr>
            <w:tcW w:w="2610" w:type="dxa"/>
          </w:tcPr>
          <w:p w14:paraId="530B012B" w14:textId="77777777" w:rsidR="00F10370" w:rsidRPr="00D51377" w:rsidRDefault="00F10370" w:rsidP="00F10370">
            <w:pPr>
              <w:rPr>
                <w:i/>
                <w:iCs/>
                <w:sz w:val="20"/>
                <w:szCs w:val="20"/>
              </w:rPr>
            </w:pPr>
            <w:r w:rsidRPr="00D51377">
              <w:rPr>
                <w:i/>
                <w:iCs/>
                <w:sz w:val="20"/>
                <w:szCs w:val="20"/>
              </w:rPr>
              <w:t>Arius latiscutatus</w:t>
            </w:r>
          </w:p>
        </w:tc>
        <w:tc>
          <w:tcPr>
            <w:tcW w:w="1980" w:type="dxa"/>
          </w:tcPr>
          <w:p w14:paraId="6838B139" w14:textId="77777777" w:rsidR="00F10370" w:rsidRPr="00D51377" w:rsidRDefault="00F10370" w:rsidP="00F10370">
            <w:pPr>
              <w:rPr>
                <w:sz w:val="20"/>
                <w:szCs w:val="20"/>
              </w:rPr>
            </w:pPr>
            <w:r w:rsidRPr="00D51377">
              <w:rPr>
                <w:sz w:val="20"/>
                <w:szCs w:val="20"/>
              </w:rPr>
              <w:t>0.41±0.23</w:t>
            </w:r>
          </w:p>
        </w:tc>
        <w:tc>
          <w:tcPr>
            <w:tcW w:w="1511" w:type="dxa"/>
          </w:tcPr>
          <w:p w14:paraId="61F3D968" w14:textId="444B052F" w:rsidR="00F10370" w:rsidRPr="00D51377" w:rsidRDefault="00F10370" w:rsidP="00F10370">
            <w:pPr>
              <w:rPr>
                <w:sz w:val="20"/>
                <w:szCs w:val="20"/>
              </w:rPr>
            </w:pPr>
            <w:r w:rsidRPr="00D51377">
              <w:rPr>
                <w:sz w:val="20"/>
              </w:rPr>
              <w:fldChar w:fldCharType="begin"/>
            </w:r>
            <w:r w:rsidR="00635DB9">
              <w:rPr>
                <w:sz w:val="20"/>
                <w:szCs w:val="20"/>
              </w:rPr>
              <w:instrText xml:space="preserve"> ADDIN ZOTERO_ITEM CSL_CITATION {"citationID":"E5f46bNf","properties":{"formattedCitation":"(24)","plainCitation":"(24)","noteIndex":0},"citationItems":[{"id":26,"uris":["http://zotero.org/users/local/9dyqp7oC/items/9WLIWC3F"],"uri":["http://zotero.org/users/local/9dyqp7oC/items/9WLIWC3F"],"itemData":{"id":26,"type":"article-journal","container-title":"Journal of Food Composition and Analysis","DOI":"10.1016/j.jfca.2018.07.006","ISSN":"08891575","journalAbbreviation":"Journal of Food Composition and Analysis","language":"en","page":"1-9","source":"DOI.org (Crossref)","title":"Concentration of heavy metals in edible fishes from Atlantic Coast of Muanda, Democratic Republic of the Congo","volume":"73","author":[{"family":"Suami","given":"Robert B."},{"family":"Sivalingam","given":"Periyasamy"},{"family":"Kabala","given":"César D."},{"family":"Otamonga","given":"J.-P."},{"family":"Mulaji","given":"Crispin K."},{"family":"Mpiana","given":"Pius T."},{"family":"Poté","given":"John"}],"issued":{"date-parts":[["2018",10]]}}}],"schema":"https://github.com/citation-style-language/schema/raw/master/csl-citation.json"} </w:instrText>
            </w:r>
            <w:r w:rsidRPr="00D51377">
              <w:rPr>
                <w:sz w:val="20"/>
              </w:rPr>
              <w:fldChar w:fldCharType="separate"/>
            </w:r>
            <w:r w:rsidR="00635DB9" w:rsidRPr="00635DB9">
              <w:rPr>
                <w:rFonts w:cs="Times"/>
                <w:sz w:val="20"/>
              </w:rPr>
              <w:t>(24)</w:t>
            </w:r>
            <w:r w:rsidRPr="00D51377">
              <w:rPr>
                <w:sz w:val="20"/>
              </w:rPr>
              <w:fldChar w:fldCharType="end"/>
            </w:r>
          </w:p>
        </w:tc>
      </w:tr>
      <w:tr w:rsidR="00F10370" w:rsidRPr="00D51377" w14:paraId="43F40851" w14:textId="77777777" w:rsidTr="00BC4D75">
        <w:tc>
          <w:tcPr>
            <w:tcW w:w="3083" w:type="dxa"/>
          </w:tcPr>
          <w:p w14:paraId="7DF0692E" w14:textId="77777777" w:rsidR="00F10370" w:rsidRPr="00D51377" w:rsidRDefault="00F10370" w:rsidP="00F10370">
            <w:pPr>
              <w:rPr>
                <w:sz w:val="20"/>
                <w:szCs w:val="20"/>
              </w:rPr>
            </w:pPr>
          </w:p>
        </w:tc>
        <w:tc>
          <w:tcPr>
            <w:tcW w:w="2610" w:type="dxa"/>
          </w:tcPr>
          <w:p w14:paraId="0B001634" w14:textId="77777777" w:rsidR="00F10370" w:rsidRPr="00D51377" w:rsidRDefault="00F10370" w:rsidP="00F10370">
            <w:pPr>
              <w:rPr>
                <w:i/>
                <w:iCs/>
                <w:sz w:val="20"/>
                <w:szCs w:val="20"/>
              </w:rPr>
            </w:pPr>
            <w:r w:rsidRPr="00D51377">
              <w:rPr>
                <w:i/>
                <w:iCs/>
                <w:sz w:val="20"/>
                <w:szCs w:val="20"/>
              </w:rPr>
              <w:t>Pentanemus quinquarius</w:t>
            </w:r>
          </w:p>
        </w:tc>
        <w:tc>
          <w:tcPr>
            <w:tcW w:w="1980" w:type="dxa"/>
          </w:tcPr>
          <w:p w14:paraId="1D60928C" w14:textId="77777777" w:rsidR="00F10370" w:rsidRPr="00D51377" w:rsidRDefault="00F10370" w:rsidP="00F10370">
            <w:pPr>
              <w:rPr>
                <w:sz w:val="20"/>
                <w:szCs w:val="20"/>
              </w:rPr>
            </w:pPr>
            <w:r w:rsidRPr="00D51377">
              <w:rPr>
                <w:sz w:val="20"/>
                <w:szCs w:val="20"/>
              </w:rPr>
              <w:t>0.47±0.32</w:t>
            </w:r>
          </w:p>
        </w:tc>
        <w:tc>
          <w:tcPr>
            <w:tcW w:w="1511" w:type="dxa"/>
          </w:tcPr>
          <w:p w14:paraId="1CE2CD8B" w14:textId="77777777" w:rsidR="00F10370" w:rsidRPr="00D51377" w:rsidRDefault="00F10370" w:rsidP="00F10370">
            <w:pPr>
              <w:rPr>
                <w:sz w:val="20"/>
                <w:szCs w:val="20"/>
              </w:rPr>
            </w:pPr>
          </w:p>
        </w:tc>
      </w:tr>
      <w:tr w:rsidR="00F10370" w:rsidRPr="00D51377" w14:paraId="105B545C" w14:textId="77777777" w:rsidTr="00BC4D75">
        <w:tc>
          <w:tcPr>
            <w:tcW w:w="3083" w:type="dxa"/>
          </w:tcPr>
          <w:p w14:paraId="03EFD575" w14:textId="77777777" w:rsidR="00F10370" w:rsidRPr="00D51377" w:rsidRDefault="00F10370" w:rsidP="00F10370">
            <w:pPr>
              <w:rPr>
                <w:sz w:val="20"/>
                <w:szCs w:val="20"/>
              </w:rPr>
            </w:pPr>
          </w:p>
        </w:tc>
        <w:tc>
          <w:tcPr>
            <w:tcW w:w="2610" w:type="dxa"/>
          </w:tcPr>
          <w:p w14:paraId="22DCAEAA" w14:textId="77777777" w:rsidR="00F10370" w:rsidRPr="00D51377" w:rsidRDefault="00F10370" w:rsidP="00F10370">
            <w:pPr>
              <w:rPr>
                <w:i/>
                <w:iCs/>
                <w:sz w:val="20"/>
                <w:szCs w:val="20"/>
              </w:rPr>
            </w:pPr>
            <w:r w:rsidRPr="00D51377">
              <w:rPr>
                <w:i/>
                <w:iCs/>
                <w:sz w:val="20"/>
                <w:szCs w:val="20"/>
              </w:rPr>
              <w:t>Pseudotolithus elongatus</w:t>
            </w:r>
          </w:p>
        </w:tc>
        <w:tc>
          <w:tcPr>
            <w:tcW w:w="1980" w:type="dxa"/>
          </w:tcPr>
          <w:p w14:paraId="07257C57" w14:textId="77777777" w:rsidR="00F10370" w:rsidRPr="00D51377" w:rsidRDefault="00F10370" w:rsidP="00F10370">
            <w:pPr>
              <w:rPr>
                <w:sz w:val="20"/>
                <w:szCs w:val="20"/>
              </w:rPr>
            </w:pPr>
            <w:r w:rsidRPr="00D51377">
              <w:rPr>
                <w:sz w:val="20"/>
                <w:szCs w:val="20"/>
              </w:rPr>
              <w:t>0.49±0.32</w:t>
            </w:r>
          </w:p>
        </w:tc>
        <w:tc>
          <w:tcPr>
            <w:tcW w:w="1511" w:type="dxa"/>
          </w:tcPr>
          <w:p w14:paraId="441FBB25" w14:textId="77777777" w:rsidR="00F10370" w:rsidRPr="00D51377" w:rsidRDefault="00F10370" w:rsidP="00F10370">
            <w:pPr>
              <w:rPr>
                <w:sz w:val="20"/>
                <w:szCs w:val="20"/>
              </w:rPr>
            </w:pPr>
          </w:p>
        </w:tc>
      </w:tr>
      <w:tr w:rsidR="00F10370" w:rsidRPr="00D51377" w14:paraId="5A57AF80" w14:textId="77777777" w:rsidTr="00BC4D75">
        <w:tc>
          <w:tcPr>
            <w:tcW w:w="3083" w:type="dxa"/>
          </w:tcPr>
          <w:p w14:paraId="22DA19D0" w14:textId="77777777" w:rsidR="00F10370" w:rsidRPr="00D51377" w:rsidRDefault="00F10370" w:rsidP="00F10370">
            <w:pPr>
              <w:rPr>
                <w:sz w:val="20"/>
                <w:szCs w:val="20"/>
              </w:rPr>
            </w:pPr>
            <w:r w:rsidRPr="00D51377">
              <w:rPr>
                <w:sz w:val="20"/>
                <w:szCs w:val="20"/>
              </w:rPr>
              <w:t>Tunisian Sea</w:t>
            </w:r>
          </w:p>
        </w:tc>
        <w:tc>
          <w:tcPr>
            <w:tcW w:w="2610" w:type="dxa"/>
          </w:tcPr>
          <w:p w14:paraId="241D1768" w14:textId="77777777" w:rsidR="00F10370" w:rsidRPr="00D51377" w:rsidRDefault="00F10370" w:rsidP="00F10370">
            <w:pPr>
              <w:rPr>
                <w:i/>
                <w:iCs/>
                <w:sz w:val="20"/>
                <w:szCs w:val="20"/>
              </w:rPr>
            </w:pPr>
            <w:r w:rsidRPr="00D51377">
              <w:rPr>
                <w:i/>
                <w:iCs/>
                <w:sz w:val="20"/>
                <w:szCs w:val="20"/>
              </w:rPr>
              <w:t>Sardinella aurita</w:t>
            </w:r>
          </w:p>
        </w:tc>
        <w:tc>
          <w:tcPr>
            <w:tcW w:w="1980" w:type="dxa"/>
          </w:tcPr>
          <w:p w14:paraId="0B17B844" w14:textId="3F608207" w:rsidR="00F10370" w:rsidRPr="00D51377" w:rsidRDefault="00F10370" w:rsidP="00F10370">
            <w:pPr>
              <w:rPr>
                <w:sz w:val="20"/>
                <w:szCs w:val="20"/>
              </w:rPr>
            </w:pPr>
            <w:r w:rsidRPr="00D51377">
              <w:rPr>
                <w:sz w:val="20"/>
                <w:szCs w:val="20"/>
              </w:rPr>
              <w:t>0.339 x 10</w:t>
            </w:r>
            <w:r w:rsidRPr="00D51377">
              <w:rPr>
                <w:sz w:val="20"/>
                <w:szCs w:val="20"/>
                <w:vertAlign w:val="superscript"/>
              </w:rPr>
              <w:t>-3</w:t>
            </w:r>
          </w:p>
        </w:tc>
        <w:tc>
          <w:tcPr>
            <w:tcW w:w="1511" w:type="dxa"/>
          </w:tcPr>
          <w:p w14:paraId="2804C71F" w14:textId="0CB81F28" w:rsidR="00F10370" w:rsidRPr="00D51377" w:rsidRDefault="00F10370" w:rsidP="00F10370">
            <w:pPr>
              <w:rPr>
                <w:sz w:val="20"/>
                <w:szCs w:val="20"/>
              </w:rPr>
            </w:pPr>
            <w:r w:rsidRPr="00D51377">
              <w:rPr>
                <w:sz w:val="20"/>
              </w:rPr>
              <w:fldChar w:fldCharType="begin"/>
            </w:r>
            <w:r w:rsidR="00635DB9">
              <w:rPr>
                <w:sz w:val="20"/>
                <w:szCs w:val="20"/>
              </w:rPr>
              <w:instrText xml:space="preserve"> ADDIN ZOTERO_ITEM CSL_CITATION {"citationID":"o8vtoMXM","properties":{"formattedCitation":"(25)","plainCitation":"(25)","noteIndex":0},"citationItems":[{"id":66,"uris":["http://zotero.org/users/local/9dyqp7oC/items/VNQPREYZ"],"uri":["http://zotero.org/users/local/9dyqp7oC/items/VNQPREYZ"],"itemData":{"id":66,"type":"article-journal","container-title":"Marine Pollution Bulletin","DOI":"10.1016/S0025-326X(98)00171-4","ISSN":"0025326X","issue":"3","journalAbbreviation":"Marine Pollution Bulletin","language":"en","page":"188-192","source":"DOI.org (Crossref)","title":"Total and Methylmercury in Sardines Sardinella aurita and Sardina pilchardus from Tunisia","volume":"38","author":[{"family":"R. Joiris","given":"Claude"},{"family":"Holsbeek","given":"Ludo"},{"family":"Laroussi moatemri","given":"Nejib"}],"issued":{"date-parts":[["1999",3]]}}}],"schema":"https://github.com/citation-style-language/schema/raw/master/csl-citation.json"} </w:instrText>
            </w:r>
            <w:r w:rsidRPr="00D51377">
              <w:rPr>
                <w:sz w:val="20"/>
              </w:rPr>
              <w:fldChar w:fldCharType="separate"/>
            </w:r>
            <w:r w:rsidR="00635DB9" w:rsidRPr="00635DB9">
              <w:rPr>
                <w:rFonts w:cs="Times"/>
                <w:sz w:val="20"/>
              </w:rPr>
              <w:t>(25)</w:t>
            </w:r>
            <w:r w:rsidRPr="00D51377">
              <w:rPr>
                <w:sz w:val="20"/>
              </w:rPr>
              <w:fldChar w:fldCharType="end"/>
            </w:r>
          </w:p>
        </w:tc>
      </w:tr>
      <w:tr w:rsidR="00F10370" w:rsidRPr="00D51377" w14:paraId="677A12F0" w14:textId="77777777" w:rsidTr="00BC4D75">
        <w:tc>
          <w:tcPr>
            <w:tcW w:w="3083" w:type="dxa"/>
          </w:tcPr>
          <w:p w14:paraId="70F4A706" w14:textId="77777777" w:rsidR="00F10370" w:rsidRPr="00D51377" w:rsidRDefault="00F10370" w:rsidP="00F10370">
            <w:pPr>
              <w:rPr>
                <w:sz w:val="20"/>
                <w:szCs w:val="20"/>
              </w:rPr>
            </w:pPr>
          </w:p>
        </w:tc>
        <w:tc>
          <w:tcPr>
            <w:tcW w:w="2610" w:type="dxa"/>
          </w:tcPr>
          <w:p w14:paraId="74B89619" w14:textId="77777777" w:rsidR="00F10370" w:rsidRPr="00D51377" w:rsidRDefault="00F10370" w:rsidP="00F10370">
            <w:pPr>
              <w:rPr>
                <w:i/>
                <w:iCs/>
                <w:sz w:val="20"/>
                <w:szCs w:val="20"/>
              </w:rPr>
            </w:pPr>
            <w:r w:rsidRPr="00D51377">
              <w:rPr>
                <w:i/>
                <w:iCs/>
                <w:sz w:val="20"/>
                <w:szCs w:val="20"/>
              </w:rPr>
              <w:t>Sardina pilchardus</w:t>
            </w:r>
          </w:p>
        </w:tc>
        <w:tc>
          <w:tcPr>
            <w:tcW w:w="1980" w:type="dxa"/>
          </w:tcPr>
          <w:p w14:paraId="68634646" w14:textId="7CD8E621" w:rsidR="00F10370" w:rsidRPr="00D51377" w:rsidRDefault="00F10370" w:rsidP="00F10370">
            <w:pPr>
              <w:rPr>
                <w:sz w:val="20"/>
                <w:szCs w:val="20"/>
              </w:rPr>
            </w:pPr>
            <w:r w:rsidRPr="00D51377">
              <w:rPr>
                <w:sz w:val="20"/>
                <w:szCs w:val="20"/>
              </w:rPr>
              <w:t>0.647 x 10</w:t>
            </w:r>
            <w:r w:rsidRPr="00D51377">
              <w:rPr>
                <w:sz w:val="20"/>
                <w:szCs w:val="20"/>
                <w:vertAlign w:val="superscript"/>
              </w:rPr>
              <w:t>-3</w:t>
            </w:r>
          </w:p>
        </w:tc>
        <w:tc>
          <w:tcPr>
            <w:tcW w:w="1511" w:type="dxa"/>
          </w:tcPr>
          <w:p w14:paraId="438BDBBF" w14:textId="77777777" w:rsidR="00F10370" w:rsidRPr="00D51377" w:rsidRDefault="00F10370" w:rsidP="00F10370">
            <w:pPr>
              <w:rPr>
                <w:sz w:val="20"/>
                <w:szCs w:val="20"/>
              </w:rPr>
            </w:pPr>
          </w:p>
        </w:tc>
      </w:tr>
      <w:tr w:rsidR="00F10370" w:rsidRPr="00D51377" w14:paraId="09EB8A53" w14:textId="77777777" w:rsidTr="00BC4D75">
        <w:tc>
          <w:tcPr>
            <w:tcW w:w="3083" w:type="dxa"/>
          </w:tcPr>
          <w:p w14:paraId="5135783F" w14:textId="72F756C3" w:rsidR="00F10370" w:rsidRPr="00D51377" w:rsidRDefault="00F10370" w:rsidP="00F10370">
            <w:pPr>
              <w:rPr>
                <w:sz w:val="20"/>
                <w:szCs w:val="20"/>
              </w:rPr>
            </w:pPr>
            <w:r w:rsidRPr="00D51377">
              <w:rPr>
                <w:sz w:val="20"/>
                <w:szCs w:val="20"/>
              </w:rPr>
              <w:t>Atlantic Ocean, Southeast Brazil</w:t>
            </w:r>
          </w:p>
        </w:tc>
        <w:tc>
          <w:tcPr>
            <w:tcW w:w="2610" w:type="dxa"/>
          </w:tcPr>
          <w:p w14:paraId="0B52FAC8" w14:textId="77777777" w:rsidR="00F10370" w:rsidRPr="00D51377" w:rsidRDefault="00F10370" w:rsidP="00F10370">
            <w:pPr>
              <w:rPr>
                <w:i/>
                <w:iCs/>
                <w:sz w:val="20"/>
                <w:szCs w:val="20"/>
              </w:rPr>
            </w:pPr>
            <w:r w:rsidRPr="00D51377">
              <w:rPr>
                <w:i/>
                <w:iCs/>
                <w:sz w:val="20"/>
                <w:szCs w:val="20"/>
              </w:rPr>
              <w:t>Sardinella brasiliensis</w:t>
            </w:r>
          </w:p>
        </w:tc>
        <w:tc>
          <w:tcPr>
            <w:tcW w:w="1980" w:type="dxa"/>
          </w:tcPr>
          <w:p w14:paraId="096B81BB" w14:textId="77777777" w:rsidR="00F10370" w:rsidRPr="00D51377" w:rsidRDefault="00F10370" w:rsidP="00F10370">
            <w:pPr>
              <w:rPr>
                <w:sz w:val="20"/>
                <w:szCs w:val="20"/>
              </w:rPr>
            </w:pPr>
            <w:r w:rsidRPr="00D51377">
              <w:rPr>
                <w:sz w:val="20"/>
                <w:szCs w:val="20"/>
              </w:rPr>
              <w:t>0.128 ± 0.045</w:t>
            </w:r>
          </w:p>
        </w:tc>
        <w:tc>
          <w:tcPr>
            <w:tcW w:w="1511" w:type="dxa"/>
          </w:tcPr>
          <w:p w14:paraId="7C5CA9D0" w14:textId="5D31FC11" w:rsidR="00F10370" w:rsidRPr="00D51377" w:rsidRDefault="00F10370" w:rsidP="00F10370">
            <w:pPr>
              <w:rPr>
                <w:sz w:val="20"/>
                <w:szCs w:val="20"/>
              </w:rPr>
            </w:pPr>
            <w:r w:rsidRPr="00D51377">
              <w:rPr>
                <w:sz w:val="20"/>
              </w:rPr>
              <w:fldChar w:fldCharType="begin"/>
            </w:r>
            <w:r w:rsidR="00635DB9">
              <w:rPr>
                <w:sz w:val="20"/>
                <w:szCs w:val="20"/>
              </w:rPr>
              <w:instrText xml:space="preserve"> ADDIN ZOTERO_ITEM CSL_CITATION {"citationID":"8DH88CT8","properties":{"formattedCitation":"(26)","plainCitation":"(26)","noteIndex":0},"citationItems":[{"id":68,"uris":["http://zotero.org/users/local/9dyqp7oC/items/MEHPUFZG"],"uri":["http://zotero.org/users/local/9dyqp7oC/items/MEHPUFZG"],"itemData":{"id":68,"type":"article-journal","abstract":"Mercury distribution in the oceans is controlled by complex biogeochemical cycles, resulting in retention of trace amounts of this metal in marine biota. The impact of upwelling processes in this metal behavior has been overlooked. Data from literature are insufficient to evaluate the risks associated with the presence of mercury in the fish collected in upwelling areas and its consumers. Therefore, the aim of the present work was to perform a study of mercury speciation in four fish species belonging to different trophic levels from Cabo Frio-Brazil upwelling region. The total mercury content vary of 53 ng g-1 (Sardinella brasiliensis -sardine) to 1215 ng g-1 (Cynoscion striatus -striped weakfish) and, with exception of the planktivorous fish, methylmercury levels reaches circa 90% of total mercury concentration.\n          , \n            A distribuição de Mercúrio nos oceanos é controlada por um complexo ciclo biogeoquímico, resultando na retenção de pequenas quantidades na biota marinha. O impacto dos processos de ressurgência costeira no comportamento desse metal tem sido negligenciado. Dados da literatura são insuficientes para elucidar o risco associado com a presença de mercúrio em peixes capturados em áreas de ressurgência e seus consumidores. Portanto o objetivo do presente trabalho foi realizar um estudo de especiação de mercúrio em quatro espécies de peixes pertencentes a diferentes níveis tróficos da região de ressurgência de Cabo Frio-Brasil. O conteúdo total de mercúrio variou de 53 ng g-1 (Sardinella brasiliensis -sardinha) to 1215 ng g-1 (Cynoscion striatus -pescada) e, com exceção da espécie planctivora, os níveis de metilmercúrio atingem cerca de 90% da concentração total de mercúrio.","container-title":"Brazilian Journal of Oceanography","DOI":"10.1590/S1679-87592011000300006","ISSN":"1679-8759","issue":"3","journalAbbreviation":"Braz. j. oceanogr.","language":"en","page":"259-266","source":"DOI.org (Crossref)","title":"Mercury speciation in fish of the Cabo Frio upwelling region, SE-Brazil","volume":"59","author":[{"family":"Silva","given":"Carlos Alberto","dropping-particle":"da"},{"family":"Tessier","given":"Emmanuel"},{"family":"Kütter","given":"Vinicius Tavares"},{"family":"Wasserman","given":"Julio Cesar"},{"family":"Donard","given":"Olivier F. X."},{"family":"Silva-Filho","given":"Emmanoel Vieira"}],"issued":{"date-parts":[["2011",9]]}}}],"schema":"https://github.com/citation-style-language/schema/raw/master/csl-citation.json"} </w:instrText>
            </w:r>
            <w:r w:rsidRPr="00D51377">
              <w:rPr>
                <w:sz w:val="20"/>
              </w:rPr>
              <w:fldChar w:fldCharType="separate"/>
            </w:r>
            <w:r w:rsidR="00635DB9" w:rsidRPr="00635DB9">
              <w:rPr>
                <w:rFonts w:cs="Times"/>
                <w:sz w:val="20"/>
              </w:rPr>
              <w:t>(26)</w:t>
            </w:r>
            <w:r w:rsidRPr="00D51377">
              <w:rPr>
                <w:sz w:val="20"/>
              </w:rPr>
              <w:fldChar w:fldCharType="end"/>
            </w:r>
          </w:p>
        </w:tc>
      </w:tr>
      <w:tr w:rsidR="00F10370" w:rsidRPr="00D51377" w14:paraId="683F47DF" w14:textId="77777777" w:rsidTr="00BC4D75">
        <w:tc>
          <w:tcPr>
            <w:tcW w:w="3083" w:type="dxa"/>
          </w:tcPr>
          <w:p w14:paraId="2C264C13" w14:textId="77777777" w:rsidR="00F10370" w:rsidRPr="00D51377" w:rsidRDefault="00F10370" w:rsidP="00F10370">
            <w:pPr>
              <w:rPr>
                <w:sz w:val="20"/>
                <w:szCs w:val="20"/>
              </w:rPr>
            </w:pPr>
          </w:p>
        </w:tc>
        <w:tc>
          <w:tcPr>
            <w:tcW w:w="2610" w:type="dxa"/>
          </w:tcPr>
          <w:p w14:paraId="5441380A" w14:textId="77777777" w:rsidR="00F10370" w:rsidRPr="00D51377" w:rsidRDefault="00F10370" w:rsidP="00F10370">
            <w:pPr>
              <w:rPr>
                <w:i/>
                <w:iCs/>
                <w:sz w:val="20"/>
                <w:szCs w:val="20"/>
              </w:rPr>
            </w:pPr>
            <w:r w:rsidRPr="00D51377">
              <w:rPr>
                <w:i/>
                <w:iCs/>
                <w:sz w:val="20"/>
                <w:szCs w:val="20"/>
              </w:rPr>
              <w:t>Caranx latus</w:t>
            </w:r>
          </w:p>
        </w:tc>
        <w:tc>
          <w:tcPr>
            <w:tcW w:w="1980" w:type="dxa"/>
          </w:tcPr>
          <w:p w14:paraId="650FA7E1" w14:textId="77777777" w:rsidR="00F10370" w:rsidRPr="00D51377" w:rsidRDefault="00F10370" w:rsidP="00F10370">
            <w:pPr>
              <w:rPr>
                <w:sz w:val="20"/>
                <w:szCs w:val="20"/>
              </w:rPr>
            </w:pPr>
            <w:r w:rsidRPr="00D51377">
              <w:rPr>
                <w:sz w:val="20"/>
                <w:szCs w:val="20"/>
              </w:rPr>
              <w:t>0.211 ± 0.113</w:t>
            </w:r>
          </w:p>
        </w:tc>
        <w:tc>
          <w:tcPr>
            <w:tcW w:w="1511" w:type="dxa"/>
          </w:tcPr>
          <w:p w14:paraId="24A8512F" w14:textId="77777777" w:rsidR="00F10370" w:rsidRPr="00D51377" w:rsidRDefault="00F10370" w:rsidP="00F10370">
            <w:pPr>
              <w:rPr>
                <w:sz w:val="20"/>
                <w:szCs w:val="20"/>
              </w:rPr>
            </w:pPr>
          </w:p>
        </w:tc>
      </w:tr>
      <w:tr w:rsidR="00F10370" w:rsidRPr="00D51377" w14:paraId="11A79D2D" w14:textId="77777777" w:rsidTr="00BC4D75">
        <w:tc>
          <w:tcPr>
            <w:tcW w:w="3083" w:type="dxa"/>
          </w:tcPr>
          <w:p w14:paraId="5EB52102" w14:textId="77777777" w:rsidR="00F10370" w:rsidRPr="00D51377" w:rsidRDefault="00F10370" w:rsidP="00F10370">
            <w:pPr>
              <w:rPr>
                <w:sz w:val="20"/>
                <w:szCs w:val="20"/>
              </w:rPr>
            </w:pPr>
          </w:p>
        </w:tc>
        <w:tc>
          <w:tcPr>
            <w:tcW w:w="2610" w:type="dxa"/>
          </w:tcPr>
          <w:p w14:paraId="65C03240" w14:textId="77777777" w:rsidR="00F10370" w:rsidRPr="00D51377" w:rsidRDefault="00F10370" w:rsidP="00F10370">
            <w:pPr>
              <w:rPr>
                <w:i/>
                <w:iCs/>
                <w:sz w:val="20"/>
                <w:szCs w:val="20"/>
              </w:rPr>
            </w:pPr>
            <w:r w:rsidRPr="00D51377">
              <w:rPr>
                <w:i/>
                <w:iCs/>
                <w:sz w:val="20"/>
                <w:szCs w:val="20"/>
              </w:rPr>
              <w:t>Katsuwonus pelamis</w:t>
            </w:r>
          </w:p>
        </w:tc>
        <w:tc>
          <w:tcPr>
            <w:tcW w:w="1980" w:type="dxa"/>
          </w:tcPr>
          <w:p w14:paraId="1954AA01" w14:textId="77777777" w:rsidR="00F10370" w:rsidRPr="00D51377" w:rsidRDefault="00F10370" w:rsidP="00F10370">
            <w:pPr>
              <w:rPr>
                <w:sz w:val="20"/>
                <w:szCs w:val="20"/>
              </w:rPr>
            </w:pPr>
            <w:r w:rsidRPr="00D51377">
              <w:rPr>
                <w:sz w:val="20"/>
                <w:szCs w:val="20"/>
              </w:rPr>
              <w:t>0.210 ± 0.362</w:t>
            </w:r>
          </w:p>
        </w:tc>
        <w:tc>
          <w:tcPr>
            <w:tcW w:w="1511" w:type="dxa"/>
          </w:tcPr>
          <w:p w14:paraId="600A994A" w14:textId="77777777" w:rsidR="00F10370" w:rsidRPr="00D51377" w:rsidRDefault="00F10370" w:rsidP="00F10370">
            <w:pPr>
              <w:rPr>
                <w:sz w:val="20"/>
                <w:szCs w:val="20"/>
              </w:rPr>
            </w:pPr>
          </w:p>
        </w:tc>
      </w:tr>
      <w:tr w:rsidR="00F10370" w:rsidRPr="00D51377" w14:paraId="37886902" w14:textId="77777777" w:rsidTr="00BC4D75">
        <w:tc>
          <w:tcPr>
            <w:tcW w:w="3083" w:type="dxa"/>
          </w:tcPr>
          <w:p w14:paraId="635157BB" w14:textId="2A4E6742" w:rsidR="00F10370" w:rsidRPr="00D51377" w:rsidRDefault="00F10370" w:rsidP="00F10370">
            <w:pPr>
              <w:rPr>
                <w:sz w:val="20"/>
                <w:szCs w:val="20"/>
              </w:rPr>
            </w:pPr>
            <w:r w:rsidRPr="00D51377">
              <w:rPr>
                <w:sz w:val="20"/>
                <w:szCs w:val="20"/>
              </w:rPr>
              <w:t>Peninsular, Malaysia</w:t>
            </w:r>
          </w:p>
        </w:tc>
        <w:tc>
          <w:tcPr>
            <w:tcW w:w="2610" w:type="dxa"/>
          </w:tcPr>
          <w:p w14:paraId="429F8962" w14:textId="77777777" w:rsidR="00F10370" w:rsidRPr="00D51377" w:rsidRDefault="00F10370" w:rsidP="00F10370">
            <w:pPr>
              <w:rPr>
                <w:i/>
                <w:iCs/>
                <w:sz w:val="20"/>
                <w:szCs w:val="20"/>
              </w:rPr>
            </w:pPr>
            <w:r w:rsidRPr="00D51377">
              <w:rPr>
                <w:i/>
                <w:iCs/>
                <w:sz w:val="20"/>
                <w:szCs w:val="20"/>
              </w:rPr>
              <w:t>Selar boops</w:t>
            </w:r>
          </w:p>
        </w:tc>
        <w:tc>
          <w:tcPr>
            <w:tcW w:w="1980" w:type="dxa"/>
          </w:tcPr>
          <w:p w14:paraId="7D665661" w14:textId="77777777" w:rsidR="00F10370" w:rsidRPr="00D51377" w:rsidRDefault="00F10370" w:rsidP="00F10370">
            <w:pPr>
              <w:rPr>
                <w:sz w:val="20"/>
                <w:szCs w:val="20"/>
              </w:rPr>
            </w:pPr>
            <w:r w:rsidRPr="00D51377">
              <w:rPr>
                <w:sz w:val="20"/>
                <w:szCs w:val="20"/>
              </w:rPr>
              <w:t>0.555</w:t>
            </w:r>
          </w:p>
        </w:tc>
        <w:tc>
          <w:tcPr>
            <w:tcW w:w="1511" w:type="dxa"/>
          </w:tcPr>
          <w:p w14:paraId="5A0CC903" w14:textId="315F0A87" w:rsidR="00F10370" w:rsidRPr="00D51377" w:rsidRDefault="00F10370" w:rsidP="00F10370">
            <w:pPr>
              <w:rPr>
                <w:sz w:val="20"/>
                <w:szCs w:val="20"/>
              </w:rPr>
            </w:pPr>
            <w:r w:rsidRPr="00D51377">
              <w:rPr>
                <w:sz w:val="20"/>
              </w:rPr>
              <w:fldChar w:fldCharType="begin"/>
            </w:r>
            <w:r w:rsidR="00635DB9">
              <w:rPr>
                <w:sz w:val="20"/>
                <w:szCs w:val="20"/>
              </w:rPr>
              <w:instrText xml:space="preserve"> ADDIN ZOTERO_ITEM CSL_CITATION {"citationID":"NxGwagSe","properties":{"formattedCitation":"(27)","plainCitation":"(27)","noteIndex":0},"citationItems":[{"id":72,"uris":["http://zotero.org/users/local/9dyqp7oC/items/3LL9N85S"],"uri":["http://zotero.org/users/local/9dyqp7oC/items/3LL9N85S"],"itemData":{"id":72,"type":"article-journal","container-title":"Environmental Science and Pollution Research","DOI":"10.1007/s11356-014-3538-8","ISSN":"0944-1344, 1614-7499","issue":"5","journalAbbreviation":"Environ Sci Pollut Res","language":"en","page":"3672-3686","source":"DOI.org (Crossref)","title":"Mercury levels of marine fish commonly consumed in Peninsular Malaysia","volume":"22","author":[{"family":"Ahmad","given":"Nurul Izzah"},{"family":"Noh","given":"Mohd Fairulnizal Mohd"},{"family":"Mahiyuddin","given":"Wan Rozita Wan"},{"family":"Jaafar","given":"Hamdan"},{"family":"Ishak","given":"Ismail"},{"family":"Azmi","given":"Wan Nurul Farah Wan"},{"family":"Veloo","given":"Yuvaneswary"},{"family":"Hairi","given":"Mohd Hairulhisam"}],"issued":{"date-parts":[["2015",3]]}}}],"schema":"https://github.com/citation-style-language/schema/raw/master/csl-citation.json"} </w:instrText>
            </w:r>
            <w:r w:rsidRPr="00D51377">
              <w:rPr>
                <w:sz w:val="20"/>
              </w:rPr>
              <w:fldChar w:fldCharType="separate"/>
            </w:r>
            <w:r w:rsidR="00635DB9" w:rsidRPr="00635DB9">
              <w:rPr>
                <w:rFonts w:cs="Times"/>
                <w:sz w:val="20"/>
              </w:rPr>
              <w:t>(27)</w:t>
            </w:r>
            <w:r w:rsidRPr="00D51377">
              <w:rPr>
                <w:sz w:val="20"/>
              </w:rPr>
              <w:fldChar w:fldCharType="end"/>
            </w:r>
          </w:p>
        </w:tc>
      </w:tr>
      <w:tr w:rsidR="00F10370" w:rsidRPr="00D51377" w14:paraId="7A68E57E" w14:textId="77777777" w:rsidTr="00BC4D75">
        <w:tc>
          <w:tcPr>
            <w:tcW w:w="3083" w:type="dxa"/>
          </w:tcPr>
          <w:p w14:paraId="28519810" w14:textId="77777777" w:rsidR="00F10370" w:rsidRPr="00D51377" w:rsidRDefault="00F10370" w:rsidP="00F10370">
            <w:pPr>
              <w:rPr>
                <w:sz w:val="20"/>
                <w:szCs w:val="20"/>
              </w:rPr>
            </w:pPr>
          </w:p>
        </w:tc>
        <w:tc>
          <w:tcPr>
            <w:tcW w:w="2610" w:type="dxa"/>
          </w:tcPr>
          <w:p w14:paraId="5D43643E" w14:textId="77777777" w:rsidR="00F10370" w:rsidRPr="00D51377" w:rsidRDefault="00F10370" w:rsidP="00F10370">
            <w:pPr>
              <w:rPr>
                <w:i/>
                <w:iCs/>
                <w:sz w:val="20"/>
                <w:szCs w:val="20"/>
              </w:rPr>
            </w:pPr>
            <w:r w:rsidRPr="00D51377">
              <w:rPr>
                <w:i/>
                <w:iCs/>
                <w:sz w:val="20"/>
                <w:szCs w:val="20"/>
              </w:rPr>
              <w:t>Atule mate</w:t>
            </w:r>
          </w:p>
        </w:tc>
        <w:tc>
          <w:tcPr>
            <w:tcW w:w="1980" w:type="dxa"/>
          </w:tcPr>
          <w:p w14:paraId="7D6994D5" w14:textId="77777777" w:rsidR="00F10370" w:rsidRPr="00D51377" w:rsidRDefault="00F10370" w:rsidP="00F10370">
            <w:pPr>
              <w:rPr>
                <w:sz w:val="20"/>
                <w:szCs w:val="20"/>
              </w:rPr>
            </w:pPr>
            <w:r w:rsidRPr="00D51377">
              <w:rPr>
                <w:sz w:val="20"/>
                <w:szCs w:val="20"/>
              </w:rPr>
              <w:t>0.458</w:t>
            </w:r>
          </w:p>
        </w:tc>
        <w:tc>
          <w:tcPr>
            <w:tcW w:w="1511" w:type="dxa"/>
          </w:tcPr>
          <w:p w14:paraId="567FA850" w14:textId="77777777" w:rsidR="00F10370" w:rsidRPr="00D51377" w:rsidRDefault="00F10370" w:rsidP="00F10370">
            <w:pPr>
              <w:rPr>
                <w:sz w:val="20"/>
                <w:szCs w:val="20"/>
              </w:rPr>
            </w:pPr>
          </w:p>
        </w:tc>
      </w:tr>
      <w:tr w:rsidR="00F10370" w:rsidRPr="00D51377" w14:paraId="0C7813DC" w14:textId="77777777" w:rsidTr="00BC4D75">
        <w:tc>
          <w:tcPr>
            <w:tcW w:w="3083" w:type="dxa"/>
          </w:tcPr>
          <w:p w14:paraId="33F86D29" w14:textId="77777777" w:rsidR="00F10370" w:rsidRPr="00D51377" w:rsidRDefault="00F10370" w:rsidP="00F10370">
            <w:pPr>
              <w:rPr>
                <w:sz w:val="20"/>
                <w:szCs w:val="20"/>
              </w:rPr>
            </w:pPr>
          </w:p>
        </w:tc>
        <w:tc>
          <w:tcPr>
            <w:tcW w:w="2610" w:type="dxa"/>
          </w:tcPr>
          <w:p w14:paraId="5C808C7E" w14:textId="77777777" w:rsidR="00F10370" w:rsidRPr="00D51377" w:rsidRDefault="00F10370" w:rsidP="00F10370">
            <w:pPr>
              <w:rPr>
                <w:i/>
                <w:iCs/>
                <w:sz w:val="20"/>
                <w:szCs w:val="20"/>
              </w:rPr>
            </w:pPr>
            <w:r w:rsidRPr="00D51377">
              <w:rPr>
                <w:i/>
                <w:iCs/>
                <w:sz w:val="20"/>
                <w:szCs w:val="20"/>
              </w:rPr>
              <w:t>Decapterus macrosoma</w:t>
            </w:r>
          </w:p>
        </w:tc>
        <w:tc>
          <w:tcPr>
            <w:tcW w:w="1980" w:type="dxa"/>
          </w:tcPr>
          <w:p w14:paraId="4A9AAC5E" w14:textId="77777777" w:rsidR="00F10370" w:rsidRPr="00D51377" w:rsidRDefault="00F10370" w:rsidP="00F10370">
            <w:pPr>
              <w:rPr>
                <w:sz w:val="20"/>
                <w:szCs w:val="20"/>
              </w:rPr>
            </w:pPr>
            <w:r w:rsidRPr="00D51377">
              <w:rPr>
                <w:sz w:val="20"/>
                <w:szCs w:val="20"/>
              </w:rPr>
              <w:t>0.354</w:t>
            </w:r>
          </w:p>
        </w:tc>
        <w:tc>
          <w:tcPr>
            <w:tcW w:w="1511" w:type="dxa"/>
          </w:tcPr>
          <w:p w14:paraId="2AD36FE3" w14:textId="77777777" w:rsidR="00F10370" w:rsidRPr="00D51377" w:rsidRDefault="00F10370" w:rsidP="00F10370">
            <w:pPr>
              <w:rPr>
                <w:sz w:val="20"/>
                <w:szCs w:val="20"/>
              </w:rPr>
            </w:pPr>
          </w:p>
        </w:tc>
      </w:tr>
      <w:tr w:rsidR="00F10370" w:rsidRPr="00D51377" w14:paraId="532B91EF" w14:textId="77777777" w:rsidTr="00BC4D75">
        <w:tc>
          <w:tcPr>
            <w:tcW w:w="3083" w:type="dxa"/>
          </w:tcPr>
          <w:p w14:paraId="0185C7F1" w14:textId="651E7603" w:rsidR="00F10370" w:rsidRPr="00D51377" w:rsidRDefault="00F10370" w:rsidP="00F10370">
            <w:pPr>
              <w:rPr>
                <w:sz w:val="20"/>
                <w:szCs w:val="20"/>
              </w:rPr>
            </w:pPr>
            <w:r w:rsidRPr="00D51377">
              <w:rPr>
                <w:sz w:val="20"/>
                <w:szCs w:val="20"/>
              </w:rPr>
              <w:t>Prigi (Indonesia)</w:t>
            </w:r>
          </w:p>
        </w:tc>
        <w:tc>
          <w:tcPr>
            <w:tcW w:w="2610" w:type="dxa"/>
          </w:tcPr>
          <w:p w14:paraId="04541D87" w14:textId="37BA741B" w:rsidR="00F10370" w:rsidRPr="00D51377" w:rsidRDefault="00F10370" w:rsidP="00F10370">
            <w:pPr>
              <w:rPr>
                <w:i/>
                <w:iCs/>
                <w:sz w:val="20"/>
                <w:szCs w:val="20"/>
              </w:rPr>
            </w:pPr>
            <w:r w:rsidRPr="00D51377">
              <w:rPr>
                <w:i/>
                <w:iCs/>
                <w:sz w:val="20"/>
                <w:szCs w:val="20"/>
              </w:rPr>
              <w:t>Sardinella lemuru</w:t>
            </w:r>
          </w:p>
        </w:tc>
        <w:tc>
          <w:tcPr>
            <w:tcW w:w="1980" w:type="dxa"/>
          </w:tcPr>
          <w:p w14:paraId="29FD87A2" w14:textId="77777777" w:rsidR="00F10370" w:rsidRPr="00D51377" w:rsidRDefault="00F10370" w:rsidP="00F10370">
            <w:pPr>
              <w:rPr>
                <w:sz w:val="20"/>
                <w:szCs w:val="20"/>
              </w:rPr>
            </w:pPr>
            <w:r w:rsidRPr="00D51377">
              <w:rPr>
                <w:sz w:val="20"/>
                <w:szCs w:val="20"/>
              </w:rPr>
              <w:t xml:space="preserve">0,58±0,65 </w:t>
            </w:r>
          </w:p>
        </w:tc>
        <w:tc>
          <w:tcPr>
            <w:tcW w:w="1511" w:type="dxa"/>
          </w:tcPr>
          <w:p w14:paraId="7E490AAD" w14:textId="0277D669" w:rsidR="00F10370" w:rsidRPr="00D51377" w:rsidRDefault="00F10370" w:rsidP="00F10370">
            <w:pPr>
              <w:rPr>
                <w:sz w:val="20"/>
                <w:szCs w:val="20"/>
              </w:rPr>
            </w:pPr>
            <w:r w:rsidRPr="00D51377">
              <w:rPr>
                <w:sz w:val="20"/>
                <w:szCs w:val="20"/>
              </w:rPr>
              <w:t xml:space="preserve">This </w:t>
            </w:r>
            <w:r w:rsidR="00F8112B">
              <w:rPr>
                <w:sz w:val="20"/>
                <w:szCs w:val="20"/>
              </w:rPr>
              <w:t>study</w:t>
            </w:r>
          </w:p>
        </w:tc>
      </w:tr>
      <w:tr w:rsidR="00F10370" w:rsidRPr="00D51377" w14:paraId="48446B9F" w14:textId="77777777" w:rsidTr="00BC4D75">
        <w:tc>
          <w:tcPr>
            <w:tcW w:w="3083" w:type="dxa"/>
          </w:tcPr>
          <w:p w14:paraId="498A6274" w14:textId="0562B49F" w:rsidR="00F10370" w:rsidRPr="00D51377" w:rsidRDefault="00F10370" w:rsidP="00F10370">
            <w:pPr>
              <w:rPr>
                <w:sz w:val="20"/>
                <w:szCs w:val="20"/>
              </w:rPr>
            </w:pPr>
            <w:r w:rsidRPr="00D51377">
              <w:rPr>
                <w:sz w:val="20"/>
                <w:szCs w:val="20"/>
              </w:rPr>
              <w:t>Muncar (Indonesia)</w:t>
            </w:r>
          </w:p>
        </w:tc>
        <w:tc>
          <w:tcPr>
            <w:tcW w:w="2610" w:type="dxa"/>
          </w:tcPr>
          <w:p w14:paraId="5CEFD3CE" w14:textId="645BF8FD" w:rsidR="00F10370" w:rsidRPr="00D51377" w:rsidRDefault="00F10370" w:rsidP="00F10370">
            <w:pPr>
              <w:rPr>
                <w:i/>
                <w:iCs/>
                <w:sz w:val="20"/>
                <w:szCs w:val="20"/>
              </w:rPr>
            </w:pPr>
            <w:r w:rsidRPr="00D51377">
              <w:rPr>
                <w:i/>
                <w:iCs/>
                <w:sz w:val="20"/>
                <w:szCs w:val="20"/>
              </w:rPr>
              <w:t>Sardinella lemuru</w:t>
            </w:r>
          </w:p>
        </w:tc>
        <w:tc>
          <w:tcPr>
            <w:tcW w:w="1980" w:type="dxa"/>
          </w:tcPr>
          <w:p w14:paraId="779D739A" w14:textId="77777777" w:rsidR="00F10370" w:rsidRPr="00D51377" w:rsidRDefault="00F10370" w:rsidP="00F10370">
            <w:pPr>
              <w:rPr>
                <w:sz w:val="20"/>
                <w:szCs w:val="20"/>
              </w:rPr>
            </w:pPr>
            <w:r w:rsidRPr="00D51377">
              <w:rPr>
                <w:sz w:val="20"/>
                <w:szCs w:val="20"/>
              </w:rPr>
              <w:t>0</w:t>
            </w:r>
          </w:p>
        </w:tc>
        <w:tc>
          <w:tcPr>
            <w:tcW w:w="1511" w:type="dxa"/>
          </w:tcPr>
          <w:p w14:paraId="6E68DF1E" w14:textId="635130DF" w:rsidR="00F10370" w:rsidRPr="00D51377" w:rsidRDefault="00F10370" w:rsidP="00F10370">
            <w:pPr>
              <w:rPr>
                <w:sz w:val="20"/>
                <w:szCs w:val="20"/>
              </w:rPr>
            </w:pPr>
            <w:r w:rsidRPr="00D51377">
              <w:rPr>
                <w:sz w:val="20"/>
                <w:szCs w:val="20"/>
              </w:rPr>
              <w:t xml:space="preserve">This </w:t>
            </w:r>
            <w:r w:rsidR="00F8112B">
              <w:rPr>
                <w:sz w:val="20"/>
                <w:szCs w:val="20"/>
              </w:rPr>
              <w:t>study</w:t>
            </w:r>
          </w:p>
        </w:tc>
      </w:tr>
      <w:tr w:rsidR="00F10370" w:rsidRPr="00D51377" w14:paraId="4AC9F9FA" w14:textId="77777777" w:rsidTr="00BC4D75">
        <w:tc>
          <w:tcPr>
            <w:tcW w:w="3083" w:type="dxa"/>
          </w:tcPr>
          <w:p w14:paraId="03E197FE" w14:textId="37670296" w:rsidR="00F10370" w:rsidRPr="00D51377" w:rsidRDefault="00F10370" w:rsidP="00F10370">
            <w:pPr>
              <w:rPr>
                <w:sz w:val="20"/>
                <w:szCs w:val="20"/>
              </w:rPr>
            </w:pPr>
            <w:r w:rsidRPr="00D51377">
              <w:rPr>
                <w:sz w:val="20"/>
                <w:szCs w:val="20"/>
              </w:rPr>
              <w:t>Kedonganan (Indonesia)</w:t>
            </w:r>
          </w:p>
        </w:tc>
        <w:tc>
          <w:tcPr>
            <w:tcW w:w="2610" w:type="dxa"/>
          </w:tcPr>
          <w:p w14:paraId="0090ADF7" w14:textId="413BB684" w:rsidR="00F10370" w:rsidRPr="00D51377" w:rsidRDefault="00F10370" w:rsidP="00F10370">
            <w:pPr>
              <w:rPr>
                <w:i/>
                <w:iCs/>
                <w:sz w:val="20"/>
                <w:szCs w:val="20"/>
              </w:rPr>
            </w:pPr>
            <w:r w:rsidRPr="00D51377">
              <w:rPr>
                <w:i/>
                <w:iCs/>
                <w:sz w:val="20"/>
                <w:szCs w:val="20"/>
              </w:rPr>
              <w:t>Sardinella lemuru</w:t>
            </w:r>
          </w:p>
        </w:tc>
        <w:tc>
          <w:tcPr>
            <w:tcW w:w="1980" w:type="dxa"/>
          </w:tcPr>
          <w:p w14:paraId="496E832B" w14:textId="77777777" w:rsidR="00F10370" w:rsidRPr="00D51377" w:rsidRDefault="00F10370" w:rsidP="00F10370">
            <w:pPr>
              <w:rPr>
                <w:sz w:val="20"/>
                <w:szCs w:val="20"/>
              </w:rPr>
            </w:pPr>
            <w:r w:rsidRPr="00D51377">
              <w:rPr>
                <w:sz w:val="20"/>
                <w:szCs w:val="20"/>
              </w:rPr>
              <w:t>0,938±0,45</w:t>
            </w:r>
          </w:p>
        </w:tc>
        <w:tc>
          <w:tcPr>
            <w:tcW w:w="1511" w:type="dxa"/>
          </w:tcPr>
          <w:p w14:paraId="2FAAE96E" w14:textId="51ADADE8" w:rsidR="00F10370" w:rsidRPr="00D51377" w:rsidRDefault="00F10370" w:rsidP="00F10370">
            <w:pPr>
              <w:rPr>
                <w:sz w:val="20"/>
                <w:szCs w:val="20"/>
              </w:rPr>
            </w:pPr>
            <w:r w:rsidRPr="00D51377">
              <w:rPr>
                <w:sz w:val="20"/>
                <w:szCs w:val="20"/>
              </w:rPr>
              <w:t xml:space="preserve">This </w:t>
            </w:r>
            <w:r w:rsidR="00F8112B">
              <w:rPr>
                <w:sz w:val="20"/>
                <w:szCs w:val="20"/>
              </w:rPr>
              <w:t>study</w:t>
            </w:r>
          </w:p>
        </w:tc>
      </w:tr>
    </w:tbl>
    <w:p w14:paraId="4692BA73" w14:textId="151B40A6" w:rsidR="00DF2138" w:rsidRPr="00AC24D2" w:rsidRDefault="007443C7" w:rsidP="00AC24D2">
      <w:pPr>
        <w:pStyle w:val="Section"/>
      </w:pPr>
      <w:r w:rsidRPr="00AC24D2">
        <w:t>Conclusion</w:t>
      </w:r>
    </w:p>
    <w:p w14:paraId="6E51DDE3" w14:textId="3242092B" w:rsidR="00122361" w:rsidRDefault="00467448" w:rsidP="00122361">
      <w:pPr>
        <w:pStyle w:val="Bodytext"/>
      </w:pPr>
      <w:r w:rsidRPr="00467448">
        <w:t xml:space="preserve">The heavy metal mercury found in </w:t>
      </w:r>
      <w:r w:rsidR="00424D9A">
        <w:rPr>
          <w:i/>
          <w:iCs w:val="0"/>
        </w:rPr>
        <w:t>S. lemuru</w:t>
      </w:r>
      <w:r w:rsidRPr="00467448">
        <w:t xml:space="preserve"> is above the threshold </w:t>
      </w:r>
      <w:r w:rsidR="00F8112B">
        <w:t>issued</w:t>
      </w:r>
      <w:r w:rsidRPr="00467448">
        <w:t xml:space="preserve"> by BPOM and SNI. Heavy metal concentrations were also found to be above average mercury in fish in other countries. There is a negative correlation between fish size and the concentration of heavy metal mercury, this is influenced by the habitat, location, feeding behavior, and life stage of the fish. Estimated Daily Intake (EDI) is above the PTDI provisions issued by WHO. The Tolerable Weekly Intake (TWI) obtained has a small weight because it contains a very high concentration of mercury for consumption.</w:t>
      </w:r>
      <w:r w:rsidR="00122361">
        <w:t xml:space="preserve"> This study </w:t>
      </w:r>
      <w:r w:rsidR="00122361" w:rsidRPr="003D4352">
        <w:rPr>
          <w:rFonts w:ascii="Times New Roman" w:hAnsi="Times New Roman"/>
          <w:color w:val="222222"/>
          <w:lang w:val="en"/>
        </w:rPr>
        <w:t>provide</w:t>
      </w:r>
      <w:r w:rsidR="00122361">
        <w:rPr>
          <w:rFonts w:ascii="Times New Roman" w:hAnsi="Times New Roman"/>
          <w:color w:val="222222"/>
          <w:lang w:val="en"/>
        </w:rPr>
        <w:t>s</w:t>
      </w:r>
      <w:r w:rsidR="00122361" w:rsidRPr="003D4352">
        <w:rPr>
          <w:rFonts w:ascii="Times New Roman" w:hAnsi="Times New Roman"/>
          <w:color w:val="222222"/>
          <w:lang w:val="en"/>
        </w:rPr>
        <w:t xml:space="preserve"> important information for the community so that people are more alert and know the safe limits of consuming </w:t>
      </w:r>
      <w:r w:rsidR="00122361" w:rsidRPr="003D4352">
        <w:rPr>
          <w:rFonts w:ascii="Times New Roman" w:hAnsi="Times New Roman"/>
          <w:i/>
          <w:iCs w:val="0"/>
          <w:color w:val="222222"/>
          <w:lang w:val="en"/>
        </w:rPr>
        <w:t>S. lemuru</w:t>
      </w:r>
      <w:r w:rsidR="00122361">
        <w:rPr>
          <w:rFonts w:ascii="Times New Roman" w:hAnsi="Times New Roman"/>
          <w:i/>
          <w:iCs w:val="0"/>
          <w:color w:val="222222"/>
          <w:lang w:val="en"/>
        </w:rPr>
        <w:t xml:space="preserve"> </w:t>
      </w:r>
      <w:r w:rsidR="00122361" w:rsidRPr="003D4352">
        <w:rPr>
          <w:rFonts w:ascii="Times New Roman" w:hAnsi="Times New Roman"/>
          <w:color w:val="222222"/>
          <w:lang w:val="en"/>
        </w:rPr>
        <w:t>and can become one of the government inputs in food safety policy.</w:t>
      </w:r>
    </w:p>
    <w:p w14:paraId="331389F7" w14:textId="24CFEFB7" w:rsidR="006E781E" w:rsidRPr="00AC24D2" w:rsidRDefault="00A302F5" w:rsidP="00AC24D2">
      <w:pPr>
        <w:pStyle w:val="Section"/>
      </w:pPr>
      <w:r w:rsidRPr="00AC24D2">
        <w:t>Acknowledgement</w:t>
      </w:r>
    </w:p>
    <w:p w14:paraId="640C33F7" w14:textId="764C998A" w:rsidR="00A302F5" w:rsidRPr="00AC24D2" w:rsidRDefault="00A302F5" w:rsidP="00AC24D2">
      <w:pPr>
        <w:pStyle w:val="Bodytext"/>
      </w:pPr>
      <w:r w:rsidRPr="00AC24D2">
        <w:t>The author would like to thank all those who helped in the preparation of this article, especially the Ministry of Research and Technology-National Research and Innovation Agency of the Republic of Indonesia and the Ministry of Education and Culture - Higher Education of the Republic of Indonesia</w:t>
      </w:r>
      <w:r w:rsidR="00C971F1">
        <w:t xml:space="preserve"> for publication funding</w:t>
      </w:r>
      <w:r w:rsidRPr="00AC24D2">
        <w:t>.</w:t>
      </w:r>
    </w:p>
    <w:p w14:paraId="3903CFB3" w14:textId="202D1E81" w:rsidR="00894F73" w:rsidRPr="00894F73" w:rsidRDefault="00A302F5" w:rsidP="00CA034A">
      <w:pPr>
        <w:pStyle w:val="Sectionnonumber"/>
      </w:pPr>
      <w:r>
        <w:t>Reference</w:t>
      </w:r>
    </w:p>
    <w:p w14:paraId="0F3F7249" w14:textId="77777777" w:rsidR="00635DB9" w:rsidRPr="00507DE3" w:rsidRDefault="00894F73" w:rsidP="00B81923">
      <w:pPr>
        <w:pStyle w:val="Bibliography"/>
        <w:spacing w:after="0"/>
        <w:jc w:val="both"/>
        <w:rPr>
          <w:rFonts w:cs="Times"/>
          <w:sz w:val="20"/>
        </w:rPr>
      </w:pPr>
      <w:r w:rsidRPr="00507DE3">
        <w:rPr>
          <w:sz w:val="20"/>
        </w:rPr>
        <w:fldChar w:fldCharType="begin"/>
      </w:r>
      <w:r w:rsidR="00635DB9" w:rsidRPr="00507DE3">
        <w:rPr>
          <w:sz w:val="20"/>
        </w:rPr>
        <w:instrText xml:space="preserve"> ADDIN ZOTERO_BIBL {"uncited":[],"omitted":[],"custom":[]} CSL_BIBLIOGRAPHY </w:instrText>
      </w:r>
      <w:r w:rsidRPr="00507DE3">
        <w:rPr>
          <w:sz w:val="20"/>
        </w:rPr>
        <w:fldChar w:fldCharType="separate"/>
      </w:r>
      <w:r w:rsidR="00635DB9" w:rsidRPr="00507DE3">
        <w:rPr>
          <w:rFonts w:cs="Times"/>
          <w:sz w:val="20"/>
        </w:rPr>
        <w:t xml:space="preserve">1. </w:t>
      </w:r>
      <w:r w:rsidR="00635DB9" w:rsidRPr="00507DE3">
        <w:rPr>
          <w:rFonts w:cs="Times"/>
          <w:sz w:val="20"/>
        </w:rPr>
        <w:tab/>
        <w:t xml:space="preserve">Sartimbul A, Rohadi E, Ikhsani SN, Listiyaningsih D. Morphometric and meristic variations among five populations of Sardinella lemuru Bleeker, 1853 from waters of Bali Strait, northern and southern- east Java and their relation to the environment. 2018;11(3):10. </w:t>
      </w:r>
    </w:p>
    <w:p w14:paraId="10100C6D" w14:textId="77777777" w:rsidR="00635DB9" w:rsidRPr="00507DE3" w:rsidRDefault="00635DB9" w:rsidP="00B81923">
      <w:pPr>
        <w:pStyle w:val="Bibliography"/>
        <w:spacing w:after="0"/>
        <w:jc w:val="both"/>
        <w:rPr>
          <w:rFonts w:cs="Times"/>
          <w:sz w:val="20"/>
        </w:rPr>
      </w:pPr>
      <w:r w:rsidRPr="00507DE3">
        <w:rPr>
          <w:rFonts w:cs="Times"/>
          <w:sz w:val="20"/>
        </w:rPr>
        <w:t xml:space="preserve">2. </w:t>
      </w:r>
      <w:r w:rsidRPr="00507DE3">
        <w:rPr>
          <w:rFonts w:cs="Times"/>
          <w:sz w:val="20"/>
        </w:rPr>
        <w:tab/>
        <w:t xml:space="preserve">Susanto RD, Moore TS, Marra J. Ocean color variability in the Indonesian Seas during the SeaWiFS era: OCEAN COLOR VARIABILITY. Geochem Geophys Geosyst. 2006 May;7(5):n/a-n/a. </w:t>
      </w:r>
    </w:p>
    <w:p w14:paraId="52B96406" w14:textId="77777777" w:rsidR="00635DB9" w:rsidRPr="00507DE3" w:rsidRDefault="00635DB9" w:rsidP="00B81923">
      <w:pPr>
        <w:pStyle w:val="Bibliography"/>
        <w:spacing w:after="0"/>
        <w:jc w:val="both"/>
        <w:rPr>
          <w:rFonts w:cs="Times"/>
          <w:sz w:val="20"/>
        </w:rPr>
      </w:pPr>
      <w:r w:rsidRPr="00507DE3">
        <w:rPr>
          <w:rFonts w:cs="Times"/>
          <w:sz w:val="20"/>
        </w:rPr>
        <w:t xml:space="preserve">3. </w:t>
      </w:r>
      <w:r w:rsidRPr="00507DE3">
        <w:rPr>
          <w:rFonts w:cs="Times"/>
          <w:sz w:val="20"/>
        </w:rPr>
        <w:tab/>
        <w:t xml:space="preserve">Mahrus, Sumitro SB, Widodo N, Sartimbul A. The Association between Genetic Variations and Omega-3 Production on Sardinella lemuru in Lombok Strait. IOSRJAVS. 2012;1(6):12–6. </w:t>
      </w:r>
    </w:p>
    <w:p w14:paraId="2D3F1D63" w14:textId="77777777" w:rsidR="00635DB9" w:rsidRPr="00507DE3" w:rsidRDefault="00635DB9" w:rsidP="00B81923">
      <w:pPr>
        <w:pStyle w:val="Bibliography"/>
        <w:spacing w:after="0"/>
        <w:jc w:val="both"/>
        <w:rPr>
          <w:rFonts w:cs="Times"/>
          <w:sz w:val="20"/>
        </w:rPr>
      </w:pPr>
      <w:r w:rsidRPr="00507DE3">
        <w:rPr>
          <w:rFonts w:cs="Times"/>
          <w:sz w:val="20"/>
        </w:rPr>
        <w:t xml:space="preserve">4. </w:t>
      </w:r>
      <w:r w:rsidRPr="00507DE3">
        <w:rPr>
          <w:rFonts w:cs="Times"/>
          <w:sz w:val="20"/>
        </w:rPr>
        <w:tab/>
        <w:t xml:space="preserve">Rubio-Rodríguez N, Beltrán S, Jaime I, de Diego SM, Sanz MT, Carballido JR. Production of omega-3 polyunsaturated fatty acid concentrates: A review. Innovative Food Science &amp; Emerging Technologies. 2010 Jan;11(1):1–12. </w:t>
      </w:r>
    </w:p>
    <w:p w14:paraId="69572552" w14:textId="77777777" w:rsidR="00635DB9" w:rsidRPr="00507DE3" w:rsidRDefault="00635DB9" w:rsidP="00B81923">
      <w:pPr>
        <w:pStyle w:val="Bibliography"/>
        <w:spacing w:after="0"/>
        <w:jc w:val="both"/>
        <w:rPr>
          <w:rFonts w:cs="Times"/>
          <w:sz w:val="20"/>
        </w:rPr>
      </w:pPr>
      <w:r w:rsidRPr="00507DE3">
        <w:rPr>
          <w:rFonts w:cs="Times"/>
          <w:sz w:val="20"/>
        </w:rPr>
        <w:lastRenderedPageBreak/>
        <w:t xml:space="preserve">5. </w:t>
      </w:r>
      <w:r w:rsidRPr="00507DE3">
        <w:rPr>
          <w:rFonts w:cs="Times"/>
          <w:sz w:val="20"/>
        </w:rPr>
        <w:tab/>
        <w:t xml:space="preserve">Muslihah N, Khomsan A, Briawan D, Riyadi H. Complementary food supplementation with a small-quantity of lipid-based nutrient supplements prevents stunting in 6-12-month-old infants in rural West Madura Island, Indonesia. Asia Pacific Journal of Clinical Nutrition. 2016 Dec 31;25(S1). </w:t>
      </w:r>
    </w:p>
    <w:p w14:paraId="4F3FAA22" w14:textId="77777777" w:rsidR="00635DB9" w:rsidRPr="00507DE3" w:rsidRDefault="00635DB9" w:rsidP="00B81923">
      <w:pPr>
        <w:pStyle w:val="Bibliography"/>
        <w:spacing w:after="0"/>
        <w:jc w:val="both"/>
        <w:rPr>
          <w:rFonts w:cs="Times"/>
          <w:sz w:val="20"/>
        </w:rPr>
      </w:pPr>
      <w:r w:rsidRPr="00507DE3">
        <w:rPr>
          <w:rFonts w:cs="Times"/>
          <w:sz w:val="20"/>
        </w:rPr>
        <w:t xml:space="preserve">6. </w:t>
      </w:r>
      <w:r w:rsidRPr="00507DE3">
        <w:rPr>
          <w:rFonts w:cs="Times"/>
          <w:sz w:val="20"/>
        </w:rPr>
        <w:tab/>
        <w:t xml:space="preserve">Gutiérrez S, Svahn SL, Johansson ME. Effects of Omega-3 Fatty Acids on Immune Cells. IJMS. 2019 Oct 11;20(20):5028. </w:t>
      </w:r>
    </w:p>
    <w:p w14:paraId="586EB10B" w14:textId="77777777" w:rsidR="00635DB9" w:rsidRPr="00507DE3" w:rsidRDefault="00635DB9" w:rsidP="00B81923">
      <w:pPr>
        <w:pStyle w:val="Bibliography"/>
        <w:spacing w:after="0"/>
        <w:jc w:val="both"/>
        <w:rPr>
          <w:rFonts w:cs="Times"/>
          <w:sz w:val="20"/>
        </w:rPr>
      </w:pPr>
      <w:r w:rsidRPr="00507DE3">
        <w:rPr>
          <w:rFonts w:cs="Times"/>
          <w:sz w:val="20"/>
        </w:rPr>
        <w:t xml:space="preserve">7. </w:t>
      </w:r>
      <w:r w:rsidRPr="00507DE3">
        <w:rPr>
          <w:rFonts w:cs="Times"/>
          <w:sz w:val="20"/>
        </w:rPr>
        <w:tab/>
        <w:t xml:space="preserve">Nitta T. Marine pollution in Japan, in Marine Pollution and Sea Life: M. Ruivo (Ed.),. Rome: West Byfleet, Surrey, Fishing News; 1972. 77–81 p. </w:t>
      </w:r>
    </w:p>
    <w:p w14:paraId="298AD2E8" w14:textId="77777777" w:rsidR="00635DB9" w:rsidRPr="00507DE3" w:rsidRDefault="00635DB9" w:rsidP="00B81923">
      <w:pPr>
        <w:pStyle w:val="Bibliography"/>
        <w:spacing w:after="0"/>
        <w:jc w:val="both"/>
        <w:rPr>
          <w:rFonts w:cs="Times"/>
          <w:sz w:val="20"/>
        </w:rPr>
      </w:pPr>
      <w:r w:rsidRPr="00507DE3">
        <w:rPr>
          <w:rFonts w:cs="Times"/>
          <w:sz w:val="20"/>
        </w:rPr>
        <w:t xml:space="preserve">8. </w:t>
      </w:r>
      <w:r w:rsidRPr="00507DE3">
        <w:rPr>
          <w:rFonts w:cs="Times"/>
          <w:sz w:val="20"/>
        </w:rPr>
        <w:tab/>
        <w:t xml:space="preserve">Adams DH, Onorato GV. Mercury concentrations in red drum, Sciaenops ocellatus, from estuarine and offshore waters of Florida. Marine Pollution Bulletin. 2005 Mar;50(3):291–300. </w:t>
      </w:r>
    </w:p>
    <w:p w14:paraId="4DC9D4F0" w14:textId="77777777" w:rsidR="00635DB9" w:rsidRPr="00507DE3" w:rsidRDefault="00635DB9" w:rsidP="00B81923">
      <w:pPr>
        <w:pStyle w:val="Bibliography"/>
        <w:spacing w:after="0"/>
        <w:jc w:val="both"/>
        <w:rPr>
          <w:rFonts w:cs="Times"/>
          <w:sz w:val="20"/>
        </w:rPr>
      </w:pPr>
      <w:r w:rsidRPr="00507DE3">
        <w:rPr>
          <w:rFonts w:cs="Times"/>
          <w:sz w:val="20"/>
        </w:rPr>
        <w:t xml:space="preserve">9. </w:t>
      </w:r>
      <w:r w:rsidRPr="00507DE3">
        <w:rPr>
          <w:rFonts w:cs="Times"/>
          <w:sz w:val="20"/>
        </w:rPr>
        <w:tab/>
        <w:t xml:space="preserve">Vélez D, Montoro R. Arsenic Speciation in Manufactured Seafood Products. Journal of Food Protection. 1998 Sep 1;61(9):1240–5. </w:t>
      </w:r>
    </w:p>
    <w:p w14:paraId="52FAE00A" w14:textId="77777777" w:rsidR="00635DB9" w:rsidRPr="00507DE3" w:rsidRDefault="00635DB9" w:rsidP="00B81923">
      <w:pPr>
        <w:pStyle w:val="Bibliography"/>
        <w:spacing w:after="0"/>
        <w:jc w:val="both"/>
        <w:rPr>
          <w:rFonts w:cs="Times"/>
          <w:sz w:val="20"/>
        </w:rPr>
      </w:pPr>
      <w:r w:rsidRPr="00507DE3">
        <w:rPr>
          <w:rFonts w:cs="Times"/>
          <w:sz w:val="20"/>
        </w:rPr>
        <w:t xml:space="preserve">10. </w:t>
      </w:r>
      <w:r w:rsidRPr="00507DE3">
        <w:rPr>
          <w:rFonts w:cs="Times"/>
          <w:sz w:val="20"/>
        </w:rPr>
        <w:tab/>
        <w:t xml:space="preserve">Hertika AMS, Kusriani K, Indrayani E, Yona D, Putra RBDS. Metallothionein expression on oysters (Crassostrea cuculata and Crassostrea glomerata) from the southern coastal region of East Java [version 2; peer review: 2 approved]. F1000Research. 2020;8(56):1–17. </w:t>
      </w:r>
    </w:p>
    <w:p w14:paraId="7D71CC33" w14:textId="77777777" w:rsidR="00635DB9" w:rsidRPr="00507DE3" w:rsidRDefault="00635DB9" w:rsidP="00B81923">
      <w:pPr>
        <w:pStyle w:val="Bibliography"/>
        <w:spacing w:after="0"/>
        <w:jc w:val="both"/>
        <w:rPr>
          <w:rFonts w:cs="Times"/>
          <w:sz w:val="20"/>
        </w:rPr>
      </w:pPr>
      <w:r w:rsidRPr="00507DE3">
        <w:rPr>
          <w:rFonts w:cs="Times"/>
          <w:sz w:val="20"/>
        </w:rPr>
        <w:t xml:space="preserve">11. </w:t>
      </w:r>
      <w:r w:rsidRPr="00507DE3">
        <w:rPr>
          <w:rFonts w:cs="Times"/>
          <w:sz w:val="20"/>
        </w:rPr>
        <w:tab/>
        <w:t xml:space="preserve">Soegianto A, Moehammadi N, Irawan B, Affandi M, Hamami. Mercury concentrations in edible species harvested from Gresik coast, Indonesia and its health risk assessment. Cah Biol Mar. 2010;51:1–8. </w:t>
      </w:r>
    </w:p>
    <w:p w14:paraId="11B3C84D" w14:textId="77777777" w:rsidR="00635DB9" w:rsidRPr="00507DE3" w:rsidRDefault="00635DB9" w:rsidP="00B81923">
      <w:pPr>
        <w:pStyle w:val="Bibliography"/>
        <w:spacing w:after="0"/>
        <w:jc w:val="both"/>
        <w:rPr>
          <w:rFonts w:cs="Times"/>
          <w:sz w:val="20"/>
        </w:rPr>
      </w:pPr>
      <w:r w:rsidRPr="00507DE3">
        <w:rPr>
          <w:rFonts w:cs="Times"/>
          <w:sz w:val="20"/>
        </w:rPr>
        <w:t xml:space="preserve">12. </w:t>
      </w:r>
      <w:r w:rsidRPr="00507DE3">
        <w:rPr>
          <w:rFonts w:cs="Times"/>
          <w:sz w:val="20"/>
        </w:rPr>
        <w:tab/>
        <w:t xml:space="preserve">Junqué E, Garí M, Arce A, Torrent M, Sunyer J, Grimalt JO. Integrated assessment of infant exposure to persistent organic pollutants and mercury via dietary intake in a central western Mediterranean site (Menorca Island). Environmental Research. 2017 Jul;156:714–24. </w:t>
      </w:r>
    </w:p>
    <w:p w14:paraId="3917EA8B" w14:textId="77777777" w:rsidR="00635DB9" w:rsidRPr="00507DE3" w:rsidRDefault="00635DB9" w:rsidP="00B81923">
      <w:pPr>
        <w:pStyle w:val="Bibliography"/>
        <w:spacing w:after="0"/>
        <w:jc w:val="both"/>
        <w:rPr>
          <w:rFonts w:cs="Times"/>
          <w:sz w:val="20"/>
        </w:rPr>
      </w:pPr>
      <w:r w:rsidRPr="00507DE3">
        <w:rPr>
          <w:rFonts w:cs="Times"/>
          <w:sz w:val="20"/>
        </w:rPr>
        <w:t xml:space="preserve">13. </w:t>
      </w:r>
      <w:r w:rsidRPr="00507DE3">
        <w:rPr>
          <w:rFonts w:cs="Times"/>
          <w:sz w:val="20"/>
        </w:rPr>
        <w:tab/>
        <w:t xml:space="preserve">Kementerian Pertanian. Direktori Perkembangan Konsumsi Pangan. Badan Ketahanan Pangan Kementerian Pertanian; 2019. </w:t>
      </w:r>
    </w:p>
    <w:p w14:paraId="658DB5A7" w14:textId="77777777" w:rsidR="00635DB9" w:rsidRPr="00507DE3" w:rsidRDefault="00635DB9" w:rsidP="00B81923">
      <w:pPr>
        <w:pStyle w:val="Bibliography"/>
        <w:spacing w:after="0"/>
        <w:jc w:val="both"/>
        <w:rPr>
          <w:rFonts w:cs="Times"/>
          <w:sz w:val="20"/>
        </w:rPr>
      </w:pPr>
      <w:r w:rsidRPr="00507DE3">
        <w:rPr>
          <w:rFonts w:cs="Times"/>
          <w:sz w:val="20"/>
        </w:rPr>
        <w:t xml:space="preserve">14. </w:t>
      </w:r>
      <w:r w:rsidRPr="00507DE3">
        <w:rPr>
          <w:rFonts w:cs="Times"/>
          <w:sz w:val="20"/>
        </w:rPr>
        <w:tab/>
        <w:t xml:space="preserve">Türkmen M, Türkmen A, Tepe Y, Ateş A, Gökkuş K. Determination of metal contaminations in sea foods from Marmara, Aegean and Mediterranean seas: Twelve fish species. Food Chemistry. 2008 May;108(2):794–800. </w:t>
      </w:r>
    </w:p>
    <w:p w14:paraId="087EBBBC" w14:textId="77777777" w:rsidR="00635DB9" w:rsidRPr="00507DE3" w:rsidRDefault="00635DB9" w:rsidP="00B81923">
      <w:pPr>
        <w:pStyle w:val="Bibliography"/>
        <w:spacing w:after="0"/>
        <w:jc w:val="both"/>
        <w:rPr>
          <w:rFonts w:cs="Times"/>
          <w:sz w:val="20"/>
        </w:rPr>
      </w:pPr>
      <w:r w:rsidRPr="00507DE3">
        <w:rPr>
          <w:rFonts w:cs="Times"/>
          <w:sz w:val="20"/>
        </w:rPr>
        <w:t xml:space="preserve">15. </w:t>
      </w:r>
      <w:r w:rsidRPr="00507DE3">
        <w:rPr>
          <w:rFonts w:cs="Times"/>
          <w:sz w:val="20"/>
        </w:rPr>
        <w:tab/>
        <w:t xml:space="preserve">Sumekar H, Suprihatin IE, Irdhawati. KANDUNGAN LOGAM Pb DAN Hg DALAM SEDIMEN DI MUARA SUNGAI MATIKABUPATEN BADUNG BALI. Journal of Applied Chemistry. 2015;3:5. </w:t>
      </w:r>
    </w:p>
    <w:p w14:paraId="00F4DCA3" w14:textId="77777777" w:rsidR="00635DB9" w:rsidRPr="00507DE3" w:rsidRDefault="00635DB9" w:rsidP="00B81923">
      <w:pPr>
        <w:pStyle w:val="Bibliography"/>
        <w:spacing w:after="0"/>
        <w:jc w:val="both"/>
        <w:rPr>
          <w:rFonts w:cs="Times"/>
          <w:sz w:val="20"/>
        </w:rPr>
      </w:pPr>
      <w:r w:rsidRPr="00507DE3">
        <w:rPr>
          <w:rFonts w:cs="Times"/>
          <w:sz w:val="20"/>
        </w:rPr>
        <w:t xml:space="preserve">16. </w:t>
      </w:r>
      <w:r w:rsidRPr="00507DE3">
        <w:rPr>
          <w:rFonts w:cs="Times"/>
          <w:sz w:val="20"/>
        </w:rPr>
        <w:tab/>
        <w:t xml:space="preserve">Junaidi M, Krisnayanti BD, Anderson C. Risk of Mercury Exposure from Fish Consumption at Artisanal Small-Scale Gold Mining Areas in West Nusa Tenggara, Indonesia. Journal of Health and Pollution. 2019 Mar;9(21):1–10. </w:t>
      </w:r>
    </w:p>
    <w:p w14:paraId="4CC11BAD" w14:textId="77777777" w:rsidR="00635DB9" w:rsidRPr="00507DE3" w:rsidRDefault="00635DB9" w:rsidP="00B81923">
      <w:pPr>
        <w:pStyle w:val="Bibliography"/>
        <w:spacing w:after="0"/>
        <w:jc w:val="both"/>
        <w:rPr>
          <w:rFonts w:cs="Times"/>
          <w:sz w:val="20"/>
        </w:rPr>
      </w:pPr>
      <w:r w:rsidRPr="00507DE3">
        <w:rPr>
          <w:rFonts w:cs="Times"/>
          <w:sz w:val="20"/>
        </w:rPr>
        <w:t xml:space="preserve">17. </w:t>
      </w:r>
      <w:r w:rsidRPr="00507DE3">
        <w:rPr>
          <w:rFonts w:cs="Times"/>
          <w:sz w:val="20"/>
        </w:rPr>
        <w:tab/>
        <w:t xml:space="preserve">Clarkson TW, Magos L. The Toxicology of Mercury and Its Chemical Compounds. Critical Reviews in Toxicology. 2006 Jan;36(8):609–62. </w:t>
      </w:r>
    </w:p>
    <w:p w14:paraId="274F9A1C" w14:textId="77777777" w:rsidR="00635DB9" w:rsidRPr="00507DE3" w:rsidRDefault="00635DB9" w:rsidP="00B81923">
      <w:pPr>
        <w:pStyle w:val="Bibliography"/>
        <w:spacing w:after="0"/>
        <w:jc w:val="both"/>
        <w:rPr>
          <w:rFonts w:cs="Times"/>
          <w:sz w:val="20"/>
        </w:rPr>
      </w:pPr>
      <w:r w:rsidRPr="00507DE3">
        <w:rPr>
          <w:rFonts w:cs="Times"/>
          <w:sz w:val="20"/>
        </w:rPr>
        <w:t xml:space="preserve">18. </w:t>
      </w:r>
      <w:r w:rsidRPr="00507DE3">
        <w:rPr>
          <w:rFonts w:cs="Times"/>
          <w:sz w:val="20"/>
        </w:rPr>
        <w:tab/>
        <w:t xml:space="preserve">Farkas A, Salánki J, Specziár A. Age and size specific patterns of heavy metals in the organs of freshwater fish Abramis brama L. populating a low-contaminated site. Water Research. 2003 Mar;37(5):959–64. </w:t>
      </w:r>
    </w:p>
    <w:p w14:paraId="33D7F672" w14:textId="77777777" w:rsidR="00635DB9" w:rsidRPr="00507DE3" w:rsidRDefault="00635DB9" w:rsidP="00B81923">
      <w:pPr>
        <w:pStyle w:val="Bibliography"/>
        <w:spacing w:after="0"/>
        <w:jc w:val="both"/>
        <w:rPr>
          <w:rFonts w:cs="Times"/>
          <w:sz w:val="20"/>
        </w:rPr>
      </w:pPr>
      <w:r w:rsidRPr="00507DE3">
        <w:rPr>
          <w:rFonts w:cs="Times"/>
          <w:sz w:val="20"/>
        </w:rPr>
        <w:t xml:space="preserve">19. </w:t>
      </w:r>
      <w:r w:rsidRPr="00507DE3">
        <w:rPr>
          <w:rFonts w:cs="Times"/>
          <w:sz w:val="20"/>
        </w:rPr>
        <w:tab/>
        <w:t xml:space="preserve">Liu J-L, Xu X-R, Ding Z-H, Peng J-X, Jin M-H, Wang Y-S, et al. Heavy metals in wild marine fish from South China Sea: levels, tissue- and species-specific accumulation and potential risk to humans. Ecotoxicology. 2015 Oct;24(7–8):1583–92. </w:t>
      </w:r>
    </w:p>
    <w:p w14:paraId="7F1637D2" w14:textId="77777777" w:rsidR="00635DB9" w:rsidRPr="00507DE3" w:rsidRDefault="00635DB9" w:rsidP="00B81923">
      <w:pPr>
        <w:pStyle w:val="Bibliography"/>
        <w:spacing w:after="0"/>
        <w:jc w:val="both"/>
        <w:rPr>
          <w:rFonts w:cs="Times"/>
          <w:sz w:val="20"/>
        </w:rPr>
      </w:pPr>
      <w:r w:rsidRPr="00507DE3">
        <w:rPr>
          <w:rFonts w:cs="Times"/>
          <w:sz w:val="20"/>
        </w:rPr>
        <w:t xml:space="preserve">20. </w:t>
      </w:r>
      <w:r w:rsidRPr="00507DE3">
        <w:rPr>
          <w:rFonts w:cs="Times"/>
          <w:sz w:val="20"/>
        </w:rPr>
        <w:tab/>
        <w:t xml:space="preserve">Yusa V, Suelves T, Ruiz-Atienza L, Cervera ML, Benedito V, Pastor A. Monitoring programme on cadmium, lead and mercury in fish and seafood from Valencia, Spain: levels and estimated weekly intake. ing.agua. 2008 Jul;1(1):ix. </w:t>
      </w:r>
    </w:p>
    <w:p w14:paraId="12686D47" w14:textId="77777777" w:rsidR="00635DB9" w:rsidRPr="00507DE3" w:rsidRDefault="00635DB9" w:rsidP="00B81923">
      <w:pPr>
        <w:pStyle w:val="Bibliography"/>
        <w:spacing w:after="0"/>
        <w:jc w:val="both"/>
        <w:rPr>
          <w:rFonts w:cs="Times"/>
          <w:sz w:val="20"/>
        </w:rPr>
      </w:pPr>
      <w:r w:rsidRPr="00507DE3">
        <w:rPr>
          <w:rFonts w:cs="Times"/>
          <w:sz w:val="20"/>
        </w:rPr>
        <w:t xml:space="preserve">21. </w:t>
      </w:r>
      <w:r w:rsidRPr="00507DE3">
        <w:rPr>
          <w:rFonts w:cs="Times"/>
          <w:sz w:val="20"/>
        </w:rPr>
        <w:tab/>
        <w:t xml:space="preserve">Rayyan MF, Yona D, Sari SHJ. HEALTH RISK ASSESSMENTS OF HEAVY METALS OF PERNA VIRIDIS FROM BANYUURIP WATERS IN UJUNG PANGKAH, GRESIK. JFMR. 2019 Jul 31;3(2):9–17. </w:t>
      </w:r>
    </w:p>
    <w:p w14:paraId="4B34E52E" w14:textId="77777777" w:rsidR="00635DB9" w:rsidRPr="00507DE3" w:rsidRDefault="00635DB9" w:rsidP="00B81923">
      <w:pPr>
        <w:pStyle w:val="Bibliography"/>
        <w:spacing w:after="0"/>
        <w:jc w:val="both"/>
        <w:rPr>
          <w:rFonts w:cs="Times"/>
          <w:sz w:val="20"/>
        </w:rPr>
      </w:pPr>
      <w:r w:rsidRPr="00507DE3">
        <w:rPr>
          <w:rFonts w:cs="Times"/>
          <w:sz w:val="20"/>
        </w:rPr>
        <w:t xml:space="preserve">22. </w:t>
      </w:r>
      <w:r w:rsidRPr="00507DE3">
        <w:rPr>
          <w:rFonts w:cs="Times"/>
          <w:sz w:val="20"/>
        </w:rPr>
        <w:tab/>
        <w:t xml:space="preserve">Alizada N, Malik S, Muzaffar SB. Bioaccumulation of heavy metals in tissues of Indian anchovy (Stolephorus indicus) from the UAE coast, Arabian Gulf. Marine Pollution Bulletin. 2020 May;154:111033. </w:t>
      </w:r>
    </w:p>
    <w:p w14:paraId="4748EBE1" w14:textId="77777777" w:rsidR="00635DB9" w:rsidRPr="00507DE3" w:rsidRDefault="00635DB9" w:rsidP="00B81923">
      <w:pPr>
        <w:pStyle w:val="Bibliography"/>
        <w:spacing w:after="0"/>
        <w:jc w:val="both"/>
        <w:rPr>
          <w:rFonts w:cs="Times"/>
          <w:sz w:val="20"/>
        </w:rPr>
      </w:pPr>
      <w:r w:rsidRPr="00507DE3">
        <w:rPr>
          <w:rFonts w:cs="Times"/>
          <w:sz w:val="20"/>
        </w:rPr>
        <w:t xml:space="preserve">23. </w:t>
      </w:r>
      <w:r w:rsidRPr="00507DE3">
        <w:rPr>
          <w:rFonts w:cs="Times"/>
          <w:sz w:val="20"/>
        </w:rPr>
        <w:tab/>
        <w:t xml:space="preserve">Tuzen M. Toxic and essential trace elemental contents in fish species from the Black Sea, Turkey. Food and Chemical Toxicology. 2009 Aug;47(8):1785–90. </w:t>
      </w:r>
    </w:p>
    <w:p w14:paraId="538DEC3B" w14:textId="77777777" w:rsidR="00635DB9" w:rsidRPr="00507DE3" w:rsidRDefault="00635DB9" w:rsidP="00B81923">
      <w:pPr>
        <w:pStyle w:val="Bibliography"/>
        <w:spacing w:after="0"/>
        <w:jc w:val="both"/>
        <w:rPr>
          <w:rFonts w:cs="Times"/>
          <w:sz w:val="20"/>
        </w:rPr>
      </w:pPr>
      <w:r w:rsidRPr="00507DE3">
        <w:rPr>
          <w:rFonts w:cs="Times"/>
          <w:sz w:val="20"/>
        </w:rPr>
        <w:t xml:space="preserve">24. </w:t>
      </w:r>
      <w:r w:rsidRPr="00507DE3">
        <w:rPr>
          <w:rFonts w:cs="Times"/>
          <w:sz w:val="20"/>
        </w:rPr>
        <w:tab/>
        <w:t xml:space="preserve">Suami RB, Sivalingam P, Kabala CD, Otamonga J-P, Mulaji CK, Mpiana PT, et al. Concentration of heavy metals in edible fishes from Atlantic Coast of Muanda, Democratic Republic of the Congo. Journal of Food Composition and Analysis. 2018 Oct;73:1–9. </w:t>
      </w:r>
    </w:p>
    <w:p w14:paraId="06AC76F1" w14:textId="77777777" w:rsidR="00635DB9" w:rsidRPr="00507DE3" w:rsidRDefault="00635DB9" w:rsidP="00B81923">
      <w:pPr>
        <w:pStyle w:val="Bibliography"/>
        <w:spacing w:after="0"/>
        <w:jc w:val="both"/>
        <w:rPr>
          <w:rFonts w:cs="Times"/>
          <w:sz w:val="20"/>
        </w:rPr>
      </w:pPr>
      <w:r w:rsidRPr="00507DE3">
        <w:rPr>
          <w:rFonts w:cs="Times"/>
          <w:sz w:val="20"/>
        </w:rPr>
        <w:t xml:space="preserve">25. </w:t>
      </w:r>
      <w:r w:rsidRPr="00507DE3">
        <w:rPr>
          <w:rFonts w:cs="Times"/>
          <w:sz w:val="20"/>
        </w:rPr>
        <w:tab/>
        <w:t xml:space="preserve">R. Joiris C, Holsbeek L, Laroussi moatemri N. Total and Methylmercury in Sardines Sardinella aurita and Sardina pilchardus from Tunisia. Marine Pollution Bulletin. 1999 Mar;38(3):188–92. </w:t>
      </w:r>
    </w:p>
    <w:p w14:paraId="215BB76C" w14:textId="77777777" w:rsidR="00635DB9" w:rsidRPr="00507DE3" w:rsidRDefault="00635DB9" w:rsidP="00B81923">
      <w:pPr>
        <w:pStyle w:val="Bibliography"/>
        <w:spacing w:after="0"/>
        <w:jc w:val="both"/>
        <w:rPr>
          <w:rFonts w:cs="Times"/>
          <w:sz w:val="20"/>
        </w:rPr>
      </w:pPr>
      <w:r w:rsidRPr="00507DE3">
        <w:rPr>
          <w:rFonts w:cs="Times"/>
          <w:sz w:val="20"/>
        </w:rPr>
        <w:t xml:space="preserve">26. </w:t>
      </w:r>
      <w:r w:rsidRPr="00507DE3">
        <w:rPr>
          <w:rFonts w:cs="Times"/>
          <w:sz w:val="20"/>
        </w:rPr>
        <w:tab/>
        <w:t xml:space="preserve">Silva CA da, Tessier E, Kütter VT, Wasserman JC, Donard OFX, Silva-Filho EV. Mercury speciation in fish of the Cabo Frio upwelling region, SE-Brazil. Braz j oceanogr. 2011 Sep;59(3):259–66. </w:t>
      </w:r>
    </w:p>
    <w:p w14:paraId="569862BB" w14:textId="77777777" w:rsidR="00635DB9" w:rsidRPr="00507DE3" w:rsidRDefault="00635DB9" w:rsidP="00B81923">
      <w:pPr>
        <w:pStyle w:val="Bibliography"/>
        <w:spacing w:after="0"/>
        <w:jc w:val="both"/>
        <w:rPr>
          <w:rFonts w:cs="Times"/>
          <w:sz w:val="20"/>
        </w:rPr>
      </w:pPr>
      <w:r w:rsidRPr="00507DE3">
        <w:rPr>
          <w:rFonts w:cs="Times"/>
          <w:sz w:val="20"/>
        </w:rPr>
        <w:t xml:space="preserve">27. </w:t>
      </w:r>
      <w:r w:rsidRPr="00507DE3">
        <w:rPr>
          <w:rFonts w:cs="Times"/>
          <w:sz w:val="20"/>
        </w:rPr>
        <w:tab/>
        <w:t xml:space="preserve">Ahmad NI, Noh MFM, Mahiyuddin WRW, Jaafar H, Ishak I, Azmi WNFW, et al. Mercury levels of marine fish commonly consumed in Peninsular Malaysia. Environ Sci Pollut Res. 2015 Mar;22(5):3672–86. </w:t>
      </w:r>
    </w:p>
    <w:p w14:paraId="7C0B87D0" w14:textId="25DD3573" w:rsidR="00B27873" w:rsidRPr="00D51377" w:rsidRDefault="00894F73" w:rsidP="00B81923">
      <w:pPr>
        <w:pStyle w:val="Referencenonumber"/>
        <w:tabs>
          <w:tab w:val="clear" w:pos="567"/>
          <w:tab w:val="left" w:pos="630"/>
          <w:tab w:val="left" w:pos="900"/>
          <w:tab w:val="left" w:pos="1080"/>
        </w:tabs>
        <w:ind w:left="990" w:hanging="990"/>
        <w:rPr>
          <w:sz w:val="20"/>
          <w:szCs w:val="20"/>
        </w:rPr>
      </w:pPr>
      <w:r w:rsidRPr="00507DE3">
        <w:rPr>
          <w:sz w:val="20"/>
          <w:szCs w:val="20"/>
        </w:rPr>
        <w:fldChar w:fldCharType="end"/>
      </w:r>
    </w:p>
    <w:sectPr w:rsidR="00B27873" w:rsidRPr="00D51377" w:rsidSect="007B4B3F">
      <w:headerReference w:type="even" r:id="rId14"/>
      <w:headerReference w:type="default" r:id="rId15"/>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0T14:45:00Z" w:initials="MNH">
    <w:p w14:paraId="04438C5A" w14:textId="50EFCA28" w:rsidR="003A62DB" w:rsidRDefault="003A62DB">
      <w:pPr>
        <w:pStyle w:val="CommentText"/>
      </w:pPr>
      <w:r>
        <w:rPr>
          <w:rStyle w:val="CommentReference"/>
        </w:rPr>
        <w:annotationRef/>
      </w:r>
      <w:r w:rsidR="003B5C6A">
        <w:t>Paper sudah cukup baik namun p</w:t>
      </w:r>
      <w:r>
        <w:t>aper tidak lebih dari 6 halaman</w:t>
      </w:r>
      <w:r>
        <w:br/>
        <w:t>paper 4-6 halaman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38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38C5A" w16cid:durableId="235526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B2FA1" w14:textId="77777777" w:rsidR="00607C38" w:rsidRDefault="00607C38">
      <w:r>
        <w:separator/>
      </w:r>
    </w:p>
  </w:endnote>
  <w:endnote w:type="continuationSeparator" w:id="0">
    <w:p w14:paraId="7A095537" w14:textId="77777777" w:rsidR="00607C38" w:rsidRDefault="0060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DDDA2" w14:textId="77777777" w:rsidR="00607C38" w:rsidRPr="00043761" w:rsidRDefault="00607C38">
      <w:pPr>
        <w:pStyle w:val="Bulleted"/>
        <w:numPr>
          <w:ilvl w:val="0"/>
          <w:numId w:val="0"/>
        </w:numPr>
        <w:rPr>
          <w:rFonts w:ascii="Sabon" w:hAnsi="Sabon"/>
          <w:color w:val="auto"/>
          <w:szCs w:val="20"/>
        </w:rPr>
      </w:pPr>
      <w:r>
        <w:separator/>
      </w:r>
    </w:p>
  </w:footnote>
  <w:footnote w:type="continuationSeparator" w:id="0">
    <w:p w14:paraId="3BB66B63" w14:textId="77777777" w:rsidR="00607C38" w:rsidRDefault="0060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54AC" w14:textId="77777777" w:rsidR="0078757B" w:rsidRDefault="007875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9403" w14:textId="77777777" w:rsidR="0078757B" w:rsidRDefault="0078757B"/>
  <w:p w14:paraId="37D02383" w14:textId="77777777" w:rsidR="0078757B" w:rsidRDefault="0078757B"/>
  <w:p w14:paraId="46EF2C23" w14:textId="77777777" w:rsidR="0078757B" w:rsidRDefault="0078757B"/>
  <w:p w14:paraId="607D027F" w14:textId="77777777" w:rsidR="0078757B" w:rsidRDefault="0078757B"/>
  <w:p w14:paraId="36D59C6D" w14:textId="77777777" w:rsidR="0078757B" w:rsidRDefault="0078757B"/>
  <w:p w14:paraId="3BDED6B7" w14:textId="77777777" w:rsidR="0078757B" w:rsidRDefault="007875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9AC85F06"/>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D"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3AE9"/>
    <w:rsid w:val="00006EA6"/>
    <w:rsid w:val="00011115"/>
    <w:rsid w:val="00011281"/>
    <w:rsid w:val="00042DBB"/>
    <w:rsid w:val="0005013C"/>
    <w:rsid w:val="00053C4D"/>
    <w:rsid w:val="00054411"/>
    <w:rsid w:val="00072E0A"/>
    <w:rsid w:val="00072FA8"/>
    <w:rsid w:val="000750F7"/>
    <w:rsid w:val="00075B07"/>
    <w:rsid w:val="00077BA5"/>
    <w:rsid w:val="00097FAA"/>
    <w:rsid w:val="000A075F"/>
    <w:rsid w:val="000A481B"/>
    <w:rsid w:val="000C59B8"/>
    <w:rsid w:val="000D3217"/>
    <w:rsid w:val="000D5460"/>
    <w:rsid w:val="00122361"/>
    <w:rsid w:val="00122E94"/>
    <w:rsid w:val="001339AD"/>
    <w:rsid w:val="001529A0"/>
    <w:rsid w:val="001548E8"/>
    <w:rsid w:val="00155A35"/>
    <w:rsid w:val="001575F8"/>
    <w:rsid w:val="00163A0C"/>
    <w:rsid w:val="00181D91"/>
    <w:rsid w:val="001976B8"/>
    <w:rsid w:val="001B5259"/>
    <w:rsid w:val="001F28EF"/>
    <w:rsid w:val="001F41CF"/>
    <w:rsid w:val="00205D39"/>
    <w:rsid w:val="00217A99"/>
    <w:rsid w:val="0022373F"/>
    <w:rsid w:val="00230EA7"/>
    <w:rsid w:val="002469A0"/>
    <w:rsid w:val="00254E82"/>
    <w:rsid w:val="002A4F72"/>
    <w:rsid w:val="002B7CEB"/>
    <w:rsid w:val="002C349B"/>
    <w:rsid w:val="002C427C"/>
    <w:rsid w:val="0030297D"/>
    <w:rsid w:val="0031607B"/>
    <w:rsid w:val="00345F41"/>
    <w:rsid w:val="0034631C"/>
    <w:rsid w:val="00374EFD"/>
    <w:rsid w:val="003922D6"/>
    <w:rsid w:val="003A62DB"/>
    <w:rsid w:val="003B5C6A"/>
    <w:rsid w:val="003B75FF"/>
    <w:rsid w:val="003B79C2"/>
    <w:rsid w:val="003D2877"/>
    <w:rsid w:val="003D7914"/>
    <w:rsid w:val="003F243F"/>
    <w:rsid w:val="00410023"/>
    <w:rsid w:val="004211B9"/>
    <w:rsid w:val="00422160"/>
    <w:rsid w:val="0042318C"/>
    <w:rsid w:val="00424D9A"/>
    <w:rsid w:val="0045625E"/>
    <w:rsid w:val="004637EA"/>
    <w:rsid w:val="004656E3"/>
    <w:rsid w:val="0046579A"/>
    <w:rsid w:val="00467448"/>
    <w:rsid w:val="00475AA9"/>
    <w:rsid w:val="00491FCD"/>
    <w:rsid w:val="00495097"/>
    <w:rsid w:val="004B4AE0"/>
    <w:rsid w:val="004C4CF1"/>
    <w:rsid w:val="004D636A"/>
    <w:rsid w:val="00507DE3"/>
    <w:rsid w:val="005158FA"/>
    <w:rsid w:val="00517D68"/>
    <w:rsid w:val="00523D6C"/>
    <w:rsid w:val="00535822"/>
    <w:rsid w:val="00536E07"/>
    <w:rsid w:val="00537ED6"/>
    <w:rsid w:val="00546460"/>
    <w:rsid w:val="0055148E"/>
    <w:rsid w:val="005701A6"/>
    <w:rsid w:val="00597548"/>
    <w:rsid w:val="005A12C3"/>
    <w:rsid w:val="005A3386"/>
    <w:rsid w:val="00606954"/>
    <w:rsid w:val="00607C38"/>
    <w:rsid w:val="00615755"/>
    <w:rsid w:val="006174E5"/>
    <w:rsid w:val="00622A03"/>
    <w:rsid w:val="00635DB9"/>
    <w:rsid w:val="00642077"/>
    <w:rsid w:val="00645FCE"/>
    <w:rsid w:val="00675505"/>
    <w:rsid w:val="00680FEB"/>
    <w:rsid w:val="00681DBA"/>
    <w:rsid w:val="00695019"/>
    <w:rsid w:val="006C1EB5"/>
    <w:rsid w:val="006E781E"/>
    <w:rsid w:val="006F3A03"/>
    <w:rsid w:val="006F45A4"/>
    <w:rsid w:val="00727028"/>
    <w:rsid w:val="00733CB3"/>
    <w:rsid w:val="00743858"/>
    <w:rsid w:val="007443C7"/>
    <w:rsid w:val="00751FD8"/>
    <w:rsid w:val="007603CC"/>
    <w:rsid w:val="00761BDF"/>
    <w:rsid w:val="00774665"/>
    <w:rsid w:val="007807CB"/>
    <w:rsid w:val="0078227E"/>
    <w:rsid w:val="00784621"/>
    <w:rsid w:val="0078757B"/>
    <w:rsid w:val="00791F6F"/>
    <w:rsid w:val="007B1B7D"/>
    <w:rsid w:val="007B3AA4"/>
    <w:rsid w:val="007B4B3F"/>
    <w:rsid w:val="007C6AB0"/>
    <w:rsid w:val="007D703D"/>
    <w:rsid w:val="007E36D3"/>
    <w:rsid w:val="007E529C"/>
    <w:rsid w:val="007E7225"/>
    <w:rsid w:val="007F3ACE"/>
    <w:rsid w:val="008134A7"/>
    <w:rsid w:val="00821AEC"/>
    <w:rsid w:val="00860404"/>
    <w:rsid w:val="00884468"/>
    <w:rsid w:val="00894F73"/>
    <w:rsid w:val="008B0E5B"/>
    <w:rsid w:val="008D08B5"/>
    <w:rsid w:val="009021C9"/>
    <w:rsid w:val="00912C30"/>
    <w:rsid w:val="009134FD"/>
    <w:rsid w:val="00917754"/>
    <w:rsid w:val="00925072"/>
    <w:rsid w:val="00925E40"/>
    <w:rsid w:val="00950F3F"/>
    <w:rsid w:val="0096105C"/>
    <w:rsid w:val="00964D3B"/>
    <w:rsid w:val="009A0487"/>
    <w:rsid w:val="009B42E7"/>
    <w:rsid w:val="009C0F69"/>
    <w:rsid w:val="009D4669"/>
    <w:rsid w:val="009D6425"/>
    <w:rsid w:val="009D7096"/>
    <w:rsid w:val="009E1D2F"/>
    <w:rsid w:val="009E3B11"/>
    <w:rsid w:val="009E6940"/>
    <w:rsid w:val="009F1F5C"/>
    <w:rsid w:val="009F5F20"/>
    <w:rsid w:val="00A047F5"/>
    <w:rsid w:val="00A20932"/>
    <w:rsid w:val="00A302F5"/>
    <w:rsid w:val="00A622E3"/>
    <w:rsid w:val="00A73925"/>
    <w:rsid w:val="00A82437"/>
    <w:rsid w:val="00A9384C"/>
    <w:rsid w:val="00A96B8C"/>
    <w:rsid w:val="00AC0EB6"/>
    <w:rsid w:val="00AC24D2"/>
    <w:rsid w:val="00AC4722"/>
    <w:rsid w:val="00AD5EF7"/>
    <w:rsid w:val="00B03C7E"/>
    <w:rsid w:val="00B05982"/>
    <w:rsid w:val="00B16D8F"/>
    <w:rsid w:val="00B27873"/>
    <w:rsid w:val="00B30C59"/>
    <w:rsid w:val="00B35AF9"/>
    <w:rsid w:val="00B40446"/>
    <w:rsid w:val="00B5051E"/>
    <w:rsid w:val="00B528F0"/>
    <w:rsid w:val="00B55436"/>
    <w:rsid w:val="00B63E19"/>
    <w:rsid w:val="00B81923"/>
    <w:rsid w:val="00B83F45"/>
    <w:rsid w:val="00BA379D"/>
    <w:rsid w:val="00BB30F2"/>
    <w:rsid w:val="00BC4376"/>
    <w:rsid w:val="00BC445B"/>
    <w:rsid w:val="00BC4D75"/>
    <w:rsid w:val="00BC5423"/>
    <w:rsid w:val="00BC650A"/>
    <w:rsid w:val="00BD40F8"/>
    <w:rsid w:val="00C10178"/>
    <w:rsid w:val="00C12273"/>
    <w:rsid w:val="00C1455E"/>
    <w:rsid w:val="00C53948"/>
    <w:rsid w:val="00C55892"/>
    <w:rsid w:val="00C86611"/>
    <w:rsid w:val="00C8740D"/>
    <w:rsid w:val="00C971F1"/>
    <w:rsid w:val="00CA034A"/>
    <w:rsid w:val="00CA5943"/>
    <w:rsid w:val="00CB3D50"/>
    <w:rsid w:val="00CB5AF5"/>
    <w:rsid w:val="00CC772A"/>
    <w:rsid w:val="00CC77F3"/>
    <w:rsid w:val="00CD1923"/>
    <w:rsid w:val="00CF2E7A"/>
    <w:rsid w:val="00D0358F"/>
    <w:rsid w:val="00D43EAE"/>
    <w:rsid w:val="00D51377"/>
    <w:rsid w:val="00D57E28"/>
    <w:rsid w:val="00D91EF5"/>
    <w:rsid w:val="00DC7F56"/>
    <w:rsid w:val="00DF2138"/>
    <w:rsid w:val="00DF29FB"/>
    <w:rsid w:val="00E06D26"/>
    <w:rsid w:val="00E22D8A"/>
    <w:rsid w:val="00E24996"/>
    <w:rsid w:val="00E61140"/>
    <w:rsid w:val="00E67EEF"/>
    <w:rsid w:val="00E807B7"/>
    <w:rsid w:val="00E84574"/>
    <w:rsid w:val="00EA11D8"/>
    <w:rsid w:val="00EA2D61"/>
    <w:rsid w:val="00EA790C"/>
    <w:rsid w:val="00EC0EAA"/>
    <w:rsid w:val="00EE2C62"/>
    <w:rsid w:val="00EE696D"/>
    <w:rsid w:val="00EF6BE4"/>
    <w:rsid w:val="00F10370"/>
    <w:rsid w:val="00F231C1"/>
    <w:rsid w:val="00F33F21"/>
    <w:rsid w:val="00F3478C"/>
    <w:rsid w:val="00F51632"/>
    <w:rsid w:val="00F75E9D"/>
    <w:rsid w:val="00F8112B"/>
    <w:rsid w:val="00F82C7B"/>
    <w:rsid w:val="00F92384"/>
    <w:rsid w:val="00F93803"/>
    <w:rsid w:val="00FC0001"/>
    <w:rsid w:val="00FF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044A2"/>
  <w15:docId w15:val="{275F64D0-DAD2-48B1-8373-E8EC8C5D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894F73"/>
    <w:pPr>
      <w:spacing w:after="240"/>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qFormat/>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qFormat/>
    <w:pPr>
      <w:jc w:val="both"/>
    </w:pPr>
    <w:rPr>
      <w:rFonts w:ascii="Times" w:hAnsi="Times"/>
      <w:iCs/>
      <w:color w:val="000000"/>
      <w:sz w:val="22"/>
      <w:szCs w:val="22"/>
      <w:lang w:val="en-US" w:eastAsia="en-US"/>
    </w:rPr>
  </w:style>
  <w:style w:type="paragraph" w:customStyle="1" w:styleId="BodytextIndented">
    <w:name w:val="BodytextIndented"/>
    <w:basedOn w:val="Bodytext"/>
    <w:qForma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qForma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qForma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qFormat/>
    <w:pPr>
      <w:spacing w:after="454"/>
      <w:ind w:left="1418"/>
      <w:jc w:val="both"/>
    </w:pPr>
    <w:rPr>
      <w:rFonts w:ascii="Times" w:hAnsi="Times"/>
      <w:color w:val="000000"/>
      <w:lang w:eastAsia="en-US"/>
    </w:rPr>
  </w:style>
  <w:style w:type="paragraph" w:customStyle="1" w:styleId="Sectionnonumber">
    <w:name w:val="Section (no number)"/>
    <w:next w:val="Bodytext"/>
    <w:qForma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pPr>
      <w:spacing w:before="1588" w:after="567"/>
    </w:pPr>
    <w:rPr>
      <w:b/>
      <w:sz w:val="34"/>
      <w:szCs w:val="34"/>
    </w:rPr>
  </w:style>
  <w:style w:type="paragraph" w:customStyle="1" w:styleId="Authors">
    <w:name w:val="Authors"/>
    <w:next w:val="Addresses"/>
    <w:qFormat/>
    <w:pPr>
      <w:spacing w:after="113"/>
      <w:ind w:left="1418"/>
    </w:pPr>
    <w:rPr>
      <w:rFonts w:ascii="Times" w:hAnsi="Times"/>
      <w:b/>
      <w:sz w:val="22"/>
      <w:szCs w:val="22"/>
      <w:lang w:eastAsia="en-US"/>
    </w:rPr>
  </w:style>
  <w:style w:type="paragraph" w:customStyle="1" w:styleId="Addresses">
    <w:name w:val="Addresses"/>
    <w:next w:val="E-mail"/>
    <w:qFormat/>
    <w:pPr>
      <w:spacing w:after="240"/>
      <w:ind w:left="1418"/>
    </w:pPr>
    <w:rPr>
      <w:rFonts w:ascii="Times" w:hAnsi="Times"/>
      <w:sz w:val="22"/>
      <w:szCs w:val="22"/>
      <w:lang w:eastAsia="en-US"/>
    </w:rPr>
  </w:style>
  <w:style w:type="paragraph" w:customStyle="1" w:styleId="FigureCaption">
    <w:name w:val="FigureCaption"/>
    <w:qFormat/>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qFormat/>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39"/>
    <w:unhideWhenUsed/>
    <w:rsid w:val="00B63E19"/>
    <w:rPr>
      <w:rFonts w:asciiTheme="minorHAnsi" w:eastAsiaTheme="minorHAnsi" w:hAnsiTheme="minorHAnsi" w:cstheme="minorBidi"/>
      <w:sz w:val="22"/>
      <w:szCs w:val="22"/>
      <w:lang w:val="en-ID"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B5AF5"/>
    <w:pPr>
      <w:spacing w:after="200"/>
    </w:pPr>
    <w:rPr>
      <w:i/>
      <w:iCs/>
      <w:color w:val="1F497D" w:themeColor="text2"/>
      <w:sz w:val="18"/>
      <w:szCs w:val="18"/>
    </w:rPr>
  </w:style>
  <w:style w:type="paragraph" w:styleId="Bibliography">
    <w:name w:val="Bibliography"/>
    <w:basedOn w:val="Normal"/>
    <w:next w:val="Normal"/>
    <w:uiPriority w:val="37"/>
    <w:unhideWhenUsed/>
    <w:rsid w:val="00894F73"/>
    <w:pPr>
      <w:tabs>
        <w:tab w:val="left" w:pos="504"/>
      </w:tabs>
      <w:spacing w:after="240"/>
      <w:ind w:left="504" w:hanging="504"/>
    </w:pPr>
  </w:style>
  <w:style w:type="character" w:styleId="Hyperlink">
    <w:name w:val="Hyperlink"/>
    <w:basedOn w:val="DefaultParagraphFont"/>
    <w:uiPriority w:val="99"/>
    <w:unhideWhenUsed/>
    <w:rsid w:val="00B27873"/>
    <w:rPr>
      <w:color w:val="0000FF" w:themeColor="hyperlink"/>
      <w:u w:val="single"/>
    </w:rPr>
  </w:style>
  <w:style w:type="character" w:styleId="UnresolvedMention">
    <w:name w:val="Unresolved Mention"/>
    <w:basedOn w:val="DefaultParagraphFont"/>
    <w:uiPriority w:val="99"/>
    <w:semiHidden/>
    <w:unhideWhenUsed/>
    <w:rsid w:val="00B27873"/>
    <w:rPr>
      <w:color w:val="605E5C"/>
      <w:shd w:val="clear" w:color="auto" w:fill="E1DFDD"/>
    </w:rPr>
  </w:style>
  <w:style w:type="character" w:styleId="CommentReference">
    <w:name w:val="annotation reference"/>
    <w:basedOn w:val="DefaultParagraphFont"/>
    <w:uiPriority w:val="99"/>
    <w:semiHidden/>
    <w:unhideWhenUsed/>
    <w:rsid w:val="002B7CEB"/>
    <w:rPr>
      <w:sz w:val="16"/>
      <w:szCs w:val="16"/>
    </w:rPr>
  </w:style>
  <w:style w:type="paragraph" w:styleId="CommentText">
    <w:name w:val="annotation text"/>
    <w:basedOn w:val="Normal"/>
    <w:link w:val="CommentTextChar"/>
    <w:uiPriority w:val="99"/>
    <w:semiHidden/>
    <w:unhideWhenUsed/>
    <w:rsid w:val="002B7CEB"/>
    <w:rPr>
      <w:sz w:val="20"/>
    </w:rPr>
  </w:style>
  <w:style w:type="character" w:customStyle="1" w:styleId="CommentTextChar">
    <w:name w:val="Comment Text Char"/>
    <w:basedOn w:val="DefaultParagraphFont"/>
    <w:link w:val="CommentText"/>
    <w:uiPriority w:val="99"/>
    <w:semiHidden/>
    <w:rsid w:val="002B7CE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2B7CEB"/>
    <w:rPr>
      <w:b/>
      <w:bCs/>
    </w:rPr>
  </w:style>
  <w:style w:type="character" w:customStyle="1" w:styleId="CommentSubjectChar">
    <w:name w:val="Comment Subject Char"/>
    <w:basedOn w:val="CommentTextChar"/>
    <w:link w:val="CommentSubject"/>
    <w:uiPriority w:val="99"/>
    <w:semiHidden/>
    <w:rsid w:val="002B7CEB"/>
    <w:rPr>
      <w:rFonts w:ascii="Times" w:hAnsi="Times"/>
      <w:b/>
      <w:bCs/>
      <w:lang w:eastAsia="en-US"/>
    </w:rPr>
  </w:style>
  <w:style w:type="paragraph" w:styleId="BalloonText">
    <w:name w:val="Balloon Text"/>
    <w:basedOn w:val="Normal"/>
    <w:link w:val="BalloonTextChar"/>
    <w:uiPriority w:val="99"/>
    <w:semiHidden/>
    <w:unhideWhenUsed/>
    <w:rsid w:val="002B7C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CEB"/>
    <w:rPr>
      <w:rFonts w:ascii="Segoe UI" w:hAnsi="Segoe UI" w:cs="Segoe UI"/>
      <w:sz w:val="18"/>
      <w:szCs w:val="18"/>
      <w:lang w:eastAsia="en-US"/>
    </w:rPr>
  </w:style>
  <w:style w:type="paragraph" w:styleId="HTMLPreformatted">
    <w:name w:val="HTML Preformatted"/>
    <w:basedOn w:val="Normal"/>
    <w:link w:val="HTMLPreformattedChar"/>
    <w:uiPriority w:val="99"/>
    <w:semiHidden/>
    <w:unhideWhenUsed/>
    <w:rsid w:val="00CA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CA5943"/>
    <w:rPr>
      <w:rFonts w:ascii="Courier New" w:hAnsi="Courier New" w:cs="Courier New"/>
      <w:lang w:val="en-US" w:eastAsia="en-US"/>
    </w:rPr>
  </w:style>
  <w:style w:type="character" w:customStyle="1" w:styleId="other-info">
    <w:name w:val="other-info"/>
    <w:basedOn w:val="DefaultParagraphFont"/>
    <w:rsid w:val="00205D39"/>
  </w:style>
  <w:style w:type="paragraph" w:styleId="ListParagraph">
    <w:name w:val="List Paragraph"/>
    <w:basedOn w:val="Normal"/>
    <w:uiPriority w:val="34"/>
    <w:qFormat/>
    <w:rsid w:val="003A62DB"/>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14538">
      <w:bodyDiv w:val="1"/>
      <w:marLeft w:val="0"/>
      <w:marRight w:val="0"/>
      <w:marTop w:val="0"/>
      <w:marBottom w:val="0"/>
      <w:divBdr>
        <w:top w:val="none" w:sz="0" w:space="0" w:color="auto"/>
        <w:left w:val="none" w:sz="0" w:space="0" w:color="auto"/>
        <w:bottom w:val="none" w:sz="0" w:space="0" w:color="auto"/>
        <w:right w:val="none" w:sz="0" w:space="0" w:color="auto"/>
      </w:divBdr>
    </w:div>
    <w:div w:id="350227297">
      <w:bodyDiv w:val="1"/>
      <w:marLeft w:val="0"/>
      <w:marRight w:val="0"/>
      <w:marTop w:val="0"/>
      <w:marBottom w:val="0"/>
      <w:divBdr>
        <w:top w:val="none" w:sz="0" w:space="0" w:color="auto"/>
        <w:left w:val="none" w:sz="0" w:space="0" w:color="auto"/>
        <w:bottom w:val="none" w:sz="0" w:space="0" w:color="auto"/>
        <w:right w:val="none" w:sz="0" w:space="0" w:color="auto"/>
      </w:divBdr>
    </w:div>
    <w:div w:id="911894635">
      <w:bodyDiv w:val="1"/>
      <w:marLeft w:val="0"/>
      <w:marRight w:val="0"/>
      <w:marTop w:val="0"/>
      <w:marBottom w:val="0"/>
      <w:divBdr>
        <w:top w:val="none" w:sz="0" w:space="0" w:color="auto"/>
        <w:left w:val="none" w:sz="0" w:space="0" w:color="auto"/>
        <w:bottom w:val="none" w:sz="0" w:space="0" w:color="auto"/>
        <w:right w:val="none" w:sz="0" w:space="0" w:color="auto"/>
      </w:divBdr>
    </w:div>
    <w:div w:id="1569417834">
      <w:bodyDiv w:val="1"/>
      <w:marLeft w:val="0"/>
      <w:marRight w:val="0"/>
      <w:marTop w:val="0"/>
      <w:marBottom w:val="0"/>
      <w:divBdr>
        <w:top w:val="none" w:sz="0" w:space="0" w:color="auto"/>
        <w:left w:val="none" w:sz="0" w:space="0" w:color="auto"/>
        <w:bottom w:val="none" w:sz="0" w:space="0" w:color="auto"/>
        <w:right w:val="none" w:sz="0" w:space="0" w:color="auto"/>
      </w:divBdr>
    </w:div>
    <w:div w:id="1883203437">
      <w:bodyDiv w:val="1"/>
      <w:marLeft w:val="0"/>
      <w:marRight w:val="0"/>
      <w:marTop w:val="0"/>
      <w:marBottom w:val="0"/>
      <w:divBdr>
        <w:top w:val="none" w:sz="0" w:space="0" w:color="auto"/>
        <w:left w:val="none" w:sz="0" w:space="0" w:color="auto"/>
        <w:bottom w:val="none" w:sz="0" w:space="0" w:color="auto"/>
        <w:right w:val="none" w:sz="0" w:space="0" w:color="auto"/>
      </w:divBdr>
    </w:div>
    <w:div w:id="1959484124">
      <w:bodyDiv w:val="1"/>
      <w:marLeft w:val="0"/>
      <w:marRight w:val="0"/>
      <w:marTop w:val="0"/>
      <w:marBottom w:val="0"/>
      <w:divBdr>
        <w:top w:val="none" w:sz="0" w:space="0" w:color="auto"/>
        <w:left w:val="none" w:sz="0" w:space="0" w:color="auto"/>
        <w:bottom w:val="none" w:sz="0" w:space="0" w:color="auto"/>
        <w:right w:val="none" w:sz="0" w:space="0" w:color="auto"/>
      </w:divBdr>
      <w:divsChild>
        <w:div w:id="1981107519">
          <w:marLeft w:val="0"/>
          <w:marRight w:val="0"/>
          <w:marTop w:val="0"/>
          <w:marBottom w:val="0"/>
          <w:divBdr>
            <w:top w:val="none" w:sz="0" w:space="0" w:color="auto"/>
            <w:left w:val="none" w:sz="0" w:space="0" w:color="auto"/>
            <w:bottom w:val="none" w:sz="0" w:space="0" w:color="auto"/>
            <w:right w:val="none" w:sz="0" w:space="0" w:color="auto"/>
          </w:divBdr>
        </w:div>
        <w:div w:id="181168348">
          <w:marLeft w:val="0"/>
          <w:marRight w:val="0"/>
          <w:marTop w:val="0"/>
          <w:marBottom w:val="0"/>
          <w:divBdr>
            <w:top w:val="none" w:sz="0" w:space="0" w:color="auto"/>
            <w:left w:val="none" w:sz="0" w:space="0" w:color="auto"/>
            <w:bottom w:val="none" w:sz="0" w:space="0" w:color="auto"/>
            <w:right w:val="none" w:sz="0" w:space="0" w:color="auto"/>
          </w:divBdr>
          <w:divsChild>
            <w:div w:id="541746116">
              <w:marLeft w:val="0"/>
              <w:marRight w:val="0"/>
              <w:marTop w:val="120"/>
              <w:marBottom w:val="0"/>
              <w:divBdr>
                <w:top w:val="none" w:sz="0" w:space="0" w:color="auto"/>
                <w:left w:val="none" w:sz="0" w:space="0" w:color="auto"/>
                <w:bottom w:val="none" w:sz="0" w:space="0" w:color="auto"/>
                <w:right w:val="none" w:sz="0" w:space="0" w:color="auto"/>
              </w:divBdr>
              <w:divsChild>
                <w:div w:id="296642485">
                  <w:marLeft w:val="-16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74A4C-BBAA-49F6-9B22-DD96E416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97</TotalTime>
  <Pages>6</Pages>
  <Words>9828</Words>
  <Characters>56021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aida sartimbul</cp:lastModifiedBy>
  <cp:revision>4</cp:revision>
  <cp:lastPrinted>2005-02-25T09:52:00Z</cp:lastPrinted>
  <dcterms:created xsi:type="dcterms:W3CDTF">2020-11-18T06:15:00Z</dcterms:created>
  <dcterms:modified xsi:type="dcterms:W3CDTF">2020-11-18T09:49:00Z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id="mw9gdvwY"/&gt;&lt;style id="http://www.zotero.org/styles/vancouver" locale="en-US" hasBibliography="1" bibliographyStyleHasBeenSet="1"/&gt;&lt;prefs&gt;&lt;pref name="fieldType" value="Field"/&gt;&lt;pref name="dontAskD</vt:lpwstr>
  </property>
  <property fmtid="{D5CDD505-2E9C-101B-9397-08002B2CF9AE}" pid="3" name="ZOTERO_PREF_2">
    <vt:lpwstr>elayCitationUpdates" value="true"/&gt;&lt;/prefs&gt;&lt;/data&gt;</vt:lpwstr>
  </property>
</Properties>
</file>