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D04E3" w14:textId="77777777" w:rsidR="006D26BB" w:rsidRDefault="006D26BB" w:rsidP="009A7124">
      <w:pPr>
        <w:spacing w:after="0" w:line="360" w:lineRule="auto"/>
        <w:jc w:val="both"/>
        <w:rPr>
          <w:rFonts w:eastAsia="Times New Roman"/>
          <w:sz w:val="24"/>
          <w:szCs w:val="24"/>
          <w:lang w:val="en-GB" w:eastAsia="en-US"/>
        </w:rPr>
      </w:pPr>
    </w:p>
    <w:p w14:paraId="10549B3D" w14:textId="1B80B871" w:rsidR="006D26BB" w:rsidRPr="00797274" w:rsidRDefault="00574067" w:rsidP="00797274">
      <w:pPr>
        <w:pStyle w:val="NoSpacing"/>
        <w:rPr>
          <w:b/>
          <w:sz w:val="34"/>
          <w:szCs w:val="34"/>
          <w:lang w:val="en-GB" w:eastAsia="en-US"/>
        </w:rPr>
      </w:pPr>
      <w:r w:rsidRPr="00797274">
        <w:rPr>
          <w:b/>
          <w:sz w:val="34"/>
          <w:szCs w:val="34"/>
          <w:lang w:val="en-GB" w:eastAsia="en-US"/>
        </w:rPr>
        <w:t xml:space="preserve">Successful approach for delivering new technology </w:t>
      </w:r>
    </w:p>
    <w:p w14:paraId="57D477B7" w14:textId="13286AF5" w:rsidR="006D26BB" w:rsidRPr="00797274" w:rsidRDefault="00574067" w:rsidP="00797274">
      <w:pPr>
        <w:pStyle w:val="NoSpacing"/>
        <w:rPr>
          <w:b/>
          <w:sz w:val="34"/>
          <w:szCs w:val="34"/>
          <w:lang w:val="en-GB" w:eastAsia="en-US"/>
        </w:rPr>
      </w:pPr>
      <w:r w:rsidRPr="00797274">
        <w:rPr>
          <w:b/>
          <w:sz w:val="34"/>
          <w:szCs w:val="34"/>
          <w:lang w:val="en-GB" w:eastAsia="en-US"/>
        </w:rPr>
        <w:t>through t</w:t>
      </w:r>
      <w:r w:rsidR="003F03E5" w:rsidRPr="00797274">
        <w:rPr>
          <w:b/>
          <w:sz w:val="34"/>
          <w:szCs w:val="34"/>
          <w:lang w:val="en-GB" w:eastAsia="en-US"/>
        </w:rPr>
        <w:t>echnology transfer program for SME</w:t>
      </w:r>
      <w:r w:rsidRPr="00797274">
        <w:rPr>
          <w:b/>
          <w:sz w:val="34"/>
          <w:szCs w:val="34"/>
          <w:lang w:val="en-GB" w:eastAsia="en-US"/>
        </w:rPr>
        <w:t xml:space="preserve">s </w:t>
      </w:r>
    </w:p>
    <w:p w14:paraId="598FCE5E" w14:textId="1FE09AB4" w:rsidR="006D26BB" w:rsidRDefault="00574067" w:rsidP="00797274">
      <w:pPr>
        <w:pStyle w:val="NoSpacing"/>
        <w:rPr>
          <w:lang w:val="en-GB" w:eastAsia="en-US"/>
        </w:rPr>
      </w:pPr>
      <w:r w:rsidRPr="00797274">
        <w:rPr>
          <w:b/>
          <w:sz w:val="34"/>
          <w:szCs w:val="34"/>
          <w:lang w:val="en-GB" w:eastAsia="en-US"/>
        </w:rPr>
        <w:t>in developing economies</w:t>
      </w:r>
    </w:p>
    <w:p w14:paraId="109BFB9E" w14:textId="77777777" w:rsidR="003F03E5" w:rsidRDefault="003F03E5" w:rsidP="00574067">
      <w:pPr>
        <w:spacing w:after="0" w:line="240" w:lineRule="auto"/>
        <w:rPr>
          <w:rFonts w:eastAsia="Times New Roman"/>
          <w:sz w:val="32"/>
          <w:szCs w:val="32"/>
          <w:lang w:val="en-GB" w:eastAsia="en-US"/>
        </w:rPr>
      </w:pPr>
    </w:p>
    <w:p w14:paraId="25D24E10" w14:textId="77777777" w:rsidR="00457463" w:rsidRDefault="00457463" w:rsidP="00457463">
      <w:pPr>
        <w:spacing w:after="0" w:line="240" w:lineRule="auto"/>
        <w:jc w:val="center"/>
        <w:rPr>
          <w:rFonts w:eastAsia="Times New Roman"/>
          <w:sz w:val="32"/>
          <w:szCs w:val="32"/>
          <w:lang w:val="en-GB" w:eastAsia="en-US"/>
        </w:rPr>
      </w:pPr>
    </w:p>
    <w:p w14:paraId="598E470C" w14:textId="0DE2A338" w:rsidR="00457463" w:rsidRPr="00663364" w:rsidRDefault="00457463" w:rsidP="00663364">
      <w:pPr>
        <w:pStyle w:val="Authors"/>
        <w:rPr>
          <w:lang w:val="en-US"/>
        </w:rPr>
      </w:pPr>
      <w:r w:rsidRPr="00663364">
        <w:rPr>
          <w:lang w:val="en-US"/>
        </w:rPr>
        <w:t>F Handoko</w:t>
      </w:r>
      <w:r w:rsidRPr="00663364">
        <w:rPr>
          <w:vertAlign w:val="superscript"/>
          <w:lang w:val="en-US"/>
        </w:rPr>
        <w:t>1</w:t>
      </w:r>
      <w:r w:rsidRPr="00663364">
        <w:rPr>
          <w:lang w:val="en-US"/>
        </w:rPr>
        <w:t>*</w:t>
      </w:r>
      <w:r w:rsidR="003A3BB2" w:rsidRPr="00663364">
        <w:rPr>
          <w:lang w:val="en-US"/>
        </w:rPr>
        <w:t xml:space="preserve">, </w:t>
      </w:r>
      <w:r w:rsidR="003F03E5" w:rsidRPr="00663364">
        <w:rPr>
          <w:lang w:val="en-US"/>
        </w:rPr>
        <w:t>F E K</w:t>
      </w:r>
      <w:r w:rsidR="003E77C8" w:rsidRPr="00663364">
        <w:rPr>
          <w:lang w:val="en-US"/>
        </w:rPr>
        <w:t xml:space="preserve"> Rastini</w:t>
      </w:r>
      <w:r w:rsidR="00330BB7" w:rsidRPr="00663364">
        <w:rPr>
          <w:vertAlign w:val="superscript"/>
          <w:lang w:val="en-US"/>
        </w:rPr>
        <w:t>2</w:t>
      </w:r>
      <w:r w:rsidR="00330BB7" w:rsidRPr="00663364">
        <w:rPr>
          <w:lang w:val="en-US"/>
        </w:rPr>
        <w:t>,</w:t>
      </w:r>
      <w:r w:rsidR="003E77C8" w:rsidRPr="00663364">
        <w:rPr>
          <w:lang w:val="en-US"/>
        </w:rPr>
        <w:t xml:space="preserve"> </w:t>
      </w:r>
      <w:r w:rsidR="003A3BB2" w:rsidRPr="00663364">
        <w:rPr>
          <w:lang w:val="en-US"/>
        </w:rPr>
        <w:t>P</w:t>
      </w:r>
      <w:r w:rsidRPr="00663364">
        <w:rPr>
          <w:lang w:val="en-US"/>
        </w:rPr>
        <w:t xml:space="preserve"> Vitasari</w:t>
      </w:r>
      <w:r w:rsidR="00330BB7" w:rsidRPr="00663364">
        <w:rPr>
          <w:vertAlign w:val="superscript"/>
          <w:lang w:val="en-US"/>
        </w:rPr>
        <w:t>3</w:t>
      </w:r>
      <w:r w:rsidR="003F03E5" w:rsidRPr="00663364">
        <w:rPr>
          <w:lang w:val="en-US"/>
        </w:rPr>
        <w:t>, S</w:t>
      </w:r>
      <w:r w:rsidRPr="00663364">
        <w:rPr>
          <w:lang w:val="en-US"/>
        </w:rPr>
        <w:t xml:space="preserve"> Hidayat</w:t>
      </w:r>
      <w:r w:rsidR="00330BB7" w:rsidRPr="00663364">
        <w:rPr>
          <w:vertAlign w:val="superscript"/>
          <w:lang w:val="en-US"/>
        </w:rPr>
        <w:t>4</w:t>
      </w:r>
      <w:r w:rsidR="003F03E5" w:rsidRPr="00663364">
        <w:rPr>
          <w:lang w:val="en-US"/>
        </w:rPr>
        <w:t>, M</w:t>
      </w:r>
      <w:r w:rsidR="00330BB7" w:rsidRPr="00663364">
        <w:rPr>
          <w:lang w:val="en-US"/>
        </w:rPr>
        <w:t xml:space="preserve"> Wijayaningtyas</w:t>
      </w:r>
      <w:r w:rsidR="00330BB7" w:rsidRPr="00663364">
        <w:rPr>
          <w:vertAlign w:val="superscript"/>
          <w:lang w:val="en-US"/>
        </w:rPr>
        <w:t>5</w:t>
      </w:r>
      <w:r w:rsidR="003F03E5" w:rsidRPr="00663364">
        <w:rPr>
          <w:lang w:val="en-US"/>
        </w:rPr>
        <w:t xml:space="preserve"> and</w:t>
      </w:r>
      <w:r w:rsidR="00330BB7" w:rsidRPr="00663364">
        <w:rPr>
          <w:lang w:val="en-US"/>
        </w:rPr>
        <w:t xml:space="preserve"> </w:t>
      </w:r>
      <w:r w:rsidR="003F03E5" w:rsidRPr="00663364">
        <w:rPr>
          <w:lang w:val="en-US"/>
        </w:rPr>
        <w:t>M E</w:t>
      </w:r>
      <w:r w:rsidRPr="00663364">
        <w:rPr>
          <w:lang w:val="en-US"/>
        </w:rPr>
        <w:t xml:space="preserve"> Tjahjadi</w:t>
      </w:r>
      <w:r w:rsidR="00330BB7" w:rsidRPr="00663364">
        <w:rPr>
          <w:vertAlign w:val="superscript"/>
          <w:lang w:val="en-US"/>
        </w:rPr>
        <w:t>6</w:t>
      </w:r>
    </w:p>
    <w:p w14:paraId="42487F96" w14:textId="0D460E2F" w:rsidR="00457463" w:rsidRPr="003A2EEA" w:rsidRDefault="00457463" w:rsidP="00663364">
      <w:pPr>
        <w:pStyle w:val="NoSpacing"/>
        <w:ind w:left="1418"/>
      </w:pPr>
      <w:r w:rsidRPr="003A2EEA">
        <w:rPr>
          <w:vertAlign w:val="superscript"/>
        </w:rPr>
        <w:t>1,</w:t>
      </w:r>
      <w:r w:rsidR="00330BB7" w:rsidRPr="003A2EEA">
        <w:rPr>
          <w:vertAlign w:val="superscript"/>
        </w:rPr>
        <w:t>3</w:t>
      </w:r>
      <w:r w:rsidRPr="003A2EEA">
        <w:t>Industrial Engineering Department, National Institute of Technology (ITN) Malang</w:t>
      </w:r>
      <w:r w:rsidR="003F5E12">
        <w:t xml:space="preserve">, </w:t>
      </w:r>
      <w:proofErr w:type="spellStart"/>
      <w:r w:rsidR="003F5E12">
        <w:t>Jalan</w:t>
      </w:r>
      <w:proofErr w:type="spellEnd"/>
      <w:r w:rsidR="003F5E12">
        <w:t xml:space="preserve"> </w:t>
      </w:r>
      <w:proofErr w:type="spellStart"/>
      <w:r w:rsidR="003F5E12">
        <w:t>Bendungan</w:t>
      </w:r>
      <w:proofErr w:type="spellEnd"/>
      <w:r w:rsidR="003F5E12">
        <w:t xml:space="preserve"> </w:t>
      </w:r>
      <w:proofErr w:type="spellStart"/>
      <w:r w:rsidR="003F5E12">
        <w:t>Sigura-gura</w:t>
      </w:r>
      <w:proofErr w:type="spellEnd"/>
      <w:r w:rsidR="003F5E12">
        <w:t xml:space="preserve"> 2 </w:t>
      </w:r>
      <w:r w:rsidR="003F5E12" w:rsidRPr="003A2EEA">
        <w:t>Malang</w:t>
      </w:r>
      <w:r w:rsidR="003F5E12">
        <w:t xml:space="preserve"> Indonesia</w:t>
      </w:r>
    </w:p>
    <w:p w14:paraId="39CCEC65" w14:textId="74942581" w:rsidR="00330BB7" w:rsidRPr="003A2EEA" w:rsidRDefault="00330BB7" w:rsidP="00663364">
      <w:pPr>
        <w:pStyle w:val="NoSpacing"/>
        <w:ind w:left="1418"/>
      </w:pPr>
      <w:r w:rsidRPr="003A2EEA">
        <w:rPr>
          <w:vertAlign w:val="superscript"/>
        </w:rPr>
        <w:t>2</w:t>
      </w:r>
      <w:r w:rsidRPr="003A2EEA">
        <w:t>Mechanical Engineering Department, National Institute of Technology (ITN) Malang</w:t>
      </w:r>
      <w:r w:rsidR="003F5E12">
        <w:t xml:space="preserve">, </w:t>
      </w:r>
      <w:proofErr w:type="spellStart"/>
      <w:r w:rsidR="003F5E12">
        <w:t>Jalan</w:t>
      </w:r>
      <w:proofErr w:type="spellEnd"/>
      <w:r w:rsidR="003F5E12">
        <w:t xml:space="preserve"> </w:t>
      </w:r>
      <w:proofErr w:type="spellStart"/>
      <w:r w:rsidR="003F5E12">
        <w:t>Bendungan</w:t>
      </w:r>
      <w:proofErr w:type="spellEnd"/>
      <w:r w:rsidR="003F5E12">
        <w:t xml:space="preserve"> </w:t>
      </w:r>
      <w:proofErr w:type="spellStart"/>
      <w:r w:rsidR="003F5E12">
        <w:t>Sigura-gura</w:t>
      </w:r>
      <w:proofErr w:type="spellEnd"/>
      <w:r w:rsidR="003F5E12">
        <w:t xml:space="preserve"> 2 </w:t>
      </w:r>
      <w:r w:rsidR="003F5E12" w:rsidRPr="003A2EEA">
        <w:t>Malang</w:t>
      </w:r>
      <w:r w:rsidR="003F5E12">
        <w:t xml:space="preserve"> Indonesia</w:t>
      </w:r>
    </w:p>
    <w:p w14:paraId="72536A5E" w14:textId="45C92371" w:rsidR="00457463" w:rsidRPr="003A2EEA" w:rsidRDefault="00330BB7" w:rsidP="00663364">
      <w:pPr>
        <w:pStyle w:val="NoSpacing"/>
        <w:ind w:left="1418"/>
      </w:pPr>
      <w:r w:rsidRPr="003A2EEA">
        <w:rPr>
          <w:vertAlign w:val="superscript"/>
        </w:rPr>
        <w:t>4,5</w:t>
      </w:r>
      <w:r w:rsidR="00457463" w:rsidRPr="003A2EEA">
        <w:t>Civil Engineering Department, National Institute of Technology (ITN) Malang</w:t>
      </w:r>
      <w:r w:rsidR="003F5E12">
        <w:t xml:space="preserve">, </w:t>
      </w:r>
      <w:proofErr w:type="spellStart"/>
      <w:r w:rsidR="003F5E12">
        <w:t>Jalan</w:t>
      </w:r>
      <w:proofErr w:type="spellEnd"/>
      <w:r w:rsidR="003F5E12">
        <w:t xml:space="preserve"> </w:t>
      </w:r>
      <w:proofErr w:type="spellStart"/>
      <w:r w:rsidR="003F5E12">
        <w:t>Bendungan</w:t>
      </w:r>
      <w:proofErr w:type="spellEnd"/>
      <w:r w:rsidR="003F5E12">
        <w:t xml:space="preserve"> </w:t>
      </w:r>
      <w:proofErr w:type="spellStart"/>
      <w:r w:rsidR="003F5E12">
        <w:t>Sigura-gura</w:t>
      </w:r>
      <w:proofErr w:type="spellEnd"/>
      <w:r w:rsidR="003F5E12">
        <w:t xml:space="preserve"> 2 </w:t>
      </w:r>
      <w:r w:rsidR="003F5E12" w:rsidRPr="003A2EEA">
        <w:t>Malang</w:t>
      </w:r>
      <w:r w:rsidR="003F5E12">
        <w:t xml:space="preserve"> Indonesia</w:t>
      </w:r>
    </w:p>
    <w:p w14:paraId="05247FEE" w14:textId="543140C4" w:rsidR="00457463" w:rsidRPr="003A2EEA" w:rsidRDefault="00330BB7" w:rsidP="00663364">
      <w:pPr>
        <w:pStyle w:val="NoSpacing"/>
        <w:ind w:left="1418"/>
      </w:pPr>
      <w:r w:rsidRPr="003A2EEA">
        <w:rPr>
          <w:vertAlign w:val="superscript"/>
        </w:rPr>
        <w:t>6</w:t>
      </w:r>
      <w:r w:rsidR="00457463" w:rsidRPr="003A2EEA">
        <w:t xml:space="preserve">Geodesy Engineering Department, National Institute of Technology (ITN) </w:t>
      </w:r>
      <w:r w:rsidR="003F5E12">
        <w:t xml:space="preserve">Malang </w:t>
      </w:r>
      <w:proofErr w:type="spellStart"/>
      <w:r w:rsidR="003F5E12">
        <w:t>Jalan</w:t>
      </w:r>
      <w:proofErr w:type="spellEnd"/>
      <w:r w:rsidR="003F5E12">
        <w:t xml:space="preserve"> </w:t>
      </w:r>
      <w:proofErr w:type="spellStart"/>
      <w:r w:rsidR="003F5E12">
        <w:t>Bendungan</w:t>
      </w:r>
      <w:proofErr w:type="spellEnd"/>
      <w:r w:rsidR="003F5E12">
        <w:t xml:space="preserve"> </w:t>
      </w:r>
      <w:proofErr w:type="spellStart"/>
      <w:r w:rsidR="003F5E12">
        <w:t>Sigura-gura</w:t>
      </w:r>
      <w:proofErr w:type="spellEnd"/>
      <w:r w:rsidR="003F5E12">
        <w:t xml:space="preserve"> 2 </w:t>
      </w:r>
      <w:r w:rsidR="00457463" w:rsidRPr="003A2EEA">
        <w:t>Malang</w:t>
      </w:r>
      <w:r w:rsidR="003F5E12">
        <w:t xml:space="preserve"> Indonesia</w:t>
      </w:r>
    </w:p>
    <w:p w14:paraId="41A35193" w14:textId="77777777" w:rsidR="00D670A1" w:rsidRPr="003A2EEA" w:rsidRDefault="00D670A1" w:rsidP="00D670A1">
      <w:pPr>
        <w:spacing w:after="0" w:line="240" w:lineRule="auto"/>
        <w:ind w:left="1560"/>
        <w:rPr>
          <w:vertAlign w:val="superscript"/>
        </w:rPr>
      </w:pPr>
    </w:p>
    <w:p w14:paraId="317D4C5F" w14:textId="77777777" w:rsidR="00D670A1" w:rsidRPr="003A2EEA" w:rsidRDefault="00D670A1" w:rsidP="00D670A1">
      <w:pPr>
        <w:spacing w:after="0" w:line="240" w:lineRule="auto"/>
        <w:ind w:left="1560"/>
        <w:rPr>
          <w:vertAlign w:val="superscript"/>
        </w:rPr>
      </w:pPr>
    </w:p>
    <w:p w14:paraId="10098DB6" w14:textId="28723DCC" w:rsidR="00457463" w:rsidRPr="003A2EEA" w:rsidRDefault="00F53F4F" w:rsidP="00663364">
      <w:pPr>
        <w:spacing w:after="0" w:line="240" w:lineRule="auto"/>
        <w:ind w:left="1418"/>
      </w:pPr>
      <w:hyperlink r:id="rId6" w:history="1">
        <w:r w:rsidR="00D670A1" w:rsidRPr="003A2EEA">
          <w:rPr>
            <w:rStyle w:val="Hyperlink"/>
            <w:color w:val="auto"/>
            <w:u w:val="none"/>
            <w:vertAlign w:val="superscript"/>
          </w:rPr>
          <w:t>*</w:t>
        </w:r>
        <w:r w:rsidR="00D670A1" w:rsidRPr="003A2EEA">
          <w:rPr>
            <w:rStyle w:val="Hyperlink"/>
            <w:color w:val="auto"/>
            <w:u w:val="none"/>
          </w:rPr>
          <w:t>fourry@lecturer.itn.ac.id</w:t>
        </w:r>
      </w:hyperlink>
    </w:p>
    <w:p w14:paraId="2EE7956E" w14:textId="77777777" w:rsidR="00D670A1" w:rsidRPr="003A2EEA" w:rsidRDefault="00D670A1" w:rsidP="00D670A1">
      <w:pPr>
        <w:spacing w:after="0" w:line="240" w:lineRule="auto"/>
        <w:ind w:left="1560"/>
        <w:rPr>
          <w:rFonts w:eastAsia="Times New Roman"/>
          <w:lang w:val="en-GB" w:eastAsia="en-US"/>
        </w:rPr>
      </w:pPr>
    </w:p>
    <w:p w14:paraId="55209BCD" w14:textId="3BB1B0B6" w:rsidR="00F95D71" w:rsidRPr="003A2EEA" w:rsidRDefault="00EC4496" w:rsidP="00574067">
      <w:pPr>
        <w:pStyle w:val="NoSpacing"/>
        <w:ind w:left="1418" w:right="503"/>
        <w:jc w:val="both"/>
        <w:rPr>
          <w:lang w:val="en-GB" w:eastAsia="en-US"/>
        </w:rPr>
      </w:pPr>
      <w:r w:rsidRPr="003A2EEA">
        <w:rPr>
          <w:b/>
          <w:lang w:val="en-GB" w:eastAsia="en-US"/>
        </w:rPr>
        <w:t>Abstract</w:t>
      </w:r>
      <w:r w:rsidR="00574067" w:rsidRPr="003A2EEA">
        <w:rPr>
          <w:lang w:val="en-GB" w:eastAsia="en-US"/>
        </w:rPr>
        <w:t xml:space="preserve">. </w:t>
      </w:r>
      <w:r w:rsidR="00F95D71" w:rsidRPr="003A2EEA">
        <w:rPr>
          <w:lang w:val="en-GB" w:eastAsia="en-US"/>
        </w:rPr>
        <w:t xml:space="preserve">In term of technology transfer Program in developing economies, the reason of transferee </w:t>
      </w:r>
      <w:r w:rsidR="009A7124" w:rsidRPr="003A2EEA">
        <w:rPr>
          <w:lang w:val="en-GB" w:eastAsia="en-US"/>
        </w:rPr>
        <w:t>to uptake or receive a new technology through technology transfer</w:t>
      </w:r>
      <w:r w:rsidR="00F95D71" w:rsidRPr="003A2EEA">
        <w:rPr>
          <w:lang w:val="en-GB" w:eastAsia="en-US"/>
        </w:rPr>
        <w:t xml:space="preserve"> is important to discover</w:t>
      </w:r>
      <w:r w:rsidR="009A7124" w:rsidRPr="003A2EEA">
        <w:rPr>
          <w:lang w:val="en-GB" w:eastAsia="en-US"/>
        </w:rPr>
        <w:t xml:space="preserve">. </w:t>
      </w:r>
      <w:r w:rsidR="00F95D71" w:rsidRPr="003A2EEA">
        <w:rPr>
          <w:lang w:val="en-GB" w:eastAsia="en-US"/>
        </w:rPr>
        <w:t>Without knowing the ultimate reason for transferee to engage in technology transfer program, will lead into the failure of the program itself targeting technology capability improvement of the transferee.</w:t>
      </w:r>
    </w:p>
    <w:p w14:paraId="5A0CD329" w14:textId="1ED9C3CF" w:rsidR="00947226" w:rsidRPr="003A2EEA" w:rsidRDefault="00F95D71" w:rsidP="00574067">
      <w:pPr>
        <w:pStyle w:val="NoSpacing"/>
        <w:ind w:left="1418" w:right="503"/>
        <w:jc w:val="both"/>
        <w:rPr>
          <w:lang w:val="en-GB" w:eastAsia="en-US"/>
        </w:rPr>
      </w:pPr>
      <w:r w:rsidRPr="003A2EEA">
        <w:rPr>
          <w:lang w:val="en-GB" w:eastAsia="en-US"/>
        </w:rPr>
        <w:t>This research discovers the ultimate desire of the transferee to</w:t>
      </w:r>
      <w:r w:rsidR="009654B3" w:rsidRPr="003A2EEA">
        <w:rPr>
          <w:lang w:val="en-GB" w:eastAsia="en-US"/>
        </w:rPr>
        <w:t xml:space="preserve"> accept a new technology. Through Triple Helix as the agents of technology, the technology transfer program could be conducted successfully when the reason of the transferee to receive technology is revealed.</w:t>
      </w:r>
      <w:r w:rsidR="00EC4496" w:rsidRPr="003A2EEA">
        <w:rPr>
          <w:lang w:val="en-GB" w:eastAsia="en-US"/>
        </w:rPr>
        <w:t xml:space="preserve"> </w:t>
      </w:r>
      <w:r w:rsidR="00290BA2">
        <w:rPr>
          <w:bCs/>
          <w:lang w:val="en-GB" w:eastAsia="en-US"/>
        </w:rPr>
        <w:t xml:space="preserve">The </w:t>
      </w:r>
      <w:r w:rsidR="00290BA2" w:rsidRPr="00290BA2">
        <w:rPr>
          <w:bCs/>
          <w:lang w:val="en-GB" w:eastAsia="en-US"/>
        </w:rPr>
        <w:t xml:space="preserve">theoretical model was empirically tested using a confirmatory approach. Using data from </w:t>
      </w:r>
      <w:r w:rsidR="00290BA2">
        <w:rPr>
          <w:bCs/>
          <w:lang w:val="en-GB" w:eastAsia="en-US"/>
        </w:rPr>
        <w:t xml:space="preserve">hundreds of </w:t>
      </w:r>
      <w:r w:rsidR="00290BA2" w:rsidRPr="00290BA2">
        <w:rPr>
          <w:bCs/>
          <w:lang w:val="en-GB" w:eastAsia="en-US"/>
        </w:rPr>
        <w:t xml:space="preserve">SMEs, a </w:t>
      </w:r>
      <w:proofErr w:type="gramStart"/>
      <w:r w:rsidR="00290BA2" w:rsidRPr="00290BA2">
        <w:rPr>
          <w:bCs/>
          <w:lang w:val="en-GB" w:eastAsia="en-US"/>
        </w:rPr>
        <w:t>statistically-sound</w:t>
      </w:r>
      <w:proofErr w:type="gramEnd"/>
      <w:r w:rsidR="00290BA2" w:rsidRPr="00290BA2">
        <w:rPr>
          <w:bCs/>
          <w:lang w:val="en-GB" w:eastAsia="en-US"/>
        </w:rPr>
        <w:t xml:space="preserve"> version was developed</w:t>
      </w:r>
      <w:r w:rsidR="00290BA2" w:rsidRPr="00290BA2">
        <w:rPr>
          <w:lang w:val="en-GB" w:eastAsia="en-US"/>
        </w:rPr>
        <w:t xml:space="preserve"> </w:t>
      </w:r>
      <w:r w:rsidR="009654B3" w:rsidRPr="003A2EEA">
        <w:rPr>
          <w:lang w:val="en-GB" w:eastAsia="en-US"/>
        </w:rPr>
        <w:t xml:space="preserve">This research shows that profit is the fundamental reason why the transferee agrees to participate in technology transfer program. </w:t>
      </w:r>
      <w:r w:rsidR="009A7124" w:rsidRPr="003A2EEA">
        <w:rPr>
          <w:lang w:val="en-GB" w:eastAsia="en-US"/>
        </w:rPr>
        <w:t xml:space="preserve">In the absence of profits, </w:t>
      </w:r>
      <w:r w:rsidR="009654B3" w:rsidRPr="003A2EEA">
        <w:rPr>
          <w:lang w:val="en-GB" w:eastAsia="en-US"/>
        </w:rPr>
        <w:t xml:space="preserve">transferor experienced the difficulty to </w:t>
      </w:r>
      <w:r w:rsidR="00947226" w:rsidRPr="003A2EEA">
        <w:rPr>
          <w:lang w:val="en-GB" w:eastAsia="en-US"/>
        </w:rPr>
        <w:t>convince the transferee to obtain the new technology through technology transfer program.</w:t>
      </w:r>
    </w:p>
    <w:p w14:paraId="5D8A58B9" w14:textId="77777777" w:rsidR="00947226" w:rsidRPr="003A2EEA" w:rsidRDefault="00947226" w:rsidP="009A7124">
      <w:pPr>
        <w:spacing w:after="0" w:line="360" w:lineRule="auto"/>
        <w:jc w:val="both"/>
        <w:rPr>
          <w:rFonts w:eastAsia="Times New Roman"/>
          <w:lang w:val="en-GB" w:eastAsia="en-US"/>
        </w:rPr>
      </w:pPr>
    </w:p>
    <w:p w14:paraId="1F7A9EAE" w14:textId="41B982B4" w:rsidR="00947226" w:rsidRPr="003A2EEA" w:rsidRDefault="00D670A1" w:rsidP="009D1402">
      <w:pPr>
        <w:pStyle w:val="NoSpacing"/>
        <w:jc w:val="both"/>
        <w:rPr>
          <w:b/>
          <w:lang w:val="en-GB" w:eastAsia="en-US"/>
        </w:rPr>
      </w:pPr>
      <w:r w:rsidRPr="003A2EEA">
        <w:rPr>
          <w:b/>
          <w:lang w:val="en-GB" w:eastAsia="en-US"/>
        </w:rPr>
        <w:t xml:space="preserve">1. </w:t>
      </w:r>
      <w:r w:rsidR="000E0499" w:rsidRPr="003A2EEA">
        <w:rPr>
          <w:b/>
          <w:lang w:val="en-GB" w:eastAsia="en-US"/>
        </w:rPr>
        <w:t>Introduction</w:t>
      </w:r>
      <w:bookmarkStart w:id="0" w:name="_GoBack"/>
      <w:bookmarkEnd w:id="0"/>
    </w:p>
    <w:p w14:paraId="03D42472" w14:textId="15555C6A" w:rsidR="00A27CC7" w:rsidRDefault="00A27CC7" w:rsidP="00A27CC7">
      <w:pPr>
        <w:pStyle w:val="NoSpacing"/>
        <w:jc w:val="both"/>
        <w:rPr>
          <w:lang w:val="en-US" w:eastAsia="en-US"/>
        </w:rPr>
      </w:pPr>
      <w:r w:rsidRPr="00A27CC7">
        <w:rPr>
          <w:lang w:val="en-US" w:eastAsia="en-US"/>
        </w:rPr>
        <w:t>There is some evidence to support the assertion that SMEs are important in developing countries.  Developing countries value SMEs for several reasons, including:</w:t>
      </w:r>
      <w:r>
        <w:rPr>
          <w:lang w:val="en-US" w:eastAsia="en-US"/>
        </w:rPr>
        <w:t xml:space="preserve"> </w:t>
      </w:r>
      <w:r w:rsidRPr="00A27CC7">
        <w:rPr>
          <w:lang w:val="en-US" w:eastAsia="en-US"/>
        </w:rPr>
        <w:t>potential to grow, capability to adopt and adapt new technology, and capacity to adjust to c</w:t>
      </w:r>
      <w:r w:rsidR="00372A7D">
        <w:rPr>
          <w:lang w:val="en-US" w:eastAsia="en-US"/>
        </w:rPr>
        <w:t>hanging economic circumstances [</w:t>
      </w:r>
      <w:r w:rsidR="006A31E9">
        <w:rPr>
          <w:lang w:val="en-US" w:eastAsia="en-US"/>
        </w:rPr>
        <w:t>1</w:t>
      </w:r>
      <w:r w:rsidR="006521C0">
        <w:rPr>
          <w:lang w:val="en-US" w:eastAsia="en-US"/>
        </w:rPr>
        <w:t>,</w:t>
      </w:r>
      <w:r w:rsidR="006A31E9">
        <w:rPr>
          <w:lang w:val="en-US" w:eastAsia="en-US"/>
        </w:rPr>
        <w:t>2</w:t>
      </w:r>
      <w:r w:rsidR="00037B76">
        <w:rPr>
          <w:lang w:val="en-US" w:eastAsia="en-US"/>
        </w:rPr>
        <w:t xml:space="preserve">]. </w:t>
      </w:r>
      <w:r w:rsidRPr="00A27CC7">
        <w:rPr>
          <w:lang w:val="en-US" w:eastAsia="en-US"/>
        </w:rPr>
        <w:t>Indonesia considers SMEs important, as they have the capability to create employment, and are a valuable source of economic growth and foreign currency</w:t>
      </w:r>
      <w:r w:rsidR="00037B76">
        <w:rPr>
          <w:lang w:val="en-US" w:eastAsia="en-US"/>
        </w:rPr>
        <w:t xml:space="preserve"> [3]</w:t>
      </w:r>
      <w:r w:rsidRPr="00A27CC7">
        <w:rPr>
          <w:lang w:val="en-US" w:eastAsia="en-US"/>
        </w:rPr>
        <w:t>.</w:t>
      </w:r>
    </w:p>
    <w:p w14:paraId="5810EF68" w14:textId="41BFD9D7" w:rsidR="00663364" w:rsidRDefault="00A27CC7" w:rsidP="00663364">
      <w:pPr>
        <w:pStyle w:val="NoSpacing"/>
        <w:ind w:firstLine="284"/>
        <w:jc w:val="both"/>
        <w:rPr>
          <w:lang w:val="en-US" w:eastAsia="en-US"/>
        </w:rPr>
      </w:pPr>
      <w:r>
        <w:rPr>
          <w:lang w:val="en-US" w:eastAsia="en-US"/>
        </w:rPr>
        <w:t xml:space="preserve">However, in today’s rapid response global market, </w:t>
      </w:r>
      <w:r w:rsidR="00D34C93" w:rsidRPr="003A2EEA">
        <w:rPr>
          <w:lang w:val="en-US" w:eastAsia="en-US"/>
        </w:rPr>
        <w:t>SMEs must improve their technology if they are to enhance their performance and survive in the global marketplace</w:t>
      </w:r>
      <w:r w:rsidR="00281B34">
        <w:rPr>
          <w:lang w:val="en-US" w:eastAsia="en-US"/>
        </w:rPr>
        <w:t xml:space="preserve"> [4</w:t>
      </w:r>
      <w:r w:rsidR="006521C0">
        <w:rPr>
          <w:lang w:val="en-US" w:eastAsia="en-US"/>
        </w:rPr>
        <w:t>,5</w:t>
      </w:r>
      <w:r w:rsidR="00281B34">
        <w:rPr>
          <w:lang w:val="en-US" w:eastAsia="en-US"/>
        </w:rPr>
        <w:t>]</w:t>
      </w:r>
      <w:r w:rsidR="00D34C93" w:rsidRPr="003A2EEA">
        <w:rPr>
          <w:lang w:val="en-US" w:eastAsia="en-US"/>
        </w:rPr>
        <w:t xml:space="preserve">. By improving </w:t>
      </w:r>
      <w:r w:rsidR="00D34C93" w:rsidRPr="003A2EEA">
        <w:rPr>
          <w:lang w:val="en-GB" w:eastAsia="en-US"/>
        </w:rPr>
        <w:t>technology, SMEs could maintain the opportunities for continuous improvement and innovation needed in the development of sustainable competitive advantage and profitability.</w:t>
      </w:r>
      <w:r w:rsidR="00F53F4F">
        <w:rPr>
          <w:lang w:val="en-GB" w:eastAsia="en-US"/>
        </w:rPr>
        <w:t xml:space="preserve"> While SMEs in developing economies experienced difficulties to improve their knowledge and technology ability, </w:t>
      </w:r>
      <w:r w:rsidR="002C31AD">
        <w:rPr>
          <w:lang w:val="en-GB" w:eastAsia="en-US"/>
        </w:rPr>
        <w:t>d</w:t>
      </w:r>
      <w:r w:rsidR="00F53F4F" w:rsidRPr="00F53F4F">
        <w:rPr>
          <w:lang w:val="en-GB" w:eastAsia="en-US"/>
        </w:rPr>
        <w:t xml:space="preserve">eveloped </w:t>
      </w:r>
      <w:r w:rsidR="00F53F4F" w:rsidRPr="00F53F4F">
        <w:rPr>
          <w:lang w:val="en-GB" w:eastAsia="en-US"/>
        </w:rPr>
        <w:lastRenderedPageBreak/>
        <w:t>countries have been successful in managing knowledge</w:t>
      </w:r>
      <w:r w:rsidR="002C31AD">
        <w:rPr>
          <w:lang w:val="en-GB" w:eastAsia="en-US"/>
        </w:rPr>
        <w:t xml:space="preserve"> and technology</w:t>
      </w:r>
      <w:r w:rsidR="00F53F4F" w:rsidRPr="00F53F4F">
        <w:rPr>
          <w:lang w:val="en-GB" w:eastAsia="en-US"/>
        </w:rPr>
        <w:t xml:space="preserve"> as the most vital r</w:t>
      </w:r>
      <w:r w:rsidR="002C31AD">
        <w:rPr>
          <w:lang w:val="en-GB" w:eastAsia="en-US"/>
        </w:rPr>
        <w:t>esource of today’s business organisation [2,3</w:t>
      </w:r>
      <w:r w:rsidR="005741C9">
        <w:rPr>
          <w:lang w:val="en-GB" w:eastAsia="en-US"/>
        </w:rPr>
        <w:t>,5,6,7,8</w:t>
      </w:r>
      <w:r w:rsidR="002C31AD">
        <w:rPr>
          <w:lang w:val="en-GB" w:eastAsia="en-US"/>
        </w:rPr>
        <w:t>]</w:t>
      </w:r>
      <w:r w:rsidR="00F53F4F" w:rsidRPr="00F53F4F">
        <w:rPr>
          <w:lang w:val="en-GB" w:eastAsia="en-US"/>
        </w:rPr>
        <w:t xml:space="preserve">. </w:t>
      </w:r>
      <w:r w:rsidR="00D34C93" w:rsidRPr="003A2EEA">
        <w:rPr>
          <w:lang w:val="en-GB" w:eastAsia="en-US"/>
        </w:rPr>
        <w:t xml:space="preserve"> Being </w:t>
      </w:r>
      <w:r w:rsidR="00D34C93" w:rsidRPr="003A2EEA">
        <w:rPr>
          <w:lang w:val="en-US" w:eastAsia="en-US"/>
        </w:rPr>
        <w:t>s</w:t>
      </w:r>
      <w:r w:rsidR="00D34C93" w:rsidRPr="003A2EEA" w:rsidDel="00443BFF">
        <w:rPr>
          <w:lang w:val="en-US" w:eastAsia="en-US"/>
        </w:rPr>
        <w:t xml:space="preserve">uccessful </w:t>
      </w:r>
      <w:r w:rsidR="00D34C93" w:rsidRPr="003A2EEA">
        <w:rPr>
          <w:lang w:val="en-US" w:eastAsia="en-US"/>
        </w:rPr>
        <w:t xml:space="preserve">in the </w:t>
      </w:r>
      <w:r w:rsidR="00D34C93" w:rsidRPr="003A2EEA" w:rsidDel="00443BFF">
        <w:rPr>
          <w:lang w:val="en-US" w:eastAsia="en-US"/>
        </w:rPr>
        <w:t>c</w:t>
      </w:r>
      <w:r w:rsidR="00D34C93" w:rsidRPr="003A2EEA">
        <w:rPr>
          <w:lang w:val="en-US" w:eastAsia="en-US"/>
        </w:rPr>
        <w:t xml:space="preserve">ompetition, SMEs requires a rapid response capability to provide goods </w:t>
      </w:r>
      <w:r w:rsidR="00E63B58">
        <w:rPr>
          <w:lang w:val="en-US" w:eastAsia="en-US"/>
        </w:rPr>
        <w:t>or services for customer needs [</w:t>
      </w:r>
      <w:r w:rsidR="0068758B">
        <w:rPr>
          <w:lang w:val="en-US" w:eastAsia="en-US"/>
        </w:rPr>
        <w:t>4</w:t>
      </w:r>
      <w:r w:rsidR="00E63B58">
        <w:rPr>
          <w:lang w:val="en-US" w:eastAsia="en-US"/>
        </w:rPr>
        <w:t>]</w:t>
      </w:r>
      <w:r w:rsidR="00D34C93" w:rsidRPr="003A2EEA">
        <w:rPr>
          <w:lang w:val="en-US" w:eastAsia="en-US"/>
        </w:rPr>
        <w:t>. However, the low capability of SMEs to provide the needed resources is a barrier to the in-house development of technology c</w:t>
      </w:r>
      <w:r w:rsidR="005741C9">
        <w:rPr>
          <w:lang w:val="en-US" w:eastAsia="en-US"/>
        </w:rPr>
        <w:t>apability [2,9</w:t>
      </w:r>
      <w:r w:rsidR="0068758B">
        <w:rPr>
          <w:lang w:val="en-US" w:eastAsia="en-US"/>
        </w:rPr>
        <w:t>]</w:t>
      </w:r>
      <w:r w:rsidR="00D34C93" w:rsidRPr="003A2EEA">
        <w:rPr>
          <w:lang w:val="en-US" w:eastAsia="en-US"/>
        </w:rPr>
        <w:t xml:space="preserve">. Due to the lack of available resources to pursue technical innovations and external resources, SMEs need technology transfer.  </w:t>
      </w:r>
    </w:p>
    <w:p w14:paraId="6AD493C5" w14:textId="7A00EACE" w:rsidR="00D670A1" w:rsidRPr="00663364" w:rsidRDefault="00D34C93" w:rsidP="00663364">
      <w:pPr>
        <w:pStyle w:val="NoSpacing"/>
        <w:ind w:firstLine="284"/>
        <w:jc w:val="both"/>
        <w:rPr>
          <w:lang w:val="en-US" w:eastAsia="en-US"/>
        </w:rPr>
      </w:pPr>
      <w:r w:rsidRPr="003A2EEA">
        <w:rPr>
          <w:rFonts w:eastAsia="Times New Roman"/>
          <w:lang w:val="en-US" w:eastAsia="en-US"/>
        </w:rPr>
        <w:t>The process of technology transfer can be limited by the fact that technology transfer involves a technology supplier, and technology receiver who will have distin</w:t>
      </w:r>
      <w:r w:rsidR="0068758B">
        <w:rPr>
          <w:rFonts w:eastAsia="Times New Roman"/>
          <w:lang w:val="en-US" w:eastAsia="en-US"/>
        </w:rPr>
        <w:t>ct char</w:t>
      </w:r>
      <w:r w:rsidR="005741C9">
        <w:rPr>
          <w:rFonts w:eastAsia="Times New Roman"/>
          <w:lang w:val="en-US" w:eastAsia="en-US"/>
        </w:rPr>
        <w:t>acteristics and motives [10</w:t>
      </w:r>
      <w:r w:rsidR="0068758B">
        <w:rPr>
          <w:rFonts w:eastAsia="Times New Roman"/>
          <w:lang w:val="en-US" w:eastAsia="en-US"/>
        </w:rPr>
        <w:t>]</w:t>
      </w:r>
      <w:r w:rsidRPr="003A2EEA">
        <w:rPr>
          <w:rFonts w:eastAsia="Times New Roman"/>
          <w:lang w:val="en-US" w:eastAsia="en-US"/>
        </w:rPr>
        <w:t>.</w:t>
      </w:r>
      <w:r w:rsidRPr="003A2EEA">
        <w:rPr>
          <w:rFonts w:eastAsia="Times New Roman"/>
          <w:b/>
          <w:lang w:val="en-US" w:eastAsia="en-US"/>
        </w:rPr>
        <w:t xml:space="preserve"> </w:t>
      </w:r>
      <w:r w:rsidR="004A57B7" w:rsidRPr="003A2EEA">
        <w:rPr>
          <w:rFonts w:eastAsia="Times New Roman"/>
          <w:lang w:val="en-GB" w:eastAsia="en-US"/>
        </w:rPr>
        <w:t>Consequently, external resources to support their performance in developing technological capabilities, so-called ‘knowledge and techno</w:t>
      </w:r>
      <w:r w:rsidR="005741C9">
        <w:rPr>
          <w:rFonts w:eastAsia="Times New Roman"/>
          <w:lang w:val="en-GB" w:eastAsia="en-US"/>
        </w:rPr>
        <w:t>logy transfer’ [11,12</w:t>
      </w:r>
      <w:r w:rsidR="00F87C71">
        <w:rPr>
          <w:rFonts w:eastAsia="Times New Roman"/>
          <w:lang w:val="en-GB" w:eastAsia="en-US"/>
        </w:rPr>
        <w:t>]</w:t>
      </w:r>
      <w:r w:rsidR="004A57B7" w:rsidRPr="003A2EEA">
        <w:rPr>
          <w:rFonts w:eastAsia="Times New Roman"/>
          <w:lang w:val="en-GB" w:eastAsia="en-US"/>
        </w:rPr>
        <w:t xml:space="preserve"> programs, are needed. </w:t>
      </w:r>
      <w:r w:rsidR="00D670A1" w:rsidRPr="003A2EEA">
        <w:rPr>
          <w:rFonts w:eastAsia="Times New Roman"/>
          <w:lang w:val="en-ID" w:eastAsia="en-US"/>
        </w:rPr>
        <w:t xml:space="preserve">The aim of this study is to discover </w:t>
      </w:r>
      <w:r w:rsidR="00D670A1" w:rsidRPr="003A2EEA">
        <w:rPr>
          <w:lang w:val="en-GB" w:eastAsia="en-US"/>
        </w:rPr>
        <w:t>fundamental reason why the transferee agrees to participate in technology transfer program.</w:t>
      </w:r>
      <w:r w:rsidR="00D670A1" w:rsidRPr="003A2EEA">
        <w:rPr>
          <w:rFonts w:eastAsia="Times New Roman"/>
          <w:lang w:val="en-ID" w:eastAsia="en-US"/>
        </w:rPr>
        <w:t xml:space="preserve"> </w:t>
      </w:r>
    </w:p>
    <w:p w14:paraId="4770F848" w14:textId="77777777" w:rsidR="00D670A1" w:rsidRPr="003A2EEA" w:rsidRDefault="00D670A1" w:rsidP="009D1402">
      <w:pPr>
        <w:spacing w:after="0" w:line="240" w:lineRule="auto"/>
        <w:jc w:val="both"/>
        <w:rPr>
          <w:rFonts w:eastAsia="Times New Roman"/>
          <w:lang w:val="en-ID" w:eastAsia="en-US"/>
        </w:rPr>
      </w:pPr>
    </w:p>
    <w:p w14:paraId="6365D150" w14:textId="77777777" w:rsidR="00023A1B" w:rsidRDefault="00D670A1" w:rsidP="009D1402">
      <w:pPr>
        <w:spacing w:after="0" w:line="240" w:lineRule="auto"/>
        <w:jc w:val="both"/>
        <w:rPr>
          <w:rFonts w:eastAsia="Times New Roman"/>
          <w:b/>
          <w:lang w:val="en-ID" w:eastAsia="en-US"/>
        </w:rPr>
      </w:pPr>
      <w:r w:rsidRPr="003A2EEA">
        <w:rPr>
          <w:rFonts w:eastAsia="Times New Roman"/>
          <w:b/>
          <w:lang w:val="en-ID" w:eastAsia="en-US"/>
        </w:rPr>
        <w:t xml:space="preserve">2. </w:t>
      </w:r>
      <w:r w:rsidR="00023A1B">
        <w:rPr>
          <w:rFonts w:eastAsia="Times New Roman"/>
          <w:b/>
          <w:lang w:val="en-ID" w:eastAsia="en-US"/>
        </w:rPr>
        <w:t>Literature Review</w:t>
      </w:r>
    </w:p>
    <w:p w14:paraId="5887B512" w14:textId="66015E51" w:rsidR="00EF3631" w:rsidRDefault="00C20CB1" w:rsidP="00EF3631">
      <w:pPr>
        <w:pStyle w:val="NoSpacing"/>
        <w:jc w:val="both"/>
        <w:rPr>
          <w:lang w:val="en-GB" w:eastAsia="en-US"/>
        </w:rPr>
      </w:pPr>
      <w:r w:rsidRPr="00C20CB1">
        <w:rPr>
          <w:lang w:val="en-US" w:eastAsia="en-US"/>
        </w:rPr>
        <w:t>In this new millennium, the business world faces a new paradigm where resource-based competitiveness is being replaced by knowledge-based competitiveness</w:t>
      </w:r>
      <w:r w:rsidR="005741C9">
        <w:rPr>
          <w:lang w:val="en-US" w:eastAsia="en-US"/>
        </w:rPr>
        <w:t xml:space="preserve"> [13</w:t>
      </w:r>
      <w:r w:rsidR="00EE630C">
        <w:rPr>
          <w:lang w:val="en-US" w:eastAsia="en-US"/>
        </w:rPr>
        <w:t>]</w:t>
      </w:r>
      <w:r w:rsidRPr="00C20CB1">
        <w:rPr>
          <w:lang w:val="en-US" w:eastAsia="en-US"/>
        </w:rPr>
        <w:t>.  Traditional measures such as land, human labor, and natural resources are no longer the most important factors, and are being displaced by human resource development</w:t>
      </w:r>
      <w:r w:rsidR="005A46DA">
        <w:rPr>
          <w:lang w:val="en-US" w:eastAsia="en-US"/>
        </w:rPr>
        <w:t xml:space="preserve">, management, knowledge, </w:t>
      </w:r>
      <w:r w:rsidRPr="00C20CB1">
        <w:rPr>
          <w:lang w:val="en-US" w:eastAsia="en-US"/>
        </w:rPr>
        <w:t>and technology capability</w:t>
      </w:r>
      <w:r w:rsidR="005A46DA">
        <w:rPr>
          <w:lang w:val="en-US" w:eastAsia="en-US"/>
        </w:rPr>
        <w:t>, i</w:t>
      </w:r>
      <w:r w:rsidR="00207058">
        <w:rPr>
          <w:lang w:val="en-US" w:eastAsia="en-US"/>
        </w:rPr>
        <w:t>ncluding</w:t>
      </w:r>
      <w:r w:rsidR="005741C9">
        <w:rPr>
          <w:lang w:val="en-US" w:eastAsia="en-US"/>
        </w:rPr>
        <w:t xml:space="preserve"> safety management [14,15</w:t>
      </w:r>
      <w:r w:rsidR="00AF6935">
        <w:rPr>
          <w:lang w:val="en-US" w:eastAsia="en-US"/>
        </w:rPr>
        <w:t>], advanced technology [</w:t>
      </w:r>
      <w:r w:rsidR="005741C9">
        <w:rPr>
          <w:lang w:val="en-US" w:eastAsia="en-US"/>
        </w:rPr>
        <w:t>16,17,18,19</w:t>
      </w:r>
      <w:r w:rsidR="005A46DA">
        <w:rPr>
          <w:lang w:val="en-US" w:eastAsia="en-US"/>
        </w:rPr>
        <w:t>] and even green technology [</w:t>
      </w:r>
      <w:r w:rsidR="005741C9">
        <w:rPr>
          <w:lang w:val="en-US" w:eastAsia="en-US"/>
        </w:rPr>
        <w:t>20,21,23</w:t>
      </w:r>
      <w:r w:rsidR="00806B42">
        <w:rPr>
          <w:lang w:val="en-US" w:eastAsia="en-US"/>
        </w:rPr>
        <w:t>]</w:t>
      </w:r>
      <w:r w:rsidRPr="00C20CB1">
        <w:rPr>
          <w:lang w:val="en-US" w:eastAsia="en-US"/>
        </w:rPr>
        <w:t>.</w:t>
      </w:r>
    </w:p>
    <w:p w14:paraId="1FB52BB4" w14:textId="6E04A146" w:rsidR="00663364" w:rsidRDefault="005741C9" w:rsidP="00663364">
      <w:pPr>
        <w:pStyle w:val="NoSpacing"/>
        <w:ind w:firstLine="284"/>
        <w:jc w:val="both"/>
        <w:rPr>
          <w:lang w:val="en-GB" w:eastAsia="en-US"/>
        </w:rPr>
      </w:pPr>
      <w:r>
        <w:rPr>
          <w:lang w:val="en-GB" w:eastAsia="en-US"/>
        </w:rPr>
        <w:t>Porter [24</w:t>
      </w:r>
      <w:r w:rsidR="00207058">
        <w:rPr>
          <w:lang w:val="en-GB" w:eastAsia="en-US"/>
        </w:rPr>
        <w:t>]</w:t>
      </w:r>
      <w:r w:rsidR="00E72FE9" w:rsidRPr="003A2EEA">
        <w:rPr>
          <w:lang w:val="en-GB" w:eastAsia="en-US"/>
        </w:rPr>
        <w:t xml:space="preserve"> asserts that technology change is one of the principal drivers of competition. It plays a major role in industrial structural change (logistics, operations, markets), as well as in creating new industries. The organisation’s ability to derive long-term benefits is determined by the capability of an organisation for choosing or creating the appropriate technology. It is important because organisations must sustain t</w:t>
      </w:r>
      <w:r>
        <w:rPr>
          <w:lang w:val="en-GB" w:eastAsia="en-US"/>
        </w:rPr>
        <w:t>heir competitiveness [24</w:t>
      </w:r>
      <w:r w:rsidR="00A052FD">
        <w:rPr>
          <w:lang w:val="en-GB" w:eastAsia="en-US"/>
        </w:rPr>
        <w:t>]</w:t>
      </w:r>
      <w:r w:rsidR="00E72FE9" w:rsidRPr="003A2EEA">
        <w:rPr>
          <w:lang w:val="en-GB" w:eastAsia="en-US"/>
        </w:rPr>
        <w:t xml:space="preserve">. Better manufacturing processes as a result of a new technology will also improve effectively, and accuracy of production. </w:t>
      </w:r>
      <w:r w:rsidR="00E72FE9" w:rsidRPr="003A2EEA" w:rsidDel="00087E47">
        <w:rPr>
          <w:lang w:val="en-GB" w:eastAsia="en-US"/>
        </w:rPr>
        <w:t>T</w:t>
      </w:r>
      <w:r w:rsidR="00E72FE9" w:rsidRPr="003A2EEA">
        <w:rPr>
          <w:lang w:val="en-GB" w:eastAsia="en-US"/>
        </w:rPr>
        <w:t>his in turn will reduce ‘waste’ in manufacturing processes. Supporting technology to raise the economic scale, will improve organisations capability to maintain price competitiveness for their associated products. Another role of technology is to maintain low cost operations that will produce low cost outputs and this will directly affect the organis</w:t>
      </w:r>
      <w:r w:rsidR="00D61389">
        <w:rPr>
          <w:lang w:val="en-GB" w:eastAsia="en-US"/>
        </w:rPr>
        <w:t>a</w:t>
      </w:r>
      <w:r>
        <w:rPr>
          <w:lang w:val="en-GB" w:eastAsia="en-US"/>
        </w:rPr>
        <w:t>tion’s competitiveness [25</w:t>
      </w:r>
      <w:r w:rsidR="00D61389">
        <w:rPr>
          <w:lang w:val="en-GB" w:eastAsia="en-US"/>
        </w:rPr>
        <w:t>]</w:t>
      </w:r>
      <w:r w:rsidR="00E72FE9" w:rsidRPr="003A2EEA">
        <w:rPr>
          <w:lang w:val="en-GB" w:eastAsia="en-US"/>
        </w:rPr>
        <w:t>.</w:t>
      </w:r>
    </w:p>
    <w:p w14:paraId="6C9C25DC" w14:textId="4A8485D0" w:rsidR="00663364" w:rsidRDefault="001A31FE" w:rsidP="00663364">
      <w:pPr>
        <w:pStyle w:val="NoSpacing"/>
        <w:ind w:firstLine="284"/>
        <w:jc w:val="both"/>
        <w:rPr>
          <w:lang w:val="en-GB" w:eastAsia="en-US"/>
        </w:rPr>
      </w:pPr>
      <w:r w:rsidRPr="003A2EEA">
        <w:rPr>
          <w:lang w:val="en-GB" w:eastAsia="en-US"/>
        </w:rPr>
        <w:t>K</w:t>
      </w:r>
      <w:r w:rsidR="004A57B7" w:rsidRPr="003A2EEA">
        <w:rPr>
          <w:lang w:val="en-GB" w:eastAsia="en-US"/>
        </w:rPr>
        <w:t xml:space="preserve">nowledge and technology transfer involves technology </w:t>
      </w:r>
      <w:r w:rsidRPr="003A2EEA">
        <w:rPr>
          <w:lang w:val="en-GB" w:eastAsia="en-US"/>
        </w:rPr>
        <w:t xml:space="preserve">receivers and </w:t>
      </w:r>
      <w:r w:rsidR="004A57B7" w:rsidRPr="003A2EEA">
        <w:rPr>
          <w:lang w:val="en-GB" w:eastAsia="en-US"/>
        </w:rPr>
        <w:t>suppliers</w:t>
      </w:r>
      <w:r w:rsidR="00A653F7">
        <w:rPr>
          <w:lang w:val="en-GB" w:eastAsia="en-US"/>
        </w:rPr>
        <w:t xml:space="preserve"> [2,5,6</w:t>
      </w:r>
      <w:r w:rsidR="005741C9">
        <w:rPr>
          <w:lang w:val="en-GB" w:eastAsia="en-US"/>
        </w:rPr>
        <w:t>,26,27</w:t>
      </w:r>
      <w:r w:rsidR="00A653F7">
        <w:rPr>
          <w:lang w:val="en-GB" w:eastAsia="en-US"/>
        </w:rPr>
        <w:t>]</w:t>
      </w:r>
      <w:r w:rsidRPr="003A2EEA">
        <w:rPr>
          <w:lang w:val="en-GB" w:eastAsia="en-US"/>
        </w:rPr>
        <w:t>.</w:t>
      </w:r>
      <w:r w:rsidR="00A653F7">
        <w:rPr>
          <w:lang w:val="en-GB" w:eastAsia="en-US"/>
        </w:rPr>
        <w:t xml:space="preserve"> </w:t>
      </w:r>
      <w:r w:rsidR="00794220" w:rsidRPr="003A2EEA">
        <w:rPr>
          <w:lang w:val="en-GB" w:eastAsia="en-US"/>
        </w:rPr>
        <w:t>The</w:t>
      </w:r>
      <w:r w:rsidR="004A57B7" w:rsidRPr="003A2EEA">
        <w:rPr>
          <w:lang w:val="en-GB" w:eastAsia="en-US"/>
        </w:rPr>
        <w:t xml:space="preserve"> process of knowledge and technology transfer can</w:t>
      </w:r>
      <w:r w:rsidRPr="003A2EEA">
        <w:rPr>
          <w:lang w:val="en-GB" w:eastAsia="en-US"/>
        </w:rPr>
        <w:t xml:space="preserve"> be analysed based on</w:t>
      </w:r>
      <w:r w:rsidR="004A57B7" w:rsidRPr="003A2EEA">
        <w:rPr>
          <w:lang w:val="en-GB" w:eastAsia="en-US"/>
        </w:rPr>
        <w:t xml:space="preserve"> characteristics</w:t>
      </w:r>
      <w:r w:rsidRPr="003A2EEA">
        <w:rPr>
          <w:lang w:val="en-GB" w:eastAsia="en-US"/>
        </w:rPr>
        <w:t xml:space="preserve"> of the transferors and also the motives of the transferees</w:t>
      </w:r>
      <w:r w:rsidR="004A57B7" w:rsidRPr="003A2EEA">
        <w:rPr>
          <w:lang w:val="en-GB" w:eastAsia="en-US"/>
        </w:rPr>
        <w:t>. It is widely recognised that the transferors involved in knowledge and technology transfer are government</w:t>
      </w:r>
      <w:r w:rsidR="00091725">
        <w:rPr>
          <w:lang w:val="en-GB" w:eastAsia="en-US"/>
        </w:rPr>
        <w:t>, businesses, and universities [</w:t>
      </w:r>
      <w:r w:rsidR="00511DBF">
        <w:rPr>
          <w:lang w:val="en-GB" w:eastAsia="en-US"/>
        </w:rPr>
        <w:t>2,5,6,7</w:t>
      </w:r>
      <w:r w:rsidR="005741C9">
        <w:rPr>
          <w:lang w:val="en-GB" w:eastAsia="en-US"/>
        </w:rPr>
        <w:t>,26,27</w:t>
      </w:r>
      <w:r w:rsidR="002D320E">
        <w:rPr>
          <w:lang w:val="en-GB" w:eastAsia="en-US"/>
        </w:rPr>
        <w:t>,</w:t>
      </w:r>
      <w:r w:rsidR="005741C9">
        <w:rPr>
          <w:lang w:val="en-GB" w:eastAsia="en-US"/>
        </w:rPr>
        <w:t>28</w:t>
      </w:r>
      <w:r w:rsidR="00B9200A">
        <w:rPr>
          <w:lang w:val="en-GB" w:eastAsia="en-US"/>
        </w:rPr>
        <w:t>, 29</w:t>
      </w:r>
      <w:r w:rsidR="002D320E">
        <w:rPr>
          <w:lang w:val="en-GB" w:eastAsia="en-US"/>
        </w:rPr>
        <w:t>]</w:t>
      </w:r>
      <w:r w:rsidR="004A57B7" w:rsidRPr="003A2EEA">
        <w:rPr>
          <w:lang w:val="en-GB" w:eastAsia="en-US"/>
        </w:rPr>
        <w:t>. Every technology supplier</w:t>
      </w:r>
      <w:r w:rsidRPr="003A2EEA">
        <w:rPr>
          <w:lang w:val="en-GB" w:eastAsia="en-US"/>
        </w:rPr>
        <w:t>s</w:t>
      </w:r>
      <w:r w:rsidR="004A57B7" w:rsidRPr="003A2EEA">
        <w:rPr>
          <w:lang w:val="en-GB" w:eastAsia="en-US"/>
        </w:rPr>
        <w:t xml:space="preserve"> </w:t>
      </w:r>
      <w:r w:rsidRPr="003A2EEA">
        <w:rPr>
          <w:lang w:val="en-GB" w:eastAsia="en-US"/>
        </w:rPr>
        <w:t>and also receivers have</w:t>
      </w:r>
      <w:r w:rsidR="004A57B7" w:rsidRPr="003A2EEA">
        <w:rPr>
          <w:lang w:val="en-GB" w:eastAsia="en-US"/>
        </w:rPr>
        <w:t xml:space="preserve"> distin</w:t>
      </w:r>
      <w:r w:rsidR="00091725">
        <w:rPr>
          <w:lang w:val="en-GB" w:eastAsia="en-US"/>
        </w:rPr>
        <w:t>c</w:t>
      </w:r>
      <w:r w:rsidR="00B9200A">
        <w:rPr>
          <w:lang w:val="en-GB" w:eastAsia="en-US"/>
        </w:rPr>
        <w:t>t characteristics and motives [10</w:t>
      </w:r>
      <w:r w:rsidR="00091725">
        <w:rPr>
          <w:lang w:val="en-GB" w:eastAsia="en-US"/>
        </w:rPr>
        <w:t>]</w:t>
      </w:r>
      <w:r w:rsidR="004A57B7" w:rsidRPr="003A2EEA">
        <w:rPr>
          <w:lang w:val="en-GB" w:eastAsia="en-US"/>
        </w:rPr>
        <w:t xml:space="preserve">. </w:t>
      </w:r>
      <w:r w:rsidRPr="003A2EEA">
        <w:rPr>
          <w:lang w:val="en-GB" w:eastAsia="en-US"/>
        </w:rPr>
        <w:t>We believe that t</w:t>
      </w:r>
      <w:r w:rsidR="004A57B7" w:rsidRPr="003A2EEA">
        <w:rPr>
          <w:lang w:val="en-GB" w:eastAsia="en-US"/>
        </w:rPr>
        <w:t>he diversity of characteristics and motives will potentially affect the result</w:t>
      </w:r>
      <w:r w:rsidRPr="003A2EEA">
        <w:rPr>
          <w:lang w:val="en-GB" w:eastAsia="en-US"/>
        </w:rPr>
        <w:t xml:space="preserve"> </w:t>
      </w:r>
      <w:r w:rsidR="004A57B7" w:rsidRPr="003A2EEA">
        <w:rPr>
          <w:lang w:val="en-GB" w:eastAsia="en-US"/>
        </w:rPr>
        <w:t>of knowledge and technology transfer</w:t>
      </w:r>
      <w:r w:rsidRPr="003A2EEA">
        <w:rPr>
          <w:lang w:val="en-GB" w:eastAsia="en-US"/>
        </w:rPr>
        <w:t xml:space="preserve"> program</w:t>
      </w:r>
      <w:r w:rsidR="004A57B7" w:rsidRPr="003A2EEA">
        <w:rPr>
          <w:lang w:val="en-GB" w:eastAsia="en-US"/>
        </w:rPr>
        <w:t xml:space="preserve">. </w:t>
      </w:r>
      <w:r w:rsidRPr="003A2EEA">
        <w:rPr>
          <w:lang w:val="en-GB" w:eastAsia="en-US"/>
        </w:rPr>
        <w:t xml:space="preserve">New technology that improves the long-term capability of a company is likely to encourage on-going knowledge and technology transfer. By knowing the reason of </w:t>
      </w:r>
      <w:r w:rsidR="00826E7F" w:rsidRPr="003A2EEA">
        <w:rPr>
          <w:lang w:val="en-GB" w:eastAsia="en-US"/>
        </w:rPr>
        <w:t>those firms</w:t>
      </w:r>
      <w:r w:rsidRPr="003A2EEA">
        <w:rPr>
          <w:lang w:val="en-GB" w:eastAsia="en-US"/>
        </w:rPr>
        <w:t xml:space="preserve"> to support future uptake of knowledge and technology transfer, it is possible to construct the appropriate programs for transferees</w:t>
      </w:r>
      <w:r w:rsidR="00E72FE9" w:rsidRPr="003A2EEA">
        <w:rPr>
          <w:lang w:val="en-GB" w:eastAsia="en-US"/>
        </w:rPr>
        <w:t>, s</w:t>
      </w:r>
      <w:r w:rsidRPr="003A2EEA">
        <w:rPr>
          <w:lang w:val="en-GB" w:eastAsia="en-US"/>
        </w:rPr>
        <w:t>ince there may b</w:t>
      </w:r>
      <w:r w:rsidR="00E72FE9" w:rsidRPr="003A2EEA">
        <w:rPr>
          <w:lang w:val="en-GB" w:eastAsia="en-US"/>
        </w:rPr>
        <w:t>e several sources of motivation.</w:t>
      </w:r>
      <w:r w:rsidRPr="003A2EEA">
        <w:rPr>
          <w:lang w:val="en-GB" w:eastAsia="en-US"/>
        </w:rPr>
        <w:t xml:space="preserve"> </w:t>
      </w:r>
      <w:r w:rsidR="004A57B7" w:rsidRPr="003A2EEA">
        <w:rPr>
          <w:lang w:val="en-GB" w:eastAsia="en-US"/>
        </w:rPr>
        <w:t xml:space="preserve">It is important, therefore, to understand </w:t>
      </w:r>
      <w:r w:rsidRPr="003A2EEA">
        <w:rPr>
          <w:lang w:val="en-GB" w:eastAsia="en-US"/>
        </w:rPr>
        <w:t xml:space="preserve">the motives of transferees </w:t>
      </w:r>
      <w:r w:rsidR="004A57B7" w:rsidRPr="003A2EEA">
        <w:rPr>
          <w:lang w:val="en-GB" w:eastAsia="en-US"/>
        </w:rPr>
        <w:t xml:space="preserve">in </w:t>
      </w:r>
      <w:r w:rsidR="00E72FE9" w:rsidRPr="003A2EEA">
        <w:rPr>
          <w:lang w:val="en-GB" w:eastAsia="en-US"/>
        </w:rPr>
        <w:t>up-taking t</w:t>
      </w:r>
      <w:r w:rsidRPr="003A2EEA">
        <w:rPr>
          <w:lang w:val="en-GB" w:eastAsia="en-US"/>
        </w:rPr>
        <w:t xml:space="preserve">he </w:t>
      </w:r>
      <w:r w:rsidR="004A57B7" w:rsidRPr="003A2EEA">
        <w:rPr>
          <w:lang w:val="en-GB" w:eastAsia="en-US"/>
        </w:rPr>
        <w:t xml:space="preserve">knowledge and technology </w:t>
      </w:r>
      <w:r w:rsidRPr="003A2EEA">
        <w:rPr>
          <w:lang w:val="en-GB" w:eastAsia="en-US"/>
        </w:rPr>
        <w:t>program from the technology transfer agents</w:t>
      </w:r>
      <w:r w:rsidR="004A57B7" w:rsidRPr="003A2EEA">
        <w:rPr>
          <w:lang w:val="en-GB" w:eastAsia="en-US"/>
        </w:rPr>
        <w:t>.</w:t>
      </w:r>
    </w:p>
    <w:p w14:paraId="17250FF8" w14:textId="695004D2" w:rsidR="000E0499" w:rsidRPr="00663364" w:rsidRDefault="00B42A31" w:rsidP="00663364">
      <w:pPr>
        <w:pStyle w:val="NoSpacing"/>
        <w:ind w:firstLine="284"/>
        <w:jc w:val="both"/>
        <w:rPr>
          <w:lang w:val="en-GB" w:eastAsia="en-US"/>
        </w:rPr>
      </w:pPr>
      <w:r w:rsidRPr="003A2EEA">
        <w:rPr>
          <w:lang w:val="en-GB" w:eastAsia="en-US"/>
        </w:rPr>
        <w:t>The reason for the transferees could be vary. But the ultimate reason</w:t>
      </w:r>
      <w:r w:rsidR="00B65B56" w:rsidRPr="003A2EEA">
        <w:rPr>
          <w:lang w:val="en-GB" w:eastAsia="en-US"/>
        </w:rPr>
        <w:t xml:space="preserve"> </w:t>
      </w:r>
      <w:r w:rsidRPr="003A2EEA">
        <w:rPr>
          <w:lang w:val="en-GB" w:eastAsia="en-US"/>
        </w:rPr>
        <w:t>is profit</w:t>
      </w:r>
      <w:r w:rsidR="00B9200A">
        <w:rPr>
          <w:lang w:val="en-GB" w:eastAsia="en-US"/>
        </w:rPr>
        <w:t xml:space="preserve"> [10</w:t>
      </w:r>
      <w:r w:rsidR="00091725">
        <w:rPr>
          <w:lang w:val="en-GB" w:eastAsia="en-US"/>
        </w:rPr>
        <w:t>]</w:t>
      </w:r>
      <w:r w:rsidRPr="003A2EEA">
        <w:rPr>
          <w:lang w:val="en-GB" w:eastAsia="en-US"/>
        </w:rPr>
        <w:t xml:space="preserve">. </w:t>
      </w:r>
      <w:r w:rsidR="00B65B56" w:rsidRPr="003A2EEA">
        <w:rPr>
          <w:lang w:val="en-GB" w:eastAsia="en-US"/>
        </w:rPr>
        <w:t>For the transferees, p</w:t>
      </w:r>
      <w:r w:rsidRPr="003A2EEA">
        <w:rPr>
          <w:lang w:val="en-GB" w:eastAsia="en-US"/>
        </w:rPr>
        <w:t xml:space="preserve">rofit is the ultimate reason </w:t>
      </w:r>
      <w:r w:rsidR="00B65B56" w:rsidRPr="003A2EEA">
        <w:rPr>
          <w:lang w:val="en-GB" w:eastAsia="en-US"/>
        </w:rPr>
        <w:t xml:space="preserve">for the transferees to </w:t>
      </w:r>
      <w:r w:rsidR="000E0499" w:rsidRPr="003A2EEA">
        <w:rPr>
          <w:lang w:val="en-GB" w:eastAsia="en-US"/>
        </w:rPr>
        <w:t xml:space="preserve">receive a new </w:t>
      </w:r>
      <w:r w:rsidR="00B65B56" w:rsidRPr="003A2EEA">
        <w:rPr>
          <w:lang w:val="en-GB" w:eastAsia="en-US"/>
        </w:rPr>
        <w:t xml:space="preserve">knowledge and </w:t>
      </w:r>
      <w:r w:rsidR="000E0499" w:rsidRPr="003A2EEA">
        <w:rPr>
          <w:lang w:val="en-GB" w:eastAsia="en-US"/>
        </w:rPr>
        <w:t>technology through technology transfer</w:t>
      </w:r>
      <w:r w:rsidR="00B65B56" w:rsidRPr="003A2EEA">
        <w:rPr>
          <w:lang w:val="en-GB" w:eastAsia="en-US"/>
        </w:rPr>
        <w:t xml:space="preserve"> programs</w:t>
      </w:r>
      <w:r w:rsidR="000E0499" w:rsidRPr="003A2EEA">
        <w:rPr>
          <w:lang w:val="en-GB" w:eastAsia="en-US"/>
        </w:rPr>
        <w:t xml:space="preserve">. </w:t>
      </w:r>
      <w:r w:rsidR="00B65B56" w:rsidRPr="003A2EEA">
        <w:rPr>
          <w:lang w:val="en-GB" w:eastAsia="en-US"/>
        </w:rPr>
        <w:t>Therefore, a company will engage in technology transfer if it can r</w:t>
      </w:r>
      <w:r w:rsidR="00091725">
        <w:rPr>
          <w:lang w:val="en-GB" w:eastAsia="en-US"/>
        </w:rPr>
        <w:t>e</w:t>
      </w:r>
      <w:r w:rsidR="00B9200A">
        <w:rPr>
          <w:lang w:val="en-GB" w:eastAsia="en-US"/>
        </w:rPr>
        <w:t>alize more profit by doing so [10</w:t>
      </w:r>
      <w:r w:rsidR="00091725">
        <w:rPr>
          <w:lang w:val="en-GB" w:eastAsia="en-US"/>
        </w:rPr>
        <w:t>]</w:t>
      </w:r>
      <w:r w:rsidR="00B65B56" w:rsidRPr="003A2EEA">
        <w:rPr>
          <w:lang w:val="en-GB" w:eastAsia="en-US"/>
        </w:rPr>
        <w:t xml:space="preserve">. </w:t>
      </w:r>
      <w:r w:rsidR="0038192E" w:rsidRPr="003A2EEA">
        <w:rPr>
          <w:lang w:val="en-US" w:eastAsia="en-US"/>
        </w:rPr>
        <w:t xml:space="preserve">In other word, the </w:t>
      </w:r>
      <w:r w:rsidR="00091725" w:rsidRPr="003A2EEA">
        <w:rPr>
          <w:lang w:val="en-US" w:eastAsia="en-US"/>
        </w:rPr>
        <w:t>successful</w:t>
      </w:r>
      <w:r w:rsidR="0038192E" w:rsidRPr="003A2EEA">
        <w:rPr>
          <w:lang w:val="en-US" w:eastAsia="en-US"/>
        </w:rPr>
        <w:t xml:space="preserve"> technology transfer depends on the technology capability to increase transferees’ profit. Profitability improvement caused by new technology will lead technology receiver into further commitment to improve their knowledge and technology by asking to the </w:t>
      </w:r>
      <w:r w:rsidR="000846D9" w:rsidRPr="003A2EEA">
        <w:rPr>
          <w:lang w:val="en-US" w:eastAsia="en-US"/>
        </w:rPr>
        <w:t>technology agents</w:t>
      </w:r>
      <w:r w:rsidR="0038192E" w:rsidRPr="003A2EEA">
        <w:rPr>
          <w:lang w:val="en-US" w:eastAsia="en-US"/>
        </w:rPr>
        <w:t xml:space="preserve"> to transfer more technology. </w:t>
      </w:r>
      <w:r w:rsidR="00B65B56" w:rsidRPr="003A2EEA">
        <w:rPr>
          <w:lang w:val="en-GB" w:eastAsia="en-US"/>
        </w:rPr>
        <w:t>In many cases, i</w:t>
      </w:r>
      <w:r w:rsidR="000E0499" w:rsidRPr="003A2EEA">
        <w:rPr>
          <w:lang w:val="en-GB" w:eastAsia="en-US"/>
        </w:rPr>
        <w:t>n the absence of profits, non–government organisation cannot continue to exist – ev</w:t>
      </w:r>
      <w:r w:rsidR="00826E7F">
        <w:rPr>
          <w:lang w:val="en-GB" w:eastAsia="en-US"/>
        </w:rPr>
        <w:t>en</w:t>
      </w:r>
      <w:r w:rsidR="00B9200A">
        <w:rPr>
          <w:lang w:val="en-GB" w:eastAsia="en-US"/>
        </w:rPr>
        <w:t xml:space="preserve"> the largest of organisation [24</w:t>
      </w:r>
      <w:r w:rsidR="00826E7F">
        <w:rPr>
          <w:lang w:val="en-GB" w:eastAsia="en-US"/>
        </w:rPr>
        <w:t>]</w:t>
      </w:r>
      <w:r w:rsidR="000E0499" w:rsidRPr="003A2EEA">
        <w:rPr>
          <w:lang w:val="en-GB" w:eastAsia="en-US"/>
        </w:rPr>
        <w:t xml:space="preserve">. Once an organisation has applied a new technology that successfully supports its </w:t>
      </w:r>
      <w:r w:rsidR="000E0499" w:rsidRPr="003A2EEA">
        <w:rPr>
          <w:lang w:val="en-GB" w:eastAsia="en-US"/>
        </w:rPr>
        <w:lastRenderedPageBreak/>
        <w:t>goal in achieving more profit, it will likely ask the transferor to transfer more technology to keep i</w:t>
      </w:r>
      <w:r w:rsidR="00B65B56" w:rsidRPr="003A2EEA">
        <w:rPr>
          <w:lang w:val="en-GB" w:eastAsia="en-US"/>
        </w:rPr>
        <w:t>ncreasing the gains</w:t>
      </w:r>
      <w:r w:rsidR="000E0499" w:rsidRPr="003A2EEA">
        <w:rPr>
          <w:lang w:val="en-GB" w:eastAsia="en-US"/>
        </w:rPr>
        <w:t>.</w:t>
      </w:r>
    </w:p>
    <w:p w14:paraId="11C24253" w14:textId="1F08AD66" w:rsidR="000E0499" w:rsidRPr="003A2EEA" w:rsidRDefault="00114A16" w:rsidP="009D1402">
      <w:pPr>
        <w:keepNext/>
        <w:spacing w:before="240" w:after="60" w:line="240" w:lineRule="auto"/>
        <w:jc w:val="both"/>
        <w:outlineLvl w:val="3"/>
        <w:rPr>
          <w:b/>
          <w:bCs/>
          <w:color w:val="000000"/>
          <w:lang w:val="en-US" w:eastAsia="en-US"/>
        </w:rPr>
      </w:pPr>
      <w:r w:rsidRPr="003A2EEA">
        <w:rPr>
          <w:b/>
          <w:bCs/>
          <w:color w:val="000000"/>
          <w:lang w:val="en-US" w:eastAsia="en-US"/>
        </w:rPr>
        <w:t xml:space="preserve">3. </w:t>
      </w:r>
      <w:proofErr w:type="spellStart"/>
      <w:r w:rsidR="00CA1859">
        <w:rPr>
          <w:b/>
          <w:bCs/>
          <w:color w:val="000000"/>
          <w:lang w:val="en-US" w:eastAsia="en-US"/>
        </w:rPr>
        <w:t>Metodology</w:t>
      </w:r>
      <w:proofErr w:type="spellEnd"/>
    </w:p>
    <w:p w14:paraId="4E7EADE3" w14:textId="77777777" w:rsidR="00541CC1" w:rsidRDefault="004A57B7" w:rsidP="002F5EF3">
      <w:pPr>
        <w:spacing w:after="0" w:line="240" w:lineRule="auto"/>
        <w:jc w:val="both"/>
        <w:rPr>
          <w:rFonts w:eastAsia="Times New Roman"/>
          <w:lang w:val="en-GB" w:eastAsia="en-US"/>
        </w:rPr>
      </w:pPr>
      <w:r w:rsidRPr="003A2EEA">
        <w:rPr>
          <w:rFonts w:eastAsia="Times New Roman"/>
          <w:lang w:val="en-GB" w:eastAsia="en-US"/>
        </w:rPr>
        <w:t xml:space="preserve">The purpose of the fieldwork was to gather information on relevant people and organisations (using one-on-one interviews with associated questionnaires) to provide the data for subsequent analysis. The fieldwork phase of the research surveys was undertaken in the developing economic environments of Java, Indonesia. Subsequent phases of the research used data obtained from the </w:t>
      </w:r>
      <w:r w:rsidR="00982185" w:rsidRPr="003A2EEA">
        <w:rPr>
          <w:rFonts w:eastAsia="Times New Roman"/>
          <w:lang w:val="en-GB" w:eastAsia="en-US"/>
        </w:rPr>
        <w:t>couple of provinces in Java.</w:t>
      </w:r>
      <w:r w:rsidRPr="003A2EEA">
        <w:rPr>
          <w:rFonts w:eastAsia="Times New Roman"/>
          <w:lang w:val="en-GB" w:eastAsia="en-US"/>
        </w:rPr>
        <w:t xml:space="preserve"> These provinces were chosen because they are well established compared with others (for example, improved infrastructure, industries) and also the availability </w:t>
      </w:r>
      <w:r w:rsidR="00982185" w:rsidRPr="003A2EEA">
        <w:rPr>
          <w:rFonts w:eastAsia="Times New Roman"/>
          <w:lang w:val="en-GB" w:eastAsia="en-US"/>
        </w:rPr>
        <w:t>of technology transfer programs.</w:t>
      </w:r>
      <w:r w:rsidR="0030065B" w:rsidRPr="003A2EEA">
        <w:rPr>
          <w:rFonts w:eastAsia="Times New Roman"/>
          <w:lang w:val="en-GB" w:eastAsia="en-US"/>
        </w:rPr>
        <w:t xml:space="preserve"> Hundreds of </w:t>
      </w:r>
      <w:r w:rsidRPr="003A2EEA">
        <w:rPr>
          <w:rFonts w:eastAsia="Times New Roman"/>
          <w:bCs/>
          <w:lang w:val="en-GB" w:eastAsia="en-US"/>
        </w:rPr>
        <w:t xml:space="preserve">SMEs associated with the manufacture were surveyed. These two provinces have a strong history in manufacturing. The SMEs have characteristics such as: clustering in the geographic location, having flexible industrial structure and also less government and/or foreign ownership. Those characteristics are common in other industry sectors in Indonesia as well as in other developing countries </w:t>
      </w:r>
      <w:r w:rsidR="00B9200A">
        <w:rPr>
          <w:rFonts w:eastAsia="Times New Roman"/>
          <w:bCs/>
          <w:lang w:val="en-US" w:eastAsia="en-US"/>
        </w:rPr>
        <w:t>[29</w:t>
      </w:r>
      <w:r w:rsidR="009C7B8C">
        <w:rPr>
          <w:rFonts w:eastAsia="Times New Roman"/>
          <w:bCs/>
          <w:lang w:val="en-US" w:eastAsia="en-US"/>
        </w:rPr>
        <w:t>]</w:t>
      </w:r>
      <w:r w:rsidRPr="003A2EEA">
        <w:rPr>
          <w:rFonts w:eastAsia="Times New Roman"/>
          <w:bCs/>
          <w:lang w:val="en-GB" w:eastAsia="en-US"/>
        </w:rPr>
        <w:t>.</w:t>
      </w:r>
      <w:r w:rsidR="002F5EF3">
        <w:rPr>
          <w:rFonts w:eastAsia="Times New Roman"/>
          <w:lang w:val="en-GB" w:eastAsia="en-US"/>
        </w:rPr>
        <w:t xml:space="preserve"> </w:t>
      </w:r>
    </w:p>
    <w:p w14:paraId="7AD28E71" w14:textId="6CE1C28A" w:rsidR="00463769" w:rsidRPr="003A2EEA" w:rsidRDefault="00EB7A4D" w:rsidP="00541CC1">
      <w:pPr>
        <w:spacing w:after="0" w:line="240" w:lineRule="auto"/>
        <w:ind w:firstLine="426"/>
        <w:jc w:val="both"/>
        <w:rPr>
          <w:rFonts w:eastAsia="Times New Roman"/>
          <w:lang w:val="en-GB" w:eastAsia="en-US"/>
        </w:rPr>
      </w:pPr>
      <w:r w:rsidRPr="003A2EEA">
        <w:rPr>
          <w:rFonts w:eastAsia="Times New Roman"/>
          <w:lang w:val="en-GB" w:eastAsia="en-US"/>
        </w:rPr>
        <w:t>Profitability is important for privately owned organisations. With reference to the current research, profitability generates the funds that enable the organisation to improve its technology thro</w:t>
      </w:r>
      <w:r w:rsidR="00C72B69">
        <w:rPr>
          <w:rFonts w:eastAsia="Times New Roman"/>
          <w:lang w:val="en-GB" w:eastAsia="en-US"/>
        </w:rPr>
        <w:t>u</w:t>
      </w:r>
      <w:r w:rsidR="00B9200A">
        <w:rPr>
          <w:rFonts w:eastAsia="Times New Roman"/>
          <w:lang w:val="en-GB" w:eastAsia="en-US"/>
        </w:rPr>
        <w:t>gh technology uptake programs [10,24</w:t>
      </w:r>
      <w:r w:rsidR="00C72B69">
        <w:rPr>
          <w:rFonts w:eastAsia="Times New Roman"/>
          <w:lang w:val="en-GB" w:eastAsia="en-US"/>
        </w:rPr>
        <w:t>]</w:t>
      </w:r>
      <w:r w:rsidRPr="003A2EEA">
        <w:rPr>
          <w:rFonts w:eastAsia="Times New Roman"/>
          <w:lang w:val="en-GB" w:eastAsia="en-US"/>
        </w:rPr>
        <w:t>. Based on preliminary investigations, and again with reference to Javanese SMEs, the following research question is posed:</w:t>
      </w:r>
      <w:r w:rsidR="0030065B" w:rsidRPr="003A2EEA">
        <w:rPr>
          <w:rFonts w:eastAsia="Times New Roman"/>
          <w:lang w:val="en-GB" w:eastAsia="en-US"/>
        </w:rPr>
        <w:t xml:space="preserve"> </w:t>
      </w:r>
      <w:r w:rsidRPr="003A2EEA">
        <w:rPr>
          <w:rFonts w:eastAsia="Times New Roman"/>
          <w:lang w:val="en-GB" w:eastAsia="en-US"/>
        </w:rPr>
        <w:t>To what extent does SME profitability impact on technology uptake programs?</w:t>
      </w:r>
      <w:r w:rsidR="002F5EF3">
        <w:rPr>
          <w:rFonts w:eastAsia="Times New Roman"/>
          <w:lang w:val="en-GB" w:eastAsia="en-US"/>
        </w:rPr>
        <w:t xml:space="preserve"> </w:t>
      </w:r>
      <w:r w:rsidR="00463769" w:rsidRPr="00463769">
        <w:rPr>
          <w:rFonts w:eastAsia="Times New Roman"/>
          <w:lang w:val="en-GB" w:eastAsia="en-US"/>
        </w:rPr>
        <w:t>Structu</w:t>
      </w:r>
      <w:r w:rsidR="00463769">
        <w:rPr>
          <w:rFonts w:eastAsia="Times New Roman"/>
          <w:lang w:val="en-GB" w:eastAsia="en-US"/>
        </w:rPr>
        <w:t xml:space="preserve">ral Equation Modelling (SEM), </w:t>
      </w:r>
      <w:r w:rsidR="00463769" w:rsidRPr="00463769">
        <w:rPr>
          <w:rFonts w:eastAsia="Times New Roman"/>
          <w:lang w:val="en-GB" w:eastAsia="en-US"/>
        </w:rPr>
        <w:t>a statistical methodology used within a hypothesis-testing appr</w:t>
      </w:r>
      <w:r w:rsidR="00463769">
        <w:rPr>
          <w:rFonts w:eastAsia="Times New Roman"/>
          <w:lang w:val="en-GB" w:eastAsia="en-US"/>
        </w:rPr>
        <w:t>oach to multivariate analysis</w:t>
      </w:r>
      <w:r w:rsidR="00463769" w:rsidRPr="00463769">
        <w:rPr>
          <w:rFonts w:eastAsia="Times New Roman"/>
          <w:lang w:val="en-GB" w:eastAsia="en-US"/>
        </w:rPr>
        <w:t xml:space="preserve"> and will be used to analyse the survey data in this research. SEM will be adopted to quantify the strength of proposed relationships </w:t>
      </w:r>
      <w:r w:rsidR="00463769">
        <w:rPr>
          <w:rFonts w:eastAsia="Times New Roman"/>
          <w:lang w:val="en-GB" w:eastAsia="en-US"/>
        </w:rPr>
        <w:t>of variables</w:t>
      </w:r>
      <w:r w:rsidR="00463769" w:rsidRPr="00463769">
        <w:rPr>
          <w:rFonts w:eastAsia="Times New Roman"/>
          <w:lang w:val="en-GB" w:eastAsia="en-US"/>
        </w:rPr>
        <w:t>.</w:t>
      </w:r>
    </w:p>
    <w:p w14:paraId="0BCF5A72" w14:textId="77777777" w:rsidR="0051226C" w:rsidRPr="003A2EEA" w:rsidRDefault="0051226C" w:rsidP="009D1402">
      <w:pPr>
        <w:pStyle w:val="NoSpacing"/>
        <w:jc w:val="both"/>
        <w:rPr>
          <w:lang w:val="en-US" w:eastAsia="en-US"/>
        </w:rPr>
      </w:pPr>
    </w:p>
    <w:p w14:paraId="0D553472" w14:textId="7E8F6AC4" w:rsidR="0051226C" w:rsidRPr="003A2EEA" w:rsidRDefault="00CD03B3" w:rsidP="009D1402">
      <w:pPr>
        <w:pStyle w:val="NoSpacing"/>
        <w:jc w:val="both"/>
        <w:rPr>
          <w:b/>
          <w:lang w:val="en-US" w:eastAsia="en-US"/>
        </w:rPr>
      </w:pPr>
      <w:r w:rsidRPr="003A2EEA">
        <w:rPr>
          <w:b/>
          <w:lang w:val="en-US" w:eastAsia="en-US"/>
        </w:rPr>
        <w:t xml:space="preserve">4. </w:t>
      </w:r>
      <w:r w:rsidR="001B2297">
        <w:rPr>
          <w:b/>
          <w:lang w:val="en-US" w:eastAsia="en-US"/>
        </w:rPr>
        <w:t>Data</w:t>
      </w:r>
      <w:r w:rsidR="007C56BE">
        <w:rPr>
          <w:b/>
          <w:lang w:val="en-US" w:eastAsia="en-US"/>
        </w:rPr>
        <w:t xml:space="preserve"> analysis</w:t>
      </w:r>
      <w:r w:rsidR="001B2297">
        <w:rPr>
          <w:b/>
          <w:lang w:val="en-US" w:eastAsia="en-US"/>
        </w:rPr>
        <w:t xml:space="preserve"> and </w:t>
      </w:r>
      <w:r w:rsidRPr="003A2EEA">
        <w:rPr>
          <w:b/>
          <w:lang w:val="en-US" w:eastAsia="en-US"/>
        </w:rPr>
        <w:t xml:space="preserve">Result </w:t>
      </w:r>
    </w:p>
    <w:p w14:paraId="476C0A2A" w14:textId="6C324FDA" w:rsidR="005555C2" w:rsidRPr="003A2EEA" w:rsidRDefault="005555C2" w:rsidP="009D1402">
      <w:pPr>
        <w:pStyle w:val="NoSpacing"/>
        <w:jc w:val="both"/>
        <w:rPr>
          <w:lang w:val="en-US" w:eastAsia="en-US"/>
        </w:rPr>
      </w:pPr>
      <w:r w:rsidRPr="003A2EEA">
        <w:rPr>
          <w:lang w:val="en-GB" w:eastAsia="en-US"/>
        </w:rPr>
        <w:t xml:space="preserve">In this part, the participating organisation </w:t>
      </w:r>
      <w:r w:rsidR="0080513E" w:rsidRPr="003A2EEA">
        <w:rPr>
          <w:lang w:val="en-GB" w:eastAsia="en-US"/>
        </w:rPr>
        <w:t>responses are</w:t>
      </w:r>
      <w:r w:rsidRPr="003A2EEA">
        <w:rPr>
          <w:lang w:val="en-GB" w:eastAsia="en-US"/>
        </w:rPr>
        <w:t xml:space="preserve"> analysed based on categories of five-point Likert measuring scale.  Since the ordinal data used the five-point Likert measuring scale, the median is used as the primary measure of central tendencies and percentiles (25, 50 and 75) are calculated</w:t>
      </w:r>
    </w:p>
    <w:p w14:paraId="2F3DA746" w14:textId="77777777" w:rsidR="00D4324E" w:rsidRPr="003A2EEA" w:rsidRDefault="00D4324E" w:rsidP="009D1402">
      <w:pPr>
        <w:keepNext/>
        <w:spacing w:before="240" w:after="60" w:line="240" w:lineRule="auto"/>
        <w:jc w:val="both"/>
        <w:outlineLvl w:val="2"/>
        <w:rPr>
          <w:bCs/>
          <w:i/>
          <w:lang w:val="en-US" w:eastAsia="en-US"/>
        </w:rPr>
      </w:pPr>
      <w:r w:rsidRPr="003A2EEA">
        <w:rPr>
          <w:bCs/>
          <w:i/>
          <w:lang w:val="en-US" w:eastAsia="en-US"/>
        </w:rPr>
        <w:t xml:space="preserve">Profitability in </w:t>
      </w:r>
      <w:proofErr w:type="spellStart"/>
      <w:r w:rsidRPr="003A2EEA">
        <w:rPr>
          <w:bCs/>
          <w:i/>
          <w:lang w:val="en-US" w:eastAsia="en-US"/>
        </w:rPr>
        <w:t>organisation</w:t>
      </w:r>
      <w:proofErr w:type="spellEnd"/>
    </w:p>
    <w:p w14:paraId="6B46EB0A" w14:textId="2A1A5764" w:rsidR="00D4324E" w:rsidRPr="003A2EEA" w:rsidRDefault="00D4324E" w:rsidP="009D1402">
      <w:pPr>
        <w:spacing w:after="0" w:line="240" w:lineRule="auto"/>
        <w:jc w:val="both"/>
        <w:rPr>
          <w:rFonts w:eastAsia="Times New Roman"/>
          <w:lang w:val="en-GB" w:eastAsia="en-US"/>
        </w:rPr>
      </w:pPr>
      <w:r w:rsidRPr="003A2EEA">
        <w:rPr>
          <w:rFonts w:eastAsia="Times New Roman"/>
          <w:lang w:val="en-GB" w:eastAsia="en-US"/>
        </w:rPr>
        <w:t xml:space="preserve">Profitability of the participating organisations was explored in this research.  The profitability of an organisation is associated with its ability to achieve needed performance in measures such as net profit margin, financial return on assets and financial return on equity.  Organisational profitability was measured using four statements (Table </w:t>
      </w:r>
      <w:r w:rsidR="000E0499" w:rsidRPr="003A2EEA">
        <w:rPr>
          <w:rFonts w:eastAsia="Times New Roman"/>
          <w:lang w:val="en-GB" w:eastAsia="en-US"/>
        </w:rPr>
        <w:t>1</w:t>
      </w:r>
      <w:r w:rsidRPr="003A2EEA">
        <w:rPr>
          <w:rFonts w:eastAsia="Times New Roman"/>
          <w:lang w:val="en-GB" w:eastAsia="en-US"/>
        </w:rPr>
        <w:t>).  The respondents were asked to indicate their perception of current organisation profitability with respect to recent performance.</w:t>
      </w:r>
    </w:p>
    <w:p w14:paraId="1AB3CAD5" w14:textId="316E0486" w:rsidR="00D4324E" w:rsidRPr="003A2EEA" w:rsidRDefault="00D4324E" w:rsidP="009D1402">
      <w:pPr>
        <w:spacing w:before="240" w:after="60" w:line="240" w:lineRule="auto"/>
        <w:jc w:val="center"/>
        <w:outlineLvl w:val="6"/>
        <w:rPr>
          <w:b/>
          <w:noProof/>
          <w:lang w:val="en-US" w:eastAsia="en-US"/>
        </w:rPr>
      </w:pPr>
      <w:bookmarkStart w:id="1" w:name="_Toc315428335"/>
      <w:bookmarkStart w:id="2" w:name="_Toc353987653"/>
      <w:r w:rsidRPr="003A2EEA">
        <w:rPr>
          <w:b/>
          <w:noProof/>
          <w:lang w:val="en-US" w:eastAsia="en-US"/>
        </w:rPr>
        <w:t xml:space="preserve">Table </w:t>
      </w:r>
      <w:r w:rsidR="000E0499" w:rsidRPr="003A2EEA">
        <w:rPr>
          <w:b/>
          <w:noProof/>
          <w:lang w:val="en-US" w:eastAsia="en-US"/>
        </w:rPr>
        <w:t>1</w:t>
      </w:r>
      <w:r w:rsidRPr="003A2EEA">
        <w:rPr>
          <w:b/>
          <w:noProof/>
          <w:lang w:val="en-US" w:eastAsia="en-US"/>
        </w:rPr>
        <w:t xml:space="preserve"> </w:t>
      </w:r>
      <w:r w:rsidRPr="003A2EEA">
        <w:rPr>
          <w:noProof/>
          <w:lang w:val="en-US" w:eastAsia="en-US"/>
        </w:rPr>
        <w:t>Organisation profitability</w:t>
      </w:r>
      <w:bookmarkEnd w:id="1"/>
      <w:bookmarkEnd w:id="2"/>
    </w:p>
    <w:tbl>
      <w:tblPr>
        <w:tblW w:w="861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361"/>
        <w:gridCol w:w="992"/>
        <w:gridCol w:w="567"/>
        <w:gridCol w:w="567"/>
        <w:gridCol w:w="567"/>
        <w:gridCol w:w="851"/>
        <w:gridCol w:w="708"/>
      </w:tblGrid>
      <w:tr w:rsidR="00D4324E" w:rsidRPr="003A2EEA" w14:paraId="6193E24F" w14:textId="77777777" w:rsidTr="002B0751">
        <w:trPr>
          <w:trHeight w:val="202"/>
        </w:trPr>
        <w:tc>
          <w:tcPr>
            <w:tcW w:w="4361" w:type="dxa"/>
            <w:vMerge w:val="restart"/>
          </w:tcPr>
          <w:p w14:paraId="7E790BF1" w14:textId="77777777" w:rsidR="00D4324E" w:rsidRPr="003A2EEA" w:rsidRDefault="00D4324E" w:rsidP="009D1402">
            <w:pPr>
              <w:pStyle w:val="NoSpacing"/>
              <w:rPr>
                <w:lang w:val="en-GB" w:eastAsia="en-US"/>
              </w:rPr>
            </w:pPr>
            <w:r w:rsidRPr="003A2EEA">
              <w:rPr>
                <w:lang w:val="en-GB" w:eastAsia="en-US"/>
              </w:rPr>
              <w:t>Item</w:t>
            </w:r>
          </w:p>
        </w:tc>
        <w:tc>
          <w:tcPr>
            <w:tcW w:w="992" w:type="dxa"/>
            <w:vMerge w:val="restart"/>
          </w:tcPr>
          <w:p w14:paraId="04CC1018" w14:textId="77777777" w:rsidR="00D4324E" w:rsidRPr="003A2EEA" w:rsidRDefault="00D4324E" w:rsidP="009D1402">
            <w:pPr>
              <w:pStyle w:val="NoSpacing"/>
              <w:rPr>
                <w:lang w:val="en-GB" w:eastAsia="en-US"/>
              </w:rPr>
            </w:pPr>
            <w:r w:rsidRPr="003A2EEA">
              <w:rPr>
                <w:lang w:val="en-GB" w:eastAsia="en-US"/>
              </w:rPr>
              <w:t>Median</w:t>
            </w:r>
          </w:p>
        </w:tc>
        <w:tc>
          <w:tcPr>
            <w:tcW w:w="1701" w:type="dxa"/>
            <w:gridSpan w:val="3"/>
          </w:tcPr>
          <w:p w14:paraId="23921FCB" w14:textId="77777777" w:rsidR="00D4324E" w:rsidRPr="003A2EEA" w:rsidRDefault="00D4324E" w:rsidP="009D1402">
            <w:pPr>
              <w:pStyle w:val="NoSpacing"/>
              <w:rPr>
                <w:lang w:val="en-GB" w:eastAsia="en-US"/>
              </w:rPr>
            </w:pPr>
            <w:r w:rsidRPr="003A2EEA">
              <w:rPr>
                <w:lang w:val="en-GB" w:eastAsia="en-US"/>
              </w:rPr>
              <w:t>Percentiles</w:t>
            </w:r>
          </w:p>
        </w:tc>
        <w:tc>
          <w:tcPr>
            <w:tcW w:w="851" w:type="dxa"/>
            <w:vMerge w:val="restart"/>
          </w:tcPr>
          <w:p w14:paraId="37DA75A1" w14:textId="77777777" w:rsidR="00D4324E" w:rsidRPr="003A2EEA" w:rsidRDefault="00D4324E" w:rsidP="009D1402">
            <w:pPr>
              <w:pStyle w:val="NoSpacing"/>
              <w:rPr>
                <w:lang w:val="en-GB" w:eastAsia="en-US"/>
              </w:rPr>
            </w:pPr>
            <w:r w:rsidRPr="003A2EEA">
              <w:rPr>
                <w:lang w:val="en-GB" w:eastAsia="en-US"/>
              </w:rPr>
              <w:t>Mean</w:t>
            </w:r>
          </w:p>
        </w:tc>
        <w:tc>
          <w:tcPr>
            <w:tcW w:w="708" w:type="dxa"/>
            <w:vMerge w:val="restart"/>
          </w:tcPr>
          <w:p w14:paraId="52DF74E2" w14:textId="77777777" w:rsidR="00D4324E" w:rsidRPr="003A2EEA" w:rsidRDefault="00D4324E" w:rsidP="009D1402">
            <w:pPr>
              <w:pStyle w:val="NoSpacing"/>
              <w:rPr>
                <w:lang w:val="en-GB" w:eastAsia="en-US"/>
              </w:rPr>
            </w:pPr>
            <w:r w:rsidRPr="003A2EEA">
              <w:rPr>
                <w:lang w:val="en-GB" w:eastAsia="en-US"/>
              </w:rPr>
              <w:t>Std. Dev</w:t>
            </w:r>
          </w:p>
        </w:tc>
      </w:tr>
      <w:tr w:rsidR="00D4324E" w:rsidRPr="003A2EEA" w14:paraId="05541E0E" w14:textId="77777777" w:rsidTr="007774BE">
        <w:trPr>
          <w:trHeight w:val="128"/>
        </w:trPr>
        <w:tc>
          <w:tcPr>
            <w:tcW w:w="4361" w:type="dxa"/>
            <w:vMerge/>
            <w:tcBorders>
              <w:bottom w:val="single" w:sz="4" w:space="0" w:color="auto"/>
            </w:tcBorders>
          </w:tcPr>
          <w:p w14:paraId="015DD33C" w14:textId="77777777" w:rsidR="00D4324E" w:rsidRPr="003A2EEA" w:rsidRDefault="00D4324E" w:rsidP="009D1402">
            <w:pPr>
              <w:pStyle w:val="NoSpacing"/>
              <w:rPr>
                <w:lang w:val="en-GB" w:eastAsia="en-US"/>
              </w:rPr>
            </w:pPr>
          </w:p>
        </w:tc>
        <w:tc>
          <w:tcPr>
            <w:tcW w:w="992" w:type="dxa"/>
            <w:vMerge/>
            <w:tcBorders>
              <w:bottom w:val="single" w:sz="4" w:space="0" w:color="auto"/>
            </w:tcBorders>
          </w:tcPr>
          <w:p w14:paraId="077D52CE" w14:textId="77777777" w:rsidR="00D4324E" w:rsidRPr="003A2EEA" w:rsidRDefault="00D4324E" w:rsidP="009D1402">
            <w:pPr>
              <w:pStyle w:val="NoSpacing"/>
              <w:rPr>
                <w:lang w:val="en-GB" w:eastAsia="en-US"/>
              </w:rPr>
            </w:pPr>
          </w:p>
        </w:tc>
        <w:tc>
          <w:tcPr>
            <w:tcW w:w="567" w:type="dxa"/>
            <w:tcBorders>
              <w:bottom w:val="single" w:sz="4" w:space="0" w:color="auto"/>
            </w:tcBorders>
          </w:tcPr>
          <w:p w14:paraId="6DDE708A" w14:textId="77777777" w:rsidR="00D4324E" w:rsidRPr="003A2EEA" w:rsidRDefault="00D4324E" w:rsidP="009D1402">
            <w:pPr>
              <w:pStyle w:val="NoSpacing"/>
              <w:rPr>
                <w:lang w:val="en-GB" w:eastAsia="en-US"/>
              </w:rPr>
            </w:pPr>
            <w:r w:rsidRPr="003A2EEA">
              <w:rPr>
                <w:lang w:val="en-GB" w:eastAsia="en-US"/>
              </w:rPr>
              <w:t>25</w:t>
            </w:r>
          </w:p>
        </w:tc>
        <w:tc>
          <w:tcPr>
            <w:tcW w:w="567" w:type="dxa"/>
            <w:tcBorders>
              <w:bottom w:val="single" w:sz="4" w:space="0" w:color="auto"/>
            </w:tcBorders>
          </w:tcPr>
          <w:p w14:paraId="09906352" w14:textId="77777777" w:rsidR="00D4324E" w:rsidRPr="003A2EEA" w:rsidRDefault="00D4324E" w:rsidP="009D1402">
            <w:pPr>
              <w:pStyle w:val="NoSpacing"/>
              <w:rPr>
                <w:lang w:val="en-GB" w:eastAsia="en-US"/>
              </w:rPr>
            </w:pPr>
            <w:r w:rsidRPr="003A2EEA">
              <w:rPr>
                <w:lang w:val="en-GB" w:eastAsia="en-US"/>
              </w:rPr>
              <w:t>50</w:t>
            </w:r>
          </w:p>
        </w:tc>
        <w:tc>
          <w:tcPr>
            <w:tcW w:w="567" w:type="dxa"/>
            <w:tcBorders>
              <w:bottom w:val="single" w:sz="4" w:space="0" w:color="auto"/>
            </w:tcBorders>
          </w:tcPr>
          <w:p w14:paraId="033F025B" w14:textId="77777777" w:rsidR="00D4324E" w:rsidRPr="003A2EEA" w:rsidRDefault="00D4324E" w:rsidP="009D1402">
            <w:pPr>
              <w:pStyle w:val="NoSpacing"/>
              <w:rPr>
                <w:lang w:val="en-GB" w:eastAsia="en-US"/>
              </w:rPr>
            </w:pPr>
            <w:r w:rsidRPr="003A2EEA">
              <w:rPr>
                <w:lang w:val="en-GB" w:eastAsia="en-US"/>
              </w:rPr>
              <w:t>75</w:t>
            </w:r>
          </w:p>
        </w:tc>
        <w:tc>
          <w:tcPr>
            <w:tcW w:w="851" w:type="dxa"/>
            <w:vMerge/>
            <w:tcBorders>
              <w:bottom w:val="single" w:sz="4" w:space="0" w:color="auto"/>
            </w:tcBorders>
          </w:tcPr>
          <w:p w14:paraId="234A0E10" w14:textId="77777777" w:rsidR="00D4324E" w:rsidRPr="003A2EEA" w:rsidRDefault="00D4324E" w:rsidP="009D1402">
            <w:pPr>
              <w:pStyle w:val="NoSpacing"/>
              <w:rPr>
                <w:lang w:val="en-GB" w:eastAsia="en-US"/>
              </w:rPr>
            </w:pPr>
          </w:p>
        </w:tc>
        <w:tc>
          <w:tcPr>
            <w:tcW w:w="708" w:type="dxa"/>
            <w:vMerge/>
            <w:tcBorders>
              <w:bottom w:val="single" w:sz="4" w:space="0" w:color="auto"/>
            </w:tcBorders>
          </w:tcPr>
          <w:p w14:paraId="6B0A4DB6" w14:textId="77777777" w:rsidR="00D4324E" w:rsidRPr="003A2EEA" w:rsidRDefault="00D4324E" w:rsidP="009D1402">
            <w:pPr>
              <w:pStyle w:val="NoSpacing"/>
              <w:rPr>
                <w:lang w:val="en-GB" w:eastAsia="en-US"/>
              </w:rPr>
            </w:pPr>
          </w:p>
        </w:tc>
      </w:tr>
      <w:tr w:rsidR="00D4324E" w:rsidRPr="003A2EEA" w14:paraId="7820D3D5" w14:textId="77777777" w:rsidTr="007774BE">
        <w:trPr>
          <w:trHeight w:val="186"/>
        </w:trPr>
        <w:tc>
          <w:tcPr>
            <w:tcW w:w="4361" w:type="dxa"/>
            <w:tcBorders>
              <w:bottom w:val="nil"/>
            </w:tcBorders>
          </w:tcPr>
          <w:p w14:paraId="0711B7F6" w14:textId="77777777" w:rsidR="00D4324E" w:rsidRPr="003A2EEA" w:rsidRDefault="00D4324E" w:rsidP="009D1402">
            <w:pPr>
              <w:pStyle w:val="NoSpacing"/>
              <w:rPr>
                <w:lang w:val="en-GB" w:eastAsia="en-US"/>
              </w:rPr>
            </w:pPr>
            <w:r w:rsidRPr="003A2EEA">
              <w:rPr>
                <w:lang w:val="en-GB" w:eastAsia="en-US"/>
              </w:rPr>
              <w:t xml:space="preserve">The net profit margin compared with last year </w:t>
            </w:r>
          </w:p>
        </w:tc>
        <w:tc>
          <w:tcPr>
            <w:tcW w:w="992" w:type="dxa"/>
            <w:tcBorders>
              <w:bottom w:val="nil"/>
            </w:tcBorders>
          </w:tcPr>
          <w:p w14:paraId="4DCB06AC" w14:textId="77777777" w:rsidR="00D4324E" w:rsidRPr="003A2EEA" w:rsidRDefault="00D4324E" w:rsidP="009D1402">
            <w:pPr>
              <w:pStyle w:val="NoSpacing"/>
              <w:rPr>
                <w:lang w:val="en-GB" w:eastAsia="en-US"/>
              </w:rPr>
            </w:pPr>
            <w:r w:rsidRPr="003A2EEA">
              <w:rPr>
                <w:lang w:val="en-GB" w:eastAsia="en-US"/>
              </w:rPr>
              <w:t>3</w:t>
            </w:r>
          </w:p>
        </w:tc>
        <w:tc>
          <w:tcPr>
            <w:tcW w:w="567" w:type="dxa"/>
            <w:tcBorders>
              <w:bottom w:val="nil"/>
            </w:tcBorders>
          </w:tcPr>
          <w:p w14:paraId="00CBD811" w14:textId="77777777" w:rsidR="00D4324E" w:rsidRPr="003A2EEA" w:rsidRDefault="00D4324E" w:rsidP="009D1402">
            <w:pPr>
              <w:pStyle w:val="NoSpacing"/>
              <w:rPr>
                <w:lang w:val="en-GB" w:eastAsia="en-US"/>
              </w:rPr>
            </w:pPr>
            <w:r w:rsidRPr="003A2EEA">
              <w:rPr>
                <w:lang w:val="en-GB" w:eastAsia="en-US"/>
              </w:rPr>
              <w:t>2</w:t>
            </w:r>
          </w:p>
        </w:tc>
        <w:tc>
          <w:tcPr>
            <w:tcW w:w="567" w:type="dxa"/>
            <w:tcBorders>
              <w:bottom w:val="nil"/>
            </w:tcBorders>
          </w:tcPr>
          <w:p w14:paraId="272CC703" w14:textId="77777777" w:rsidR="00D4324E" w:rsidRPr="003A2EEA" w:rsidRDefault="00D4324E" w:rsidP="009D1402">
            <w:pPr>
              <w:pStyle w:val="NoSpacing"/>
              <w:rPr>
                <w:lang w:val="en-GB" w:eastAsia="en-US"/>
              </w:rPr>
            </w:pPr>
            <w:r w:rsidRPr="003A2EEA">
              <w:rPr>
                <w:lang w:val="en-GB" w:eastAsia="en-US"/>
              </w:rPr>
              <w:t>3</w:t>
            </w:r>
          </w:p>
        </w:tc>
        <w:tc>
          <w:tcPr>
            <w:tcW w:w="567" w:type="dxa"/>
            <w:tcBorders>
              <w:bottom w:val="nil"/>
            </w:tcBorders>
          </w:tcPr>
          <w:p w14:paraId="7BDB98D3" w14:textId="77777777" w:rsidR="00D4324E" w:rsidRPr="003A2EEA" w:rsidRDefault="00D4324E" w:rsidP="009D1402">
            <w:pPr>
              <w:pStyle w:val="NoSpacing"/>
              <w:rPr>
                <w:lang w:val="en-GB" w:eastAsia="en-US"/>
              </w:rPr>
            </w:pPr>
            <w:r w:rsidRPr="003A2EEA">
              <w:rPr>
                <w:lang w:val="en-GB" w:eastAsia="en-US"/>
              </w:rPr>
              <w:t>4</w:t>
            </w:r>
          </w:p>
        </w:tc>
        <w:tc>
          <w:tcPr>
            <w:tcW w:w="851" w:type="dxa"/>
            <w:tcBorders>
              <w:bottom w:val="nil"/>
            </w:tcBorders>
          </w:tcPr>
          <w:p w14:paraId="3282E115" w14:textId="77777777" w:rsidR="00D4324E" w:rsidRPr="003A2EEA" w:rsidRDefault="00D4324E" w:rsidP="009D1402">
            <w:pPr>
              <w:pStyle w:val="NoSpacing"/>
              <w:rPr>
                <w:lang w:val="en-GB" w:eastAsia="en-US"/>
              </w:rPr>
            </w:pPr>
            <w:r w:rsidRPr="003A2EEA">
              <w:rPr>
                <w:lang w:val="en-GB" w:eastAsia="en-US"/>
              </w:rPr>
              <w:t>2.95</w:t>
            </w:r>
          </w:p>
        </w:tc>
        <w:tc>
          <w:tcPr>
            <w:tcW w:w="708" w:type="dxa"/>
            <w:tcBorders>
              <w:bottom w:val="nil"/>
            </w:tcBorders>
          </w:tcPr>
          <w:p w14:paraId="6201BF9D" w14:textId="77777777" w:rsidR="00D4324E" w:rsidRPr="003A2EEA" w:rsidRDefault="00D4324E" w:rsidP="009D1402">
            <w:pPr>
              <w:pStyle w:val="NoSpacing"/>
              <w:rPr>
                <w:lang w:val="en-GB" w:eastAsia="en-US"/>
              </w:rPr>
            </w:pPr>
            <w:r w:rsidRPr="003A2EEA">
              <w:rPr>
                <w:lang w:val="en-GB" w:eastAsia="en-US"/>
              </w:rPr>
              <w:t>0.97</w:t>
            </w:r>
          </w:p>
        </w:tc>
      </w:tr>
      <w:tr w:rsidR="00D4324E" w:rsidRPr="003A2EEA" w14:paraId="1C773799" w14:textId="77777777" w:rsidTr="007774BE">
        <w:trPr>
          <w:trHeight w:val="232"/>
        </w:trPr>
        <w:tc>
          <w:tcPr>
            <w:tcW w:w="4361" w:type="dxa"/>
            <w:tcBorders>
              <w:top w:val="nil"/>
              <w:bottom w:val="nil"/>
            </w:tcBorders>
          </w:tcPr>
          <w:p w14:paraId="1E6B7E81" w14:textId="77777777" w:rsidR="00D4324E" w:rsidRPr="003A2EEA" w:rsidRDefault="00D4324E" w:rsidP="009D1402">
            <w:pPr>
              <w:pStyle w:val="NoSpacing"/>
              <w:rPr>
                <w:lang w:val="en-GB" w:eastAsia="en-US"/>
              </w:rPr>
            </w:pPr>
            <w:r w:rsidRPr="003A2EEA">
              <w:rPr>
                <w:lang w:val="en-GB" w:eastAsia="en-US"/>
              </w:rPr>
              <w:t>Profit achievement compared with last year</w:t>
            </w:r>
          </w:p>
        </w:tc>
        <w:tc>
          <w:tcPr>
            <w:tcW w:w="992" w:type="dxa"/>
            <w:tcBorders>
              <w:top w:val="nil"/>
              <w:bottom w:val="nil"/>
            </w:tcBorders>
          </w:tcPr>
          <w:p w14:paraId="1CE0D28A"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77F9AA08" w14:textId="77777777" w:rsidR="00D4324E" w:rsidRPr="003A2EEA" w:rsidRDefault="00D4324E" w:rsidP="009D1402">
            <w:pPr>
              <w:pStyle w:val="NoSpacing"/>
              <w:rPr>
                <w:lang w:val="en-GB" w:eastAsia="en-US"/>
              </w:rPr>
            </w:pPr>
            <w:r w:rsidRPr="003A2EEA">
              <w:rPr>
                <w:lang w:val="en-GB" w:eastAsia="en-US"/>
              </w:rPr>
              <w:t>2</w:t>
            </w:r>
          </w:p>
        </w:tc>
        <w:tc>
          <w:tcPr>
            <w:tcW w:w="567" w:type="dxa"/>
            <w:tcBorders>
              <w:top w:val="nil"/>
              <w:bottom w:val="nil"/>
            </w:tcBorders>
          </w:tcPr>
          <w:p w14:paraId="3FFCF40F"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662BC6BA" w14:textId="77777777" w:rsidR="00D4324E" w:rsidRPr="003A2EEA" w:rsidRDefault="00D4324E" w:rsidP="009D1402">
            <w:pPr>
              <w:pStyle w:val="NoSpacing"/>
              <w:rPr>
                <w:lang w:val="en-GB" w:eastAsia="en-US"/>
              </w:rPr>
            </w:pPr>
            <w:r w:rsidRPr="003A2EEA">
              <w:rPr>
                <w:lang w:val="en-GB" w:eastAsia="en-US"/>
              </w:rPr>
              <w:t>4</w:t>
            </w:r>
          </w:p>
        </w:tc>
        <w:tc>
          <w:tcPr>
            <w:tcW w:w="851" w:type="dxa"/>
            <w:tcBorders>
              <w:top w:val="nil"/>
              <w:bottom w:val="nil"/>
            </w:tcBorders>
          </w:tcPr>
          <w:p w14:paraId="3873C143" w14:textId="77777777" w:rsidR="00D4324E" w:rsidRPr="003A2EEA" w:rsidRDefault="00D4324E" w:rsidP="009D1402">
            <w:pPr>
              <w:pStyle w:val="NoSpacing"/>
              <w:rPr>
                <w:lang w:val="en-GB" w:eastAsia="en-US"/>
              </w:rPr>
            </w:pPr>
            <w:r w:rsidRPr="003A2EEA">
              <w:rPr>
                <w:lang w:val="en-GB" w:eastAsia="en-US"/>
              </w:rPr>
              <w:t>2.94</w:t>
            </w:r>
          </w:p>
        </w:tc>
        <w:tc>
          <w:tcPr>
            <w:tcW w:w="708" w:type="dxa"/>
            <w:tcBorders>
              <w:top w:val="nil"/>
              <w:bottom w:val="nil"/>
            </w:tcBorders>
          </w:tcPr>
          <w:p w14:paraId="4BC9EC33" w14:textId="77777777" w:rsidR="00D4324E" w:rsidRPr="003A2EEA" w:rsidRDefault="00D4324E" w:rsidP="009D1402">
            <w:pPr>
              <w:pStyle w:val="NoSpacing"/>
              <w:rPr>
                <w:lang w:val="en-GB" w:eastAsia="en-US"/>
              </w:rPr>
            </w:pPr>
            <w:r w:rsidRPr="003A2EEA">
              <w:rPr>
                <w:lang w:val="en-GB" w:eastAsia="en-US"/>
              </w:rPr>
              <w:t>0.90</w:t>
            </w:r>
          </w:p>
        </w:tc>
      </w:tr>
      <w:tr w:rsidR="00D4324E" w:rsidRPr="003A2EEA" w14:paraId="15869306" w14:textId="77777777" w:rsidTr="007774BE">
        <w:trPr>
          <w:trHeight w:val="267"/>
        </w:trPr>
        <w:tc>
          <w:tcPr>
            <w:tcW w:w="4361" w:type="dxa"/>
            <w:tcBorders>
              <w:top w:val="nil"/>
              <w:bottom w:val="nil"/>
            </w:tcBorders>
          </w:tcPr>
          <w:p w14:paraId="249C9E9B" w14:textId="77777777" w:rsidR="00D4324E" w:rsidRPr="003A2EEA" w:rsidRDefault="00D4324E" w:rsidP="009D1402">
            <w:pPr>
              <w:pStyle w:val="NoSpacing"/>
              <w:rPr>
                <w:lang w:val="en-GB" w:eastAsia="en-US"/>
              </w:rPr>
            </w:pPr>
            <w:r w:rsidRPr="003A2EEA">
              <w:rPr>
                <w:lang w:val="en-GB" w:eastAsia="en-US"/>
              </w:rPr>
              <w:t xml:space="preserve">Return on assets compared with last year </w:t>
            </w:r>
          </w:p>
        </w:tc>
        <w:tc>
          <w:tcPr>
            <w:tcW w:w="992" w:type="dxa"/>
            <w:tcBorders>
              <w:top w:val="nil"/>
              <w:bottom w:val="nil"/>
            </w:tcBorders>
          </w:tcPr>
          <w:p w14:paraId="277D78BA"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138D37F0"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2BA7A6CA"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59B65A7D" w14:textId="77777777" w:rsidR="00D4324E" w:rsidRPr="003A2EEA" w:rsidRDefault="00D4324E" w:rsidP="009D1402">
            <w:pPr>
              <w:pStyle w:val="NoSpacing"/>
              <w:rPr>
                <w:lang w:val="en-GB" w:eastAsia="en-US"/>
              </w:rPr>
            </w:pPr>
            <w:r w:rsidRPr="003A2EEA">
              <w:rPr>
                <w:lang w:val="en-GB" w:eastAsia="en-US"/>
              </w:rPr>
              <w:t>4</w:t>
            </w:r>
          </w:p>
        </w:tc>
        <w:tc>
          <w:tcPr>
            <w:tcW w:w="851" w:type="dxa"/>
            <w:tcBorders>
              <w:top w:val="nil"/>
              <w:bottom w:val="nil"/>
            </w:tcBorders>
          </w:tcPr>
          <w:p w14:paraId="43BA55B6" w14:textId="77777777" w:rsidR="00D4324E" w:rsidRPr="003A2EEA" w:rsidRDefault="00D4324E" w:rsidP="009D1402">
            <w:pPr>
              <w:pStyle w:val="NoSpacing"/>
              <w:rPr>
                <w:lang w:val="en-GB" w:eastAsia="en-US"/>
              </w:rPr>
            </w:pPr>
            <w:r w:rsidRPr="003A2EEA">
              <w:rPr>
                <w:lang w:val="en-GB" w:eastAsia="en-US"/>
              </w:rPr>
              <w:t>3.03</w:t>
            </w:r>
          </w:p>
        </w:tc>
        <w:tc>
          <w:tcPr>
            <w:tcW w:w="708" w:type="dxa"/>
            <w:tcBorders>
              <w:top w:val="nil"/>
              <w:bottom w:val="nil"/>
            </w:tcBorders>
          </w:tcPr>
          <w:p w14:paraId="5E76FAF6" w14:textId="77777777" w:rsidR="00D4324E" w:rsidRPr="003A2EEA" w:rsidRDefault="00D4324E" w:rsidP="009D1402">
            <w:pPr>
              <w:pStyle w:val="NoSpacing"/>
              <w:rPr>
                <w:lang w:val="en-GB" w:eastAsia="en-US"/>
              </w:rPr>
            </w:pPr>
            <w:r w:rsidRPr="003A2EEA">
              <w:rPr>
                <w:lang w:val="en-GB" w:eastAsia="en-US"/>
              </w:rPr>
              <w:t>0.82</w:t>
            </w:r>
          </w:p>
        </w:tc>
      </w:tr>
      <w:tr w:rsidR="00D4324E" w:rsidRPr="003A2EEA" w14:paraId="7FA8C829" w14:textId="77777777" w:rsidTr="007774BE">
        <w:trPr>
          <w:trHeight w:val="271"/>
        </w:trPr>
        <w:tc>
          <w:tcPr>
            <w:tcW w:w="4361" w:type="dxa"/>
            <w:tcBorders>
              <w:top w:val="nil"/>
            </w:tcBorders>
          </w:tcPr>
          <w:p w14:paraId="66C316FB" w14:textId="77777777" w:rsidR="00D4324E" w:rsidRPr="003A2EEA" w:rsidRDefault="00D4324E" w:rsidP="009D1402">
            <w:pPr>
              <w:pStyle w:val="NoSpacing"/>
              <w:rPr>
                <w:lang w:val="en-GB" w:eastAsia="en-US"/>
              </w:rPr>
            </w:pPr>
            <w:r w:rsidRPr="003A2EEA">
              <w:rPr>
                <w:lang w:val="en-GB" w:eastAsia="en-US"/>
              </w:rPr>
              <w:t xml:space="preserve">Return on equity compared with last year </w:t>
            </w:r>
          </w:p>
        </w:tc>
        <w:tc>
          <w:tcPr>
            <w:tcW w:w="992" w:type="dxa"/>
            <w:tcBorders>
              <w:top w:val="nil"/>
            </w:tcBorders>
          </w:tcPr>
          <w:p w14:paraId="65559829"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tcBorders>
          </w:tcPr>
          <w:p w14:paraId="1FBB5C33"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tcBorders>
          </w:tcPr>
          <w:p w14:paraId="71CCDB4E"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tcBorders>
          </w:tcPr>
          <w:p w14:paraId="5B0623D0" w14:textId="77777777" w:rsidR="00D4324E" w:rsidRPr="003A2EEA" w:rsidRDefault="00D4324E" w:rsidP="009D1402">
            <w:pPr>
              <w:pStyle w:val="NoSpacing"/>
              <w:rPr>
                <w:lang w:val="en-GB" w:eastAsia="en-US"/>
              </w:rPr>
            </w:pPr>
            <w:r w:rsidRPr="003A2EEA">
              <w:rPr>
                <w:lang w:val="en-GB" w:eastAsia="en-US"/>
              </w:rPr>
              <w:t>4</w:t>
            </w:r>
          </w:p>
        </w:tc>
        <w:tc>
          <w:tcPr>
            <w:tcW w:w="851" w:type="dxa"/>
            <w:tcBorders>
              <w:top w:val="nil"/>
            </w:tcBorders>
          </w:tcPr>
          <w:p w14:paraId="1598D2BC" w14:textId="77777777" w:rsidR="00D4324E" w:rsidRPr="003A2EEA" w:rsidRDefault="00D4324E" w:rsidP="009D1402">
            <w:pPr>
              <w:pStyle w:val="NoSpacing"/>
              <w:rPr>
                <w:lang w:val="en-GB" w:eastAsia="en-US"/>
              </w:rPr>
            </w:pPr>
            <w:r w:rsidRPr="003A2EEA">
              <w:rPr>
                <w:lang w:val="en-GB" w:eastAsia="en-US"/>
              </w:rPr>
              <w:t>3.09</w:t>
            </w:r>
          </w:p>
        </w:tc>
        <w:tc>
          <w:tcPr>
            <w:tcW w:w="708" w:type="dxa"/>
            <w:tcBorders>
              <w:top w:val="nil"/>
            </w:tcBorders>
          </w:tcPr>
          <w:p w14:paraId="22D9268E" w14:textId="77777777" w:rsidR="00D4324E" w:rsidRPr="003A2EEA" w:rsidRDefault="00D4324E" w:rsidP="009D1402">
            <w:pPr>
              <w:pStyle w:val="NoSpacing"/>
              <w:rPr>
                <w:lang w:val="en-GB" w:eastAsia="en-US"/>
              </w:rPr>
            </w:pPr>
            <w:r w:rsidRPr="003A2EEA">
              <w:rPr>
                <w:lang w:val="en-GB" w:eastAsia="en-US"/>
              </w:rPr>
              <w:t>0.90</w:t>
            </w:r>
          </w:p>
        </w:tc>
      </w:tr>
    </w:tbl>
    <w:p w14:paraId="0913BE0A" w14:textId="77777777" w:rsidR="00D4324E" w:rsidRPr="003A2EEA" w:rsidRDefault="00D4324E" w:rsidP="009D1402">
      <w:pPr>
        <w:spacing w:before="80" w:after="0" w:line="240" w:lineRule="auto"/>
        <w:rPr>
          <w:rFonts w:eastAsia="Times New Roman"/>
          <w:b/>
          <w:lang w:val="en-GB" w:eastAsia="en-US"/>
        </w:rPr>
      </w:pPr>
      <w:r w:rsidRPr="003A2EEA">
        <w:rPr>
          <w:rFonts w:eastAsia="Times New Roman"/>
          <w:lang w:val="en-GB" w:eastAsia="en-US"/>
        </w:rPr>
        <w:t>Scale: 1 = Much below; 2 = Below; 3 = Average; 4 = Above; 5 = Much above</w:t>
      </w:r>
    </w:p>
    <w:p w14:paraId="556E43E6" w14:textId="77777777" w:rsidR="00D4324E" w:rsidRPr="003A2EEA" w:rsidRDefault="00D4324E" w:rsidP="009D1402">
      <w:pPr>
        <w:spacing w:after="0" w:line="240" w:lineRule="auto"/>
        <w:jc w:val="both"/>
        <w:rPr>
          <w:rFonts w:eastAsia="Times New Roman"/>
          <w:lang w:val="en-GB" w:eastAsia="en-US"/>
        </w:rPr>
      </w:pPr>
    </w:p>
    <w:p w14:paraId="249D18D1" w14:textId="7BD27ED9" w:rsidR="00D4324E" w:rsidRPr="003A2EEA" w:rsidRDefault="00D4324E" w:rsidP="009D1402">
      <w:pPr>
        <w:spacing w:before="80" w:after="0" w:line="240" w:lineRule="auto"/>
        <w:jc w:val="both"/>
        <w:rPr>
          <w:rFonts w:eastAsia="Times New Roman"/>
          <w:b/>
          <w:lang w:val="en-GB" w:eastAsia="en-US"/>
        </w:rPr>
      </w:pPr>
      <w:r w:rsidRPr="003A2EEA">
        <w:rPr>
          <w:rFonts w:eastAsia="Times New Roman"/>
          <w:lang w:val="en-GB" w:eastAsia="en-US"/>
        </w:rPr>
        <w:t xml:space="preserve">The results contained in Table </w:t>
      </w:r>
      <w:r w:rsidR="000E0499" w:rsidRPr="003A2EEA">
        <w:rPr>
          <w:rFonts w:eastAsia="Times New Roman"/>
          <w:lang w:val="en-GB" w:eastAsia="en-US"/>
        </w:rPr>
        <w:t>1</w:t>
      </w:r>
      <w:r w:rsidRPr="003A2EEA">
        <w:rPr>
          <w:rFonts w:eastAsia="Times New Roman"/>
          <w:lang w:val="en-GB" w:eastAsia="en-US"/>
        </w:rPr>
        <w:t xml:space="preserve"> show that the respondents expressed a median of ‘average’ associated with these current profitability statements. </w:t>
      </w:r>
      <w:r w:rsidRPr="003A2EEA" w:rsidDel="00910EC0">
        <w:rPr>
          <w:rFonts w:eastAsia="Times New Roman"/>
          <w:lang w:val="en-GB" w:eastAsia="en-US"/>
        </w:rPr>
        <w:t xml:space="preserve"> Items 1 and 2 percentiles indicate an even spread around this ‘average’ response, whereas items 3 and 4 indicate that respondents erred between ‘average’ and ‘above average’ for profitability issues associated with financial returns.</w:t>
      </w:r>
    </w:p>
    <w:p w14:paraId="09FD44D4" w14:textId="77777777" w:rsidR="00D4324E" w:rsidRPr="003A2EEA" w:rsidRDefault="00D4324E" w:rsidP="009D1402">
      <w:pPr>
        <w:keepNext/>
        <w:spacing w:before="240" w:after="60" w:line="240" w:lineRule="auto"/>
        <w:jc w:val="both"/>
        <w:outlineLvl w:val="2"/>
        <w:rPr>
          <w:bCs/>
          <w:i/>
          <w:lang w:val="en-US" w:eastAsia="en-US"/>
        </w:rPr>
      </w:pPr>
      <w:r w:rsidRPr="003A2EEA">
        <w:rPr>
          <w:bCs/>
          <w:i/>
          <w:lang w:val="en-US" w:eastAsia="en-US"/>
        </w:rPr>
        <w:lastRenderedPageBreak/>
        <w:t>Technology uptake program</w:t>
      </w:r>
    </w:p>
    <w:p w14:paraId="5446290B" w14:textId="5BAC4085" w:rsidR="00D4324E" w:rsidRDefault="00D4324E" w:rsidP="009D1402">
      <w:pPr>
        <w:spacing w:after="0" w:line="240" w:lineRule="auto"/>
        <w:jc w:val="both"/>
        <w:rPr>
          <w:rFonts w:eastAsia="Times New Roman"/>
          <w:lang w:val="en-GB" w:eastAsia="en-US"/>
        </w:rPr>
      </w:pPr>
      <w:r w:rsidRPr="003A2EEA">
        <w:rPr>
          <w:rFonts w:eastAsia="Times New Roman"/>
          <w:lang w:val="en-GB" w:eastAsia="en-US"/>
        </w:rPr>
        <w:t>Sustainable technology transfer refers to an organisation’s management policies associated with</w:t>
      </w:r>
      <w:r w:rsidRPr="003A2EEA" w:rsidDel="00933C1C">
        <w:rPr>
          <w:rFonts w:eastAsia="Times New Roman"/>
          <w:lang w:val="en-GB" w:eastAsia="en-US"/>
        </w:rPr>
        <w:t xml:space="preserve"> </w:t>
      </w:r>
      <w:r w:rsidRPr="003A2EEA">
        <w:rPr>
          <w:rFonts w:eastAsia="Times New Roman"/>
          <w:lang w:val="en-GB" w:eastAsia="en-US"/>
        </w:rPr>
        <w:t xml:space="preserve">continuing technology development programs.  The commitment of participating organisations to sustainable technology transfer </w:t>
      </w:r>
      <w:r w:rsidRPr="003A2EEA" w:rsidDel="00933C1C">
        <w:rPr>
          <w:rFonts w:eastAsia="Times New Roman"/>
          <w:lang w:val="en-GB" w:eastAsia="en-US"/>
        </w:rPr>
        <w:t>was</w:t>
      </w:r>
      <w:r w:rsidRPr="003A2EEA">
        <w:rPr>
          <w:rFonts w:eastAsia="Times New Roman"/>
          <w:lang w:val="en-GB" w:eastAsia="en-US"/>
        </w:rPr>
        <w:t xml:space="preserve"> explored using the five statements in Table </w:t>
      </w:r>
      <w:r w:rsidR="000E0499" w:rsidRPr="003A2EEA">
        <w:rPr>
          <w:rFonts w:eastAsia="Times New Roman"/>
          <w:lang w:val="en-GB" w:eastAsia="en-US"/>
        </w:rPr>
        <w:t>2</w:t>
      </w:r>
      <w:r w:rsidRPr="003A2EEA" w:rsidDel="00933C1C">
        <w:rPr>
          <w:rFonts w:eastAsia="Times New Roman"/>
          <w:lang w:val="en-GB" w:eastAsia="en-US"/>
        </w:rPr>
        <w:t>.</w:t>
      </w:r>
      <w:r w:rsidRPr="003A2EEA">
        <w:rPr>
          <w:rFonts w:eastAsia="Times New Roman"/>
          <w:lang w:val="en-GB" w:eastAsia="en-US"/>
        </w:rPr>
        <w:t xml:space="preserve"> </w:t>
      </w:r>
    </w:p>
    <w:p w14:paraId="4DD56956" w14:textId="0013F245" w:rsidR="003A2EEA" w:rsidRDefault="003A2EEA" w:rsidP="00663364">
      <w:pPr>
        <w:spacing w:after="0" w:line="240" w:lineRule="auto"/>
        <w:ind w:firstLine="284"/>
        <w:jc w:val="both"/>
        <w:rPr>
          <w:rFonts w:eastAsia="Times New Roman"/>
          <w:lang w:val="en-GB" w:eastAsia="en-US"/>
        </w:rPr>
      </w:pPr>
      <w:r w:rsidRPr="003A2EEA">
        <w:rPr>
          <w:rFonts w:eastAsia="Times New Roman"/>
          <w:lang w:val="en-GB" w:eastAsia="en-US"/>
        </w:rPr>
        <w:t>The results contained in Table 2 show that the respondents expressed ‘agreement’ to all items with percentiles showing that respondents expressed between ‘neutral’ and ‘agree’.  Item 4 showed that all organisation respondents agreed that there was a strong willingness to continue the process of technology uptake (very low percentile variability).</w:t>
      </w:r>
    </w:p>
    <w:p w14:paraId="1841EAF5" w14:textId="77777777" w:rsidR="00663364" w:rsidRDefault="00663364" w:rsidP="00663364">
      <w:pPr>
        <w:spacing w:after="0" w:line="240" w:lineRule="auto"/>
        <w:ind w:firstLine="284"/>
        <w:jc w:val="both"/>
        <w:rPr>
          <w:rFonts w:eastAsia="Times New Roman"/>
          <w:lang w:val="en-GB" w:eastAsia="en-US"/>
        </w:rPr>
      </w:pPr>
    </w:p>
    <w:p w14:paraId="22A17565" w14:textId="25DE4EBE" w:rsidR="00D4324E" w:rsidRPr="003A2EEA" w:rsidRDefault="005B6250" w:rsidP="009D1402">
      <w:pPr>
        <w:spacing w:before="240" w:after="60" w:line="240" w:lineRule="auto"/>
        <w:jc w:val="center"/>
        <w:outlineLvl w:val="6"/>
        <w:rPr>
          <w:b/>
          <w:noProof/>
          <w:lang w:val="en-US" w:eastAsia="en-US"/>
        </w:rPr>
      </w:pPr>
      <w:bookmarkStart w:id="3" w:name="_Toc315428336"/>
      <w:bookmarkStart w:id="4" w:name="_Toc353987654"/>
      <w:r w:rsidRPr="003A2EEA">
        <w:rPr>
          <w:b/>
          <w:noProof/>
          <w:lang w:val="en-US" w:eastAsia="en-US"/>
        </w:rPr>
        <w:t>Table 2</w:t>
      </w:r>
      <w:r w:rsidR="00D4324E" w:rsidRPr="003A2EEA">
        <w:rPr>
          <w:b/>
          <w:noProof/>
          <w:lang w:val="en-US" w:eastAsia="en-US"/>
        </w:rPr>
        <w:t xml:space="preserve"> </w:t>
      </w:r>
      <w:r w:rsidR="00D4324E" w:rsidRPr="003A2EEA">
        <w:rPr>
          <w:noProof/>
          <w:lang w:val="en-US" w:eastAsia="en-US"/>
        </w:rPr>
        <w:t>Technology uptake program</w:t>
      </w:r>
      <w:bookmarkEnd w:id="3"/>
      <w:bookmarkEnd w:id="4"/>
    </w:p>
    <w:tbl>
      <w:tblPr>
        <w:tblW w:w="8731" w:type="dxa"/>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4001"/>
        <w:gridCol w:w="1113"/>
        <w:gridCol w:w="835"/>
        <w:gridCol w:w="696"/>
        <w:gridCol w:w="556"/>
        <w:gridCol w:w="834"/>
        <w:gridCol w:w="696"/>
      </w:tblGrid>
      <w:tr w:rsidR="00D4324E" w:rsidRPr="003A2EEA" w14:paraId="5B9BA347" w14:textId="77777777" w:rsidTr="00760CDA">
        <w:trPr>
          <w:trHeight w:val="207"/>
        </w:trPr>
        <w:tc>
          <w:tcPr>
            <w:tcW w:w="4001" w:type="dxa"/>
            <w:vMerge w:val="restart"/>
            <w:tcBorders>
              <w:top w:val="single" w:sz="4" w:space="0" w:color="auto"/>
              <w:bottom w:val="single" w:sz="4" w:space="0" w:color="auto"/>
            </w:tcBorders>
          </w:tcPr>
          <w:p w14:paraId="27217AD6" w14:textId="77777777" w:rsidR="00D4324E" w:rsidRPr="003A2EEA" w:rsidRDefault="00D4324E" w:rsidP="009D1402">
            <w:pPr>
              <w:pStyle w:val="NoSpacing"/>
              <w:rPr>
                <w:lang w:val="en-GB" w:eastAsia="en-US"/>
              </w:rPr>
            </w:pPr>
            <w:r w:rsidRPr="003A2EEA">
              <w:rPr>
                <w:lang w:val="en-GB" w:eastAsia="en-US"/>
              </w:rPr>
              <w:t>Item</w:t>
            </w:r>
          </w:p>
        </w:tc>
        <w:tc>
          <w:tcPr>
            <w:tcW w:w="1113" w:type="dxa"/>
            <w:vMerge w:val="restart"/>
            <w:tcBorders>
              <w:top w:val="single" w:sz="4" w:space="0" w:color="auto"/>
              <w:bottom w:val="single" w:sz="4" w:space="0" w:color="auto"/>
            </w:tcBorders>
          </w:tcPr>
          <w:p w14:paraId="4A7220BC" w14:textId="77777777" w:rsidR="00D4324E" w:rsidRPr="003A2EEA" w:rsidRDefault="00D4324E" w:rsidP="00663364">
            <w:pPr>
              <w:pStyle w:val="NoSpacing"/>
              <w:jc w:val="center"/>
              <w:rPr>
                <w:lang w:val="en-GB" w:eastAsia="en-US"/>
              </w:rPr>
            </w:pPr>
            <w:r w:rsidRPr="003A2EEA">
              <w:rPr>
                <w:lang w:val="en-GB" w:eastAsia="en-US"/>
              </w:rPr>
              <w:t>Median</w:t>
            </w:r>
          </w:p>
        </w:tc>
        <w:tc>
          <w:tcPr>
            <w:tcW w:w="2087" w:type="dxa"/>
            <w:gridSpan w:val="3"/>
            <w:tcBorders>
              <w:top w:val="single" w:sz="4" w:space="0" w:color="auto"/>
              <w:bottom w:val="single" w:sz="4" w:space="0" w:color="auto"/>
            </w:tcBorders>
          </w:tcPr>
          <w:p w14:paraId="175EA098" w14:textId="77777777" w:rsidR="00D4324E" w:rsidRPr="003A2EEA" w:rsidRDefault="00D4324E" w:rsidP="00663364">
            <w:pPr>
              <w:pStyle w:val="NoSpacing"/>
              <w:jc w:val="center"/>
              <w:rPr>
                <w:lang w:val="en-GB" w:eastAsia="en-US"/>
              </w:rPr>
            </w:pPr>
            <w:r w:rsidRPr="003A2EEA">
              <w:rPr>
                <w:lang w:val="en-GB" w:eastAsia="en-US"/>
              </w:rPr>
              <w:t>Percentiles</w:t>
            </w:r>
          </w:p>
        </w:tc>
        <w:tc>
          <w:tcPr>
            <w:tcW w:w="834" w:type="dxa"/>
            <w:vMerge w:val="restart"/>
            <w:tcBorders>
              <w:top w:val="single" w:sz="4" w:space="0" w:color="auto"/>
              <w:bottom w:val="single" w:sz="4" w:space="0" w:color="auto"/>
            </w:tcBorders>
          </w:tcPr>
          <w:p w14:paraId="2443A7F5" w14:textId="77777777" w:rsidR="00D4324E" w:rsidRPr="003A2EEA" w:rsidRDefault="00D4324E" w:rsidP="00663364">
            <w:pPr>
              <w:pStyle w:val="NoSpacing"/>
              <w:jc w:val="center"/>
              <w:rPr>
                <w:lang w:val="en-GB" w:eastAsia="en-US"/>
              </w:rPr>
            </w:pPr>
            <w:r w:rsidRPr="003A2EEA">
              <w:rPr>
                <w:lang w:val="en-GB" w:eastAsia="en-US"/>
              </w:rPr>
              <w:t>Mean</w:t>
            </w:r>
          </w:p>
        </w:tc>
        <w:tc>
          <w:tcPr>
            <w:tcW w:w="696" w:type="dxa"/>
            <w:vMerge w:val="restart"/>
            <w:tcBorders>
              <w:top w:val="single" w:sz="4" w:space="0" w:color="auto"/>
              <w:bottom w:val="single" w:sz="4" w:space="0" w:color="auto"/>
            </w:tcBorders>
          </w:tcPr>
          <w:p w14:paraId="528F3972" w14:textId="77777777" w:rsidR="00D4324E" w:rsidRPr="003A2EEA" w:rsidRDefault="00D4324E" w:rsidP="00663364">
            <w:pPr>
              <w:pStyle w:val="NoSpacing"/>
              <w:jc w:val="center"/>
              <w:rPr>
                <w:lang w:val="en-GB" w:eastAsia="en-US"/>
              </w:rPr>
            </w:pPr>
            <w:r w:rsidRPr="003A2EEA">
              <w:rPr>
                <w:lang w:val="en-GB" w:eastAsia="en-US"/>
              </w:rPr>
              <w:t>Std. Dev</w:t>
            </w:r>
          </w:p>
        </w:tc>
      </w:tr>
      <w:tr w:rsidR="00D4324E" w:rsidRPr="003A2EEA" w14:paraId="0F47282D" w14:textId="77777777" w:rsidTr="00760CDA">
        <w:trPr>
          <w:trHeight w:val="132"/>
        </w:trPr>
        <w:tc>
          <w:tcPr>
            <w:tcW w:w="4001" w:type="dxa"/>
            <w:vMerge/>
            <w:tcBorders>
              <w:top w:val="single" w:sz="4" w:space="0" w:color="auto"/>
              <w:bottom w:val="single" w:sz="4" w:space="0" w:color="auto"/>
            </w:tcBorders>
          </w:tcPr>
          <w:p w14:paraId="7CD3C4F7" w14:textId="77777777" w:rsidR="00D4324E" w:rsidRPr="003A2EEA" w:rsidRDefault="00D4324E" w:rsidP="009D1402">
            <w:pPr>
              <w:pStyle w:val="NoSpacing"/>
              <w:rPr>
                <w:lang w:val="en-GB" w:eastAsia="en-US"/>
              </w:rPr>
            </w:pPr>
          </w:p>
        </w:tc>
        <w:tc>
          <w:tcPr>
            <w:tcW w:w="1113" w:type="dxa"/>
            <w:vMerge/>
            <w:tcBorders>
              <w:top w:val="single" w:sz="4" w:space="0" w:color="auto"/>
              <w:bottom w:val="single" w:sz="4" w:space="0" w:color="auto"/>
            </w:tcBorders>
          </w:tcPr>
          <w:p w14:paraId="63382054" w14:textId="77777777" w:rsidR="00D4324E" w:rsidRPr="003A2EEA" w:rsidRDefault="00D4324E" w:rsidP="00663364">
            <w:pPr>
              <w:pStyle w:val="NoSpacing"/>
              <w:jc w:val="center"/>
              <w:rPr>
                <w:lang w:val="en-GB" w:eastAsia="en-US"/>
              </w:rPr>
            </w:pPr>
          </w:p>
        </w:tc>
        <w:tc>
          <w:tcPr>
            <w:tcW w:w="835" w:type="dxa"/>
            <w:tcBorders>
              <w:top w:val="single" w:sz="4" w:space="0" w:color="auto"/>
              <w:bottom w:val="single" w:sz="4" w:space="0" w:color="auto"/>
            </w:tcBorders>
          </w:tcPr>
          <w:p w14:paraId="7B3D263B" w14:textId="77777777" w:rsidR="00D4324E" w:rsidRPr="003A2EEA" w:rsidRDefault="00D4324E" w:rsidP="00663364">
            <w:pPr>
              <w:pStyle w:val="NoSpacing"/>
              <w:jc w:val="center"/>
              <w:rPr>
                <w:lang w:val="en-GB" w:eastAsia="en-US"/>
              </w:rPr>
            </w:pPr>
            <w:r w:rsidRPr="003A2EEA">
              <w:rPr>
                <w:lang w:val="en-GB" w:eastAsia="en-US"/>
              </w:rPr>
              <w:t>25</w:t>
            </w:r>
          </w:p>
        </w:tc>
        <w:tc>
          <w:tcPr>
            <w:tcW w:w="696" w:type="dxa"/>
            <w:tcBorders>
              <w:top w:val="single" w:sz="4" w:space="0" w:color="auto"/>
              <w:bottom w:val="single" w:sz="4" w:space="0" w:color="auto"/>
            </w:tcBorders>
          </w:tcPr>
          <w:p w14:paraId="73F09EF7" w14:textId="77777777" w:rsidR="00D4324E" w:rsidRPr="003A2EEA" w:rsidRDefault="00D4324E" w:rsidP="00663364">
            <w:pPr>
              <w:pStyle w:val="NoSpacing"/>
              <w:jc w:val="center"/>
              <w:rPr>
                <w:lang w:val="en-GB" w:eastAsia="en-US"/>
              </w:rPr>
            </w:pPr>
            <w:r w:rsidRPr="003A2EEA">
              <w:rPr>
                <w:lang w:val="en-GB" w:eastAsia="en-US"/>
              </w:rPr>
              <w:t>50</w:t>
            </w:r>
          </w:p>
        </w:tc>
        <w:tc>
          <w:tcPr>
            <w:tcW w:w="556" w:type="dxa"/>
            <w:tcBorders>
              <w:top w:val="single" w:sz="4" w:space="0" w:color="auto"/>
              <w:bottom w:val="single" w:sz="4" w:space="0" w:color="auto"/>
            </w:tcBorders>
          </w:tcPr>
          <w:p w14:paraId="710F5B8B" w14:textId="77777777" w:rsidR="00D4324E" w:rsidRPr="003A2EEA" w:rsidRDefault="00D4324E" w:rsidP="00663364">
            <w:pPr>
              <w:pStyle w:val="NoSpacing"/>
              <w:jc w:val="center"/>
              <w:rPr>
                <w:lang w:val="en-GB" w:eastAsia="en-US"/>
              </w:rPr>
            </w:pPr>
            <w:r w:rsidRPr="003A2EEA">
              <w:rPr>
                <w:lang w:val="en-GB" w:eastAsia="en-US"/>
              </w:rPr>
              <w:t>75</w:t>
            </w:r>
          </w:p>
        </w:tc>
        <w:tc>
          <w:tcPr>
            <w:tcW w:w="834" w:type="dxa"/>
            <w:vMerge/>
            <w:tcBorders>
              <w:top w:val="single" w:sz="4" w:space="0" w:color="auto"/>
              <w:bottom w:val="single" w:sz="4" w:space="0" w:color="auto"/>
            </w:tcBorders>
          </w:tcPr>
          <w:p w14:paraId="7537E066" w14:textId="77777777" w:rsidR="00D4324E" w:rsidRPr="003A2EEA" w:rsidRDefault="00D4324E" w:rsidP="00663364">
            <w:pPr>
              <w:pStyle w:val="NoSpacing"/>
              <w:jc w:val="center"/>
              <w:rPr>
                <w:lang w:val="en-GB" w:eastAsia="en-US"/>
              </w:rPr>
            </w:pPr>
          </w:p>
        </w:tc>
        <w:tc>
          <w:tcPr>
            <w:tcW w:w="696" w:type="dxa"/>
            <w:vMerge/>
            <w:tcBorders>
              <w:top w:val="single" w:sz="4" w:space="0" w:color="auto"/>
              <w:bottom w:val="single" w:sz="4" w:space="0" w:color="auto"/>
            </w:tcBorders>
          </w:tcPr>
          <w:p w14:paraId="7BA8A176" w14:textId="77777777" w:rsidR="00D4324E" w:rsidRPr="003A2EEA" w:rsidRDefault="00D4324E" w:rsidP="00663364">
            <w:pPr>
              <w:pStyle w:val="NoSpacing"/>
              <w:jc w:val="center"/>
              <w:rPr>
                <w:lang w:val="en-GB" w:eastAsia="en-US"/>
              </w:rPr>
            </w:pPr>
          </w:p>
        </w:tc>
      </w:tr>
      <w:tr w:rsidR="00D4324E" w:rsidRPr="003A2EEA" w14:paraId="6F6FAB2E" w14:textId="77777777" w:rsidTr="00760CDA">
        <w:trPr>
          <w:trHeight w:val="412"/>
        </w:trPr>
        <w:tc>
          <w:tcPr>
            <w:tcW w:w="4001" w:type="dxa"/>
            <w:tcBorders>
              <w:top w:val="single" w:sz="4" w:space="0" w:color="auto"/>
              <w:bottom w:val="nil"/>
            </w:tcBorders>
          </w:tcPr>
          <w:p w14:paraId="37DD0703" w14:textId="0CFC9E4F" w:rsidR="00D4324E" w:rsidRPr="003A2EEA" w:rsidRDefault="00D4324E" w:rsidP="009D1402">
            <w:pPr>
              <w:pStyle w:val="NoSpacing"/>
              <w:rPr>
                <w:lang w:val="en-GB" w:eastAsia="en-US"/>
              </w:rPr>
            </w:pPr>
            <w:r w:rsidRPr="003A2EEA">
              <w:rPr>
                <w:lang w:val="en-GB" w:eastAsia="en-US"/>
              </w:rPr>
              <w:t>There is sufficient organi</w:t>
            </w:r>
            <w:r w:rsidR="00663364">
              <w:rPr>
                <w:lang w:val="en-GB" w:eastAsia="en-US"/>
              </w:rPr>
              <w:t>z</w:t>
            </w:r>
            <w:r w:rsidRPr="003A2EEA">
              <w:rPr>
                <w:lang w:val="en-GB" w:eastAsia="en-US"/>
              </w:rPr>
              <w:t>ational support for the technology transfer program</w:t>
            </w:r>
          </w:p>
        </w:tc>
        <w:tc>
          <w:tcPr>
            <w:tcW w:w="1113" w:type="dxa"/>
            <w:tcBorders>
              <w:top w:val="single" w:sz="4" w:space="0" w:color="auto"/>
              <w:bottom w:val="nil"/>
            </w:tcBorders>
          </w:tcPr>
          <w:p w14:paraId="3562CE90"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Borders>
              <w:top w:val="single" w:sz="4" w:space="0" w:color="auto"/>
              <w:bottom w:val="nil"/>
            </w:tcBorders>
          </w:tcPr>
          <w:p w14:paraId="2A9B474D"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Borders>
              <w:top w:val="single" w:sz="4" w:space="0" w:color="auto"/>
              <w:bottom w:val="nil"/>
            </w:tcBorders>
          </w:tcPr>
          <w:p w14:paraId="220B1869"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Borders>
              <w:top w:val="single" w:sz="4" w:space="0" w:color="auto"/>
              <w:bottom w:val="nil"/>
            </w:tcBorders>
          </w:tcPr>
          <w:p w14:paraId="1EB439E8"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Borders>
              <w:top w:val="single" w:sz="4" w:space="0" w:color="auto"/>
              <w:bottom w:val="nil"/>
            </w:tcBorders>
          </w:tcPr>
          <w:p w14:paraId="031E30E2" w14:textId="77777777" w:rsidR="00D4324E" w:rsidRPr="003A2EEA" w:rsidRDefault="00D4324E" w:rsidP="00663364">
            <w:pPr>
              <w:pStyle w:val="NoSpacing"/>
              <w:jc w:val="center"/>
              <w:rPr>
                <w:lang w:val="en-GB" w:eastAsia="en-US"/>
              </w:rPr>
            </w:pPr>
            <w:r w:rsidRPr="003A2EEA">
              <w:rPr>
                <w:lang w:val="en-GB" w:eastAsia="en-US"/>
              </w:rPr>
              <w:t>3.60</w:t>
            </w:r>
          </w:p>
        </w:tc>
        <w:tc>
          <w:tcPr>
            <w:tcW w:w="696" w:type="dxa"/>
            <w:tcBorders>
              <w:top w:val="single" w:sz="4" w:space="0" w:color="auto"/>
              <w:bottom w:val="nil"/>
            </w:tcBorders>
          </w:tcPr>
          <w:p w14:paraId="3845F909" w14:textId="77777777" w:rsidR="00D4324E" w:rsidRPr="003A2EEA" w:rsidRDefault="00D4324E" w:rsidP="00663364">
            <w:pPr>
              <w:pStyle w:val="NoSpacing"/>
              <w:jc w:val="center"/>
              <w:rPr>
                <w:lang w:val="en-GB" w:eastAsia="en-US"/>
              </w:rPr>
            </w:pPr>
            <w:r w:rsidRPr="003A2EEA">
              <w:rPr>
                <w:lang w:val="en-GB" w:eastAsia="en-US"/>
              </w:rPr>
              <w:t>0.83</w:t>
            </w:r>
          </w:p>
        </w:tc>
      </w:tr>
      <w:tr w:rsidR="00D4324E" w:rsidRPr="003A2EEA" w14:paraId="6FB0AB51" w14:textId="77777777" w:rsidTr="00760CDA">
        <w:trPr>
          <w:trHeight w:val="477"/>
        </w:trPr>
        <w:tc>
          <w:tcPr>
            <w:tcW w:w="4001" w:type="dxa"/>
            <w:tcBorders>
              <w:top w:val="nil"/>
            </w:tcBorders>
          </w:tcPr>
          <w:p w14:paraId="2A06FD8C" w14:textId="77777777" w:rsidR="00D4324E" w:rsidRPr="003A2EEA" w:rsidRDefault="00D4324E" w:rsidP="009D1402">
            <w:pPr>
              <w:pStyle w:val="NoSpacing"/>
              <w:rPr>
                <w:lang w:val="en-GB" w:eastAsia="en-US"/>
              </w:rPr>
            </w:pPr>
            <w:r w:rsidRPr="003A2EEA">
              <w:rPr>
                <w:lang w:val="en-GB" w:eastAsia="en-US"/>
              </w:rPr>
              <w:t xml:space="preserve">Top management accommodates the process of technology development </w:t>
            </w:r>
          </w:p>
        </w:tc>
        <w:tc>
          <w:tcPr>
            <w:tcW w:w="1113" w:type="dxa"/>
            <w:tcBorders>
              <w:top w:val="nil"/>
            </w:tcBorders>
          </w:tcPr>
          <w:p w14:paraId="6939A4D2"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Borders>
              <w:top w:val="nil"/>
            </w:tcBorders>
          </w:tcPr>
          <w:p w14:paraId="6374F8A2"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Borders>
              <w:top w:val="nil"/>
            </w:tcBorders>
          </w:tcPr>
          <w:p w14:paraId="197351B8"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Borders>
              <w:top w:val="nil"/>
            </w:tcBorders>
          </w:tcPr>
          <w:p w14:paraId="7812C4C6"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Borders>
              <w:top w:val="nil"/>
            </w:tcBorders>
          </w:tcPr>
          <w:p w14:paraId="0313E455" w14:textId="77777777" w:rsidR="00D4324E" w:rsidRPr="003A2EEA" w:rsidRDefault="00D4324E" w:rsidP="00663364">
            <w:pPr>
              <w:pStyle w:val="NoSpacing"/>
              <w:jc w:val="center"/>
              <w:rPr>
                <w:lang w:val="en-GB" w:eastAsia="en-US"/>
              </w:rPr>
            </w:pPr>
            <w:r w:rsidRPr="003A2EEA">
              <w:rPr>
                <w:lang w:val="en-GB" w:eastAsia="en-US"/>
              </w:rPr>
              <w:t>3.61</w:t>
            </w:r>
          </w:p>
        </w:tc>
        <w:tc>
          <w:tcPr>
            <w:tcW w:w="696" w:type="dxa"/>
            <w:tcBorders>
              <w:top w:val="nil"/>
            </w:tcBorders>
          </w:tcPr>
          <w:p w14:paraId="2D2B42DC" w14:textId="77777777" w:rsidR="00D4324E" w:rsidRPr="003A2EEA" w:rsidRDefault="00D4324E" w:rsidP="00663364">
            <w:pPr>
              <w:pStyle w:val="NoSpacing"/>
              <w:jc w:val="center"/>
              <w:rPr>
                <w:lang w:val="en-GB" w:eastAsia="en-US"/>
              </w:rPr>
            </w:pPr>
            <w:r w:rsidRPr="003A2EEA">
              <w:rPr>
                <w:lang w:val="en-GB" w:eastAsia="en-US"/>
              </w:rPr>
              <w:t>0.83</w:t>
            </w:r>
          </w:p>
        </w:tc>
      </w:tr>
      <w:tr w:rsidR="00D4324E" w:rsidRPr="003A2EEA" w14:paraId="1A9E22FF" w14:textId="77777777" w:rsidTr="00760CDA">
        <w:trPr>
          <w:trHeight w:val="428"/>
        </w:trPr>
        <w:tc>
          <w:tcPr>
            <w:tcW w:w="4001" w:type="dxa"/>
          </w:tcPr>
          <w:p w14:paraId="67A93883" w14:textId="77777777" w:rsidR="00D4324E" w:rsidRPr="003A2EEA" w:rsidRDefault="00D4324E" w:rsidP="009D1402">
            <w:pPr>
              <w:pStyle w:val="NoSpacing"/>
              <w:rPr>
                <w:lang w:val="en-GB" w:eastAsia="en-US"/>
              </w:rPr>
            </w:pPr>
            <w:r w:rsidRPr="003A2EEA">
              <w:rPr>
                <w:lang w:val="en-GB" w:eastAsia="en-US"/>
              </w:rPr>
              <w:t>Technological development is a part of management policy</w:t>
            </w:r>
          </w:p>
        </w:tc>
        <w:tc>
          <w:tcPr>
            <w:tcW w:w="1113" w:type="dxa"/>
          </w:tcPr>
          <w:p w14:paraId="61E9DD9E"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Pr>
          <w:p w14:paraId="63E7E30B"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Pr>
          <w:p w14:paraId="51FE055F"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Pr>
          <w:p w14:paraId="1920E854"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Pr>
          <w:p w14:paraId="1E7D97B0" w14:textId="77777777" w:rsidR="00D4324E" w:rsidRPr="003A2EEA" w:rsidRDefault="00D4324E" w:rsidP="00663364">
            <w:pPr>
              <w:pStyle w:val="NoSpacing"/>
              <w:jc w:val="center"/>
              <w:rPr>
                <w:lang w:val="en-GB" w:eastAsia="en-US"/>
              </w:rPr>
            </w:pPr>
            <w:r w:rsidRPr="003A2EEA">
              <w:rPr>
                <w:lang w:val="en-GB" w:eastAsia="en-US"/>
              </w:rPr>
              <w:t>3.74</w:t>
            </w:r>
          </w:p>
        </w:tc>
        <w:tc>
          <w:tcPr>
            <w:tcW w:w="696" w:type="dxa"/>
          </w:tcPr>
          <w:p w14:paraId="5331051E" w14:textId="77777777" w:rsidR="00D4324E" w:rsidRPr="003A2EEA" w:rsidRDefault="00D4324E" w:rsidP="00663364">
            <w:pPr>
              <w:pStyle w:val="NoSpacing"/>
              <w:jc w:val="center"/>
              <w:rPr>
                <w:lang w:val="en-GB" w:eastAsia="en-US"/>
              </w:rPr>
            </w:pPr>
            <w:r w:rsidRPr="003A2EEA">
              <w:rPr>
                <w:lang w:val="en-GB" w:eastAsia="en-US"/>
              </w:rPr>
              <w:t>0.87</w:t>
            </w:r>
          </w:p>
        </w:tc>
      </w:tr>
      <w:tr w:rsidR="00D4324E" w:rsidRPr="003A2EEA" w14:paraId="73C6B27B" w14:textId="77777777" w:rsidTr="00760CDA">
        <w:trPr>
          <w:trHeight w:val="414"/>
        </w:trPr>
        <w:tc>
          <w:tcPr>
            <w:tcW w:w="4001" w:type="dxa"/>
          </w:tcPr>
          <w:p w14:paraId="3FB154F9" w14:textId="77777777" w:rsidR="00D4324E" w:rsidRPr="003A2EEA" w:rsidRDefault="00D4324E" w:rsidP="009D1402">
            <w:pPr>
              <w:pStyle w:val="NoSpacing"/>
              <w:rPr>
                <w:lang w:val="en-GB" w:eastAsia="en-US"/>
              </w:rPr>
            </w:pPr>
            <w:r w:rsidRPr="003A2EEA">
              <w:rPr>
                <w:lang w:val="en-GB" w:eastAsia="en-US"/>
              </w:rPr>
              <w:t xml:space="preserve">There is a strong willingness </w:t>
            </w:r>
            <w:proofErr w:type="gramStart"/>
            <w:r w:rsidRPr="003A2EEA">
              <w:rPr>
                <w:lang w:val="en-GB" w:eastAsia="en-US"/>
              </w:rPr>
              <w:t>on  continuing</w:t>
            </w:r>
            <w:proofErr w:type="gramEnd"/>
            <w:r w:rsidRPr="003A2EEA">
              <w:rPr>
                <w:lang w:val="en-GB" w:eastAsia="en-US"/>
              </w:rPr>
              <w:t xml:space="preserve"> technology uptake </w:t>
            </w:r>
          </w:p>
        </w:tc>
        <w:tc>
          <w:tcPr>
            <w:tcW w:w="1113" w:type="dxa"/>
          </w:tcPr>
          <w:p w14:paraId="1115A11D"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Pr>
          <w:p w14:paraId="05D2820C" w14:textId="77777777" w:rsidR="00D4324E" w:rsidRPr="003A2EEA" w:rsidRDefault="00D4324E" w:rsidP="00663364">
            <w:pPr>
              <w:pStyle w:val="NoSpacing"/>
              <w:jc w:val="center"/>
              <w:rPr>
                <w:lang w:val="en-GB" w:eastAsia="en-US"/>
              </w:rPr>
            </w:pPr>
            <w:r w:rsidRPr="003A2EEA">
              <w:rPr>
                <w:lang w:val="en-GB" w:eastAsia="en-US"/>
              </w:rPr>
              <w:t>4</w:t>
            </w:r>
          </w:p>
        </w:tc>
        <w:tc>
          <w:tcPr>
            <w:tcW w:w="696" w:type="dxa"/>
          </w:tcPr>
          <w:p w14:paraId="77D3B5C9"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Pr>
          <w:p w14:paraId="0FF1DF67"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Pr>
          <w:p w14:paraId="4D141DCD" w14:textId="77777777" w:rsidR="00D4324E" w:rsidRPr="003A2EEA" w:rsidRDefault="00D4324E" w:rsidP="00663364">
            <w:pPr>
              <w:pStyle w:val="NoSpacing"/>
              <w:jc w:val="center"/>
              <w:rPr>
                <w:lang w:val="en-GB" w:eastAsia="en-US"/>
              </w:rPr>
            </w:pPr>
            <w:r w:rsidRPr="003A2EEA">
              <w:rPr>
                <w:lang w:val="en-GB" w:eastAsia="en-US"/>
              </w:rPr>
              <w:t>3.90</w:t>
            </w:r>
          </w:p>
        </w:tc>
        <w:tc>
          <w:tcPr>
            <w:tcW w:w="696" w:type="dxa"/>
          </w:tcPr>
          <w:p w14:paraId="17C821D5" w14:textId="77777777" w:rsidR="00D4324E" w:rsidRPr="003A2EEA" w:rsidRDefault="00D4324E" w:rsidP="00663364">
            <w:pPr>
              <w:pStyle w:val="NoSpacing"/>
              <w:jc w:val="center"/>
              <w:rPr>
                <w:lang w:val="en-GB" w:eastAsia="en-US"/>
              </w:rPr>
            </w:pPr>
            <w:r w:rsidRPr="003A2EEA">
              <w:rPr>
                <w:lang w:val="en-GB" w:eastAsia="en-US"/>
              </w:rPr>
              <w:t>0.78</w:t>
            </w:r>
          </w:p>
        </w:tc>
      </w:tr>
      <w:tr w:rsidR="00D4324E" w:rsidRPr="003A2EEA" w14:paraId="432DA819" w14:textId="77777777" w:rsidTr="00760CDA">
        <w:trPr>
          <w:trHeight w:val="420"/>
        </w:trPr>
        <w:tc>
          <w:tcPr>
            <w:tcW w:w="4001" w:type="dxa"/>
          </w:tcPr>
          <w:p w14:paraId="28BA0B2D" w14:textId="5251F0A0" w:rsidR="00D4324E" w:rsidRPr="003A2EEA" w:rsidRDefault="00D4324E" w:rsidP="009D1402">
            <w:pPr>
              <w:pStyle w:val="NoSpacing"/>
              <w:rPr>
                <w:lang w:val="en-GB" w:eastAsia="en-US"/>
              </w:rPr>
            </w:pPr>
            <w:r w:rsidRPr="003A2EEA">
              <w:rPr>
                <w:lang w:val="en-GB" w:eastAsia="en-US"/>
              </w:rPr>
              <w:t>There is an obvious policy on evaluating technology development programs</w:t>
            </w:r>
          </w:p>
        </w:tc>
        <w:tc>
          <w:tcPr>
            <w:tcW w:w="1113" w:type="dxa"/>
          </w:tcPr>
          <w:p w14:paraId="044B85CF"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Pr>
          <w:p w14:paraId="6058FC1C"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Pr>
          <w:p w14:paraId="50CCBAED"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Pr>
          <w:p w14:paraId="592C007F"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Pr>
          <w:p w14:paraId="081BDF48" w14:textId="77777777" w:rsidR="00D4324E" w:rsidRPr="003A2EEA" w:rsidRDefault="00D4324E" w:rsidP="00663364">
            <w:pPr>
              <w:pStyle w:val="NoSpacing"/>
              <w:jc w:val="center"/>
              <w:rPr>
                <w:lang w:val="en-GB" w:eastAsia="en-US"/>
              </w:rPr>
            </w:pPr>
            <w:r w:rsidRPr="003A2EEA">
              <w:rPr>
                <w:lang w:val="en-GB" w:eastAsia="en-US"/>
              </w:rPr>
              <w:t>3.47</w:t>
            </w:r>
          </w:p>
        </w:tc>
        <w:tc>
          <w:tcPr>
            <w:tcW w:w="696" w:type="dxa"/>
          </w:tcPr>
          <w:p w14:paraId="30518A26" w14:textId="77777777" w:rsidR="00D4324E" w:rsidRPr="003A2EEA" w:rsidRDefault="00D4324E" w:rsidP="00663364">
            <w:pPr>
              <w:pStyle w:val="NoSpacing"/>
              <w:jc w:val="center"/>
              <w:rPr>
                <w:lang w:val="en-GB" w:eastAsia="en-US"/>
              </w:rPr>
            </w:pPr>
            <w:r w:rsidRPr="003A2EEA">
              <w:rPr>
                <w:lang w:val="en-GB" w:eastAsia="en-US"/>
              </w:rPr>
              <w:t>0.95</w:t>
            </w:r>
          </w:p>
        </w:tc>
      </w:tr>
    </w:tbl>
    <w:p w14:paraId="4996AE2F" w14:textId="77777777" w:rsidR="00D4324E" w:rsidRPr="003A2EEA" w:rsidRDefault="00D4324E" w:rsidP="009D1402">
      <w:pPr>
        <w:spacing w:before="80" w:after="0" w:line="240" w:lineRule="auto"/>
        <w:rPr>
          <w:rFonts w:eastAsia="Times New Roman"/>
          <w:b/>
          <w:lang w:val="en-GB" w:eastAsia="en-US"/>
        </w:rPr>
      </w:pPr>
      <w:r w:rsidRPr="003A2EEA">
        <w:rPr>
          <w:rFonts w:eastAsia="Times New Roman"/>
          <w:lang w:val="en-GB" w:eastAsia="en-US"/>
        </w:rPr>
        <w:t>Scale: 1 = Strongly disagree; 2 = Disagree; 3 = Neutral; 4 = Agree; 5 = Strongly agree</w:t>
      </w:r>
    </w:p>
    <w:p w14:paraId="34A51884" w14:textId="77777777" w:rsidR="00D4324E" w:rsidRPr="003A2EEA" w:rsidRDefault="00D4324E" w:rsidP="009D1402">
      <w:pPr>
        <w:spacing w:after="0" w:line="240" w:lineRule="auto"/>
        <w:jc w:val="center"/>
        <w:rPr>
          <w:rFonts w:eastAsia="Times New Roman"/>
          <w:b/>
          <w:lang w:val="en-GB" w:eastAsia="en-US"/>
        </w:rPr>
      </w:pPr>
    </w:p>
    <w:p w14:paraId="1A264F4C" w14:textId="77777777" w:rsidR="00070480" w:rsidRPr="003A2EEA" w:rsidRDefault="00070480" w:rsidP="009D1402">
      <w:pPr>
        <w:pStyle w:val="NoSpacing"/>
        <w:jc w:val="both"/>
        <w:rPr>
          <w:i/>
          <w:lang w:val="en-US" w:eastAsia="en-US"/>
        </w:rPr>
      </w:pPr>
      <w:r w:rsidRPr="003A2EEA">
        <w:rPr>
          <w:i/>
          <w:lang w:val="en-US" w:eastAsia="en-US"/>
        </w:rPr>
        <w:t>Significance of correlation between variables</w:t>
      </w:r>
    </w:p>
    <w:p w14:paraId="38677E2F" w14:textId="366D59D5" w:rsidR="00070480" w:rsidRPr="003A2EEA" w:rsidRDefault="00070480" w:rsidP="009D1402">
      <w:pPr>
        <w:pStyle w:val="NoSpacing"/>
        <w:jc w:val="both"/>
        <w:rPr>
          <w:lang w:val="en-US" w:eastAsia="en-US"/>
        </w:rPr>
      </w:pPr>
      <w:r w:rsidRPr="003A2EEA">
        <w:rPr>
          <w:rFonts w:eastAsia="Times New Roman"/>
          <w:lang w:val="en-GB" w:eastAsia="en-US"/>
        </w:rPr>
        <w:t>The strength of the correlation between variables is presented by the t value. The target of the t value i</w:t>
      </w:r>
      <w:r w:rsidR="00B9200A">
        <w:rPr>
          <w:rFonts w:eastAsia="Times New Roman"/>
          <w:lang w:val="en-GB" w:eastAsia="en-US"/>
        </w:rPr>
        <w:t>s ≥|1.96| [30</w:t>
      </w:r>
      <w:r w:rsidR="00DC6CBC">
        <w:rPr>
          <w:rFonts w:eastAsia="Times New Roman"/>
          <w:lang w:val="en-GB" w:eastAsia="en-US"/>
        </w:rPr>
        <w:t>]</w:t>
      </w:r>
      <w:r w:rsidRPr="003A2EEA">
        <w:rPr>
          <w:rFonts w:eastAsia="Times New Roman"/>
          <w:lang w:val="en-GB" w:eastAsia="en-US"/>
        </w:rPr>
        <w:t>; that is, a t value ≥|1.96| shows a significant impact.</w:t>
      </w:r>
    </w:p>
    <w:p w14:paraId="0A7F5F76" w14:textId="2BD094DB" w:rsidR="00D4324E" w:rsidRPr="003A2EEA" w:rsidRDefault="00070480" w:rsidP="00663364">
      <w:pPr>
        <w:pStyle w:val="NoSpacing"/>
        <w:ind w:firstLine="284"/>
        <w:jc w:val="both"/>
        <w:rPr>
          <w:noProof/>
          <w:lang w:val="en-US" w:eastAsia="en-US"/>
        </w:rPr>
      </w:pPr>
      <w:r w:rsidRPr="003A2EEA">
        <w:rPr>
          <w:rFonts w:eastAsia="Times New Roman"/>
          <w:lang w:val="en-US" w:eastAsia="en-US"/>
        </w:rPr>
        <w:t>The result of the t-values test of relationships between independent variable of profitability on the technology uptake program is 6.84</w:t>
      </w:r>
      <w:r w:rsidR="00D211EC">
        <w:rPr>
          <w:rFonts w:eastAsia="Times New Roman"/>
          <w:lang w:val="en-US" w:eastAsia="en-US"/>
        </w:rPr>
        <w:t>.</w:t>
      </w:r>
      <w:r w:rsidRPr="003A2EEA">
        <w:rPr>
          <w:rFonts w:eastAsia="Times New Roman"/>
          <w:lang w:val="en-US" w:eastAsia="en-US"/>
        </w:rPr>
        <w:t xml:space="preserve"> </w:t>
      </w:r>
      <w:r w:rsidR="00D211EC">
        <w:rPr>
          <w:rFonts w:eastAsia="Times New Roman"/>
          <w:lang w:val="en-GB" w:eastAsia="en-US"/>
        </w:rPr>
        <w:t>The result</w:t>
      </w:r>
      <w:r w:rsidRPr="003A2EEA">
        <w:rPr>
          <w:rFonts w:eastAsia="Times New Roman"/>
          <w:lang w:val="en-GB" w:eastAsia="en-US"/>
        </w:rPr>
        <w:t xml:space="preserve"> show</w:t>
      </w:r>
      <w:r w:rsidR="00D211EC">
        <w:rPr>
          <w:rFonts w:eastAsia="Times New Roman"/>
          <w:lang w:val="en-GB" w:eastAsia="en-US"/>
        </w:rPr>
        <w:t>s</w:t>
      </w:r>
      <w:r w:rsidRPr="003A2EEA">
        <w:rPr>
          <w:rFonts w:eastAsia="Times New Roman"/>
          <w:lang w:val="en-GB" w:eastAsia="en-US"/>
        </w:rPr>
        <w:t xml:space="preserve"> that profitability has a significant impact on the uptake of technology programs. This finding is empirically consistent with previous </w:t>
      </w:r>
      <w:r w:rsidR="00B9200A" w:rsidRPr="003A2EEA">
        <w:rPr>
          <w:rFonts w:eastAsia="Times New Roman"/>
          <w:lang w:val="en-GB" w:eastAsia="en-US"/>
        </w:rPr>
        <w:t>research, which</w:t>
      </w:r>
      <w:r w:rsidRPr="003A2EEA">
        <w:rPr>
          <w:rFonts w:eastAsia="Times New Roman"/>
          <w:lang w:val="en-GB" w:eastAsia="en-US"/>
        </w:rPr>
        <w:t xml:space="preserve"> claims the potential for realising more profit is the ultimate reason transferees desire to receive new technolo</w:t>
      </w:r>
      <w:r w:rsidR="0067295F">
        <w:rPr>
          <w:rFonts w:eastAsia="Times New Roman"/>
          <w:lang w:val="en-GB" w:eastAsia="en-US"/>
        </w:rPr>
        <w:t>gy through technology trans</w:t>
      </w:r>
      <w:r w:rsidR="00DC6CBC">
        <w:rPr>
          <w:rFonts w:eastAsia="Times New Roman"/>
          <w:lang w:val="en-GB" w:eastAsia="en-US"/>
        </w:rPr>
        <w:t>fer program [</w:t>
      </w:r>
      <w:r w:rsidR="00B9200A">
        <w:rPr>
          <w:rFonts w:eastAsia="Times New Roman"/>
          <w:lang w:val="en-GB" w:eastAsia="en-US"/>
        </w:rPr>
        <w:t>10</w:t>
      </w:r>
      <w:r w:rsidR="0067295F">
        <w:rPr>
          <w:rFonts w:eastAsia="Times New Roman"/>
          <w:lang w:val="en-GB" w:eastAsia="en-US"/>
        </w:rPr>
        <w:t>]</w:t>
      </w:r>
      <w:r w:rsidRPr="003A2EEA">
        <w:rPr>
          <w:rFonts w:eastAsia="Times New Roman"/>
          <w:lang w:val="en-GB" w:eastAsia="en-US"/>
        </w:rPr>
        <w:t>. This finding also supports the argument that when SMEs have applied a new technology that successfully supports their goal in achieving more profit, they will likely ask the transferor to transfer more technology to keep increasing the gains.</w:t>
      </w:r>
      <w:r w:rsidR="00116318" w:rsidRPr="003A2EEA">
        <w:rPr>
          <w:rFonts w:eastAsia="Times New Roman"/>
          <w:lang w:val="en-GB" w:eastAsia="en-US"/>
        </w:rPr>
        <w:t xml:space="preserve"> </w:t>
      </w:r>
    </w:p>
    <w:p w14:paraId="5D90F9D8" w14:textId="77777777" w:rsidR="00CD03B3" w:rsidRPr="003A2EEA" w:rsidRDefault="00CD03B3" w:rsidP="009D1402">
      <w:pPr>
        <w:spacing w:after="0" w:line="240" w:lineRule="auto"/>
        <w:jc w:val="both"/>
        <w:rPr>
          <w:rFonts w:eastAsia="Times New Roman"/>
          <w:lang w:val="en-GB" w:eastAsia="en-US"/>
        </w:rPr>
      </w:pPr>
    </w:p>
    <w:p w14:paraId="1DCDB840" w14:textId="78222E7D" w:rsidR="00CD03B3" w:rsidRPr="003A2EEA" w:rsidRDefault="00CD03B3" w:rsidP="009D1402">
      <w:pPr>
        <w:spacing w:after="0" w:line="240" w:lineRule="auto"/>
        <w:jc w:val="both"/>
        <w:rPr>
          <w:rFonts w:eastAsia="Times New Roman"/>
          <w:b/>
          <w:lang w:val="en-GB" w:eastAsia="en-US"/>
        </w:rPr>
      </w:pPr>
      <w:r w:rsidRPr="003A2EEA">
        <w:rPr>
          <w:rFonts w:eastAsia="Times New Roman"/>
          <w:b/>
          <w:lang w:val="en-GB" w:eastAsia="en-US"/>
        </w:rPr>
        <w:t>5. Conclusion</w:t>
      </w:r>
    </w:p>
    <w:p w14:paraId="0FBCF9DC" w14:textId="361DE688" w:rsidR="00C34EA1" w:rsidRDefault="00C34EA1" w:rsidP="00A81403">
      <w:pPr>
        <w:spacing w:after="0" w:line="240" w:lineRule="auto"/>
        <w:jc w:val="both"/>
        <w:rPr>
          <w:rFonts w:eastAsia="Times New Roman"/>
          <w:lang w:val="en-GB" w:eastAsia="en-US"/>
        </w:rPr>
      </w:pPr>
      <w:r w:rsidRPr="003A2EEA">
        <w:rPr>
          <w:rFonts w:eastAsia="Times New Roman"/>
          <w:lang w:val="en-GB" w:eastAsia="en-US"/>
        </w:rPr>
        <w:t xml:space="preserve">It is a contention of this study that the reason transferors and transferee organisations </w:t>
      </w:r>
      <w:r w:rsidR="00CD03B3" w:rsidRPr="003A2EEA">
        <w:rPr>
          <w:rFonts w:eastAsia="Times New Roman"/>
          <w:lang w:val="en-GB" w:eastAsia="en-US"/>
        </w:rPr>
        <w:t xml:space="preserve">possible to </w:t>
      </w:r>
      <w:r w:rsidRPr="003A2EEA">
        <w:rPr>
          <w:rFonts w:eastAsia="Times New Roman"/>
          <w:lang w:val="en-GB" w:eastAsia="en-US"/>
        </w:rPr>
        <w:t xml:space="preserve">fail is because there are fundamental flaws with the implementation of the technology transfer program </w:t>
      </w:r>
      <w:r w:rsidRPr="003A2EEA" w:rsidDel="004D17DB">
        <w:rPr>
          <w:rFonts w:eastAsia="Times New Roman"/>
          <w:lang w:val="en-GB" w:eastAsia="en-US"/>
        </w:rPr>
        <w:t>owing</w:t>
      </w:r>
      <w:r w:rsidRPr="003A2EEA">
        <w:rPr>
          <w:rFonts w:eastAsia="Times New Roman"/>
          <w:lang w:val="en-GB" w:eastAsia="en-US"/>
        </w:rPr>
        <w:t xml:space="preserve"> to the lack of understanding of the critical factors. </w:t>
      </w:r>
      <w:r w:rsidR="00CD03B3" w:rsidRPr="003A2EEA">
        <w:rPr>
          <w:rFonts w:eastAsia="Times New Roman"/>
          <w:lang w:val="en-GB" w:eastAsia="en-US"/>
        </w:rPr>
        <w:t>In this research is that the fundamental factor is a motive. And the motive is profit.</w:t>
      </w:r>
      <w:r w:rsidR="00527E6F">
        <w:rPr>
          <w:rFonts w:eastAsia="Times New Roman"/>
          <w:lang w:val="en-GB" w:eastAsia="en-US"/>
        </w:rPr>
        <w:t xml:space="preserve"> </w:t>
      </w:r>
      <w:r w:rsidRPr="003A2EEA">
        <w:rPr>
          <w:rFonts w:eastAsia="Times New Roman"/>
          <w:lang w:val="en-GB" w:eastAsia="en-US"/>
        </w:rPr>
        <w:t>The profitable technology received through the technology transfer program must be continuously developed to create better organisational technology capability.</w:t>
      </w:r>
      <w:r w:rsidR="00B9200A">
        <w:rPr>
          <w:rFonts w:eastAsia="Times New Roman"/>
          <w:lang w:val="en-GB" w:eastAsia="en-US"/>
        </w:rPr>
        <w:t xml:space="preserve"> </w:t>
      </w:r>
      <w:r w:rsidR="00B9200A" w:rsidRPr="003A2EEA">
        <w:rPr>
          <w:lang w:val="en-GB" w:eastAsia="en-US"/>
        </w:rPr>
        <w:t>This research shows that profit is the fundamental reason why the transferee agrees to participate in technology transfer program</w:t>
      </w:r>
      <w:r w:rsidR="00B9200A">
        <w:rPr>
          <w:rFonts w:eastAsia="Times New Roman"/>
          <w:lang w:val="en-GB" w:eastAsia="en-US"/>
        </w:rPr>
        <w:t xml:space="preserve">. </w:t>
      </w:r>
      <w:r w:rsidR="00B9200A" w:rsidRPr="003A2EEA">
        <w:rPr>
          <w:rFonts w:eastAsia="Times New Roman"/>
          <w:lang w:val="en-GB" w:eastAsia="en-US"/>
        </w:rPr>
        <w:t>This consistent with previous research which claims the potential for realising more profit is the ultimate reason transferees desire to receive new technolo</w:t>
      </w:r>
      <w:r w:rsidR="00B9200A">
        <w:rPr>
          <w:rFonts w:eastAsia="Times New Roman"/>
          <w:lang w:val="en-GB" w:eastAsia="en-US"/>
        </w:rPr>
        <w:t xml:space="preserve">gy through technology transfer program [10]. </w:t>
      </w:r>
      <w:r w:rsidRPr="003A2EEA">
        <w:rPr>
          <w:rFonts w:eastAsia="Times New Roman"/>
          <w:lang w:val="en-GB" w:eastAsia="en-US"/>
        </w:rPr>
        <w:t>This is also valuable for the transferor organisation to use as technology transfer effectiveness criteria with regard to transferor technology transfer programs</w:t>
      </w:r>
      <w:r w:rsidR="00B5524D" w:rsidRPr="003A2EEA">
        <w:rPr>
          <w:rFonts w:eastAsia="Times New Roman"/>
          <w:lang w:val="en-GB" w:eastAsia="en-US"/>
        </w:rPr>
        <w:t xml:space="preserve"> by knowing the motive of the transferee</w:t>
      </w:r>
      <w:r w:rsidRPr="003A2EEA">
        <w:rPr>
          <w:rFonts w:eastAsia="Times New Roman"/>
          <w:lang w:val="en-GB" w:eastAsia="en-US"/>
        </w:rPr>
        <w:t>. Whilst not specifically tested for, it should be clear that organisations must establish a strategy driven by a policy that is committed to continual technology transfer</w:t>
      </w:r>
      <w:r w:rsidR="00B5524D" w:rsidRPr="003A2EEA">
        <w:rPr>
          <w:rFonts w:eastAsia="Times New Roman"/>
          <w:lang w:val="en-GB" w:eastAsia="en-US"/>
        </w:rPr>
        <w:t xml:space="preserve"> based on mutual understanding</w:t>
      </w:r>
      <w:r w:rsidR="00171443">
        <w:rPr>
          <w:rFonts w:eastAsia="Times New Roman"/>
          <w:lang w:val="en-GB" w:eastAsia="en-US"/>
        </w:rPr>
        <w:t>.</w:t>
      </w:r>
    </w:p>
    <w:p w14:paraId="4C6B3F40" w14:textId="77777777" w:rsidR="009F7F31" w:rsidRDefault="009F7F31" w:rsidP="005D06D3">
      <w:pPr>
        <w:tabs>
          <w:tab w:val="left" w:pos="993"/>
        </w:tabs>
        <w:spacing w:after="0" w:line="240" w:lineRule="auto"/>
        <w:jc w:val="both"/>
        <w:rPr>
          <w:rFonts w:eastAsia="Times New Roman"/>
          <w:lang w:val="en-GB" w:eastAsia="en-US"/>
        </w:rPr>
      </w:pPr>
    </w:p>
    <w:p w14:paraId="49665A9C" w14:textId="76AEDCC6" w:rsidR="009F7F31" w:rsidRDefault="009F7F31" w:rsidP="009F7F31">
      <w:pPr>
        <w:spacing w:after="0" w:line="240" w:lineRule="auto"/>
        <w:jc w:val="both"/>
        <w:rPr>
          <w:rFonts w:eastAsia="Times New Roman"/>
          <w:b/>
          <w:lang w:val="en-GB" w:eastAsia="en-US"/>
        </w:rPr>
      </w:pPr>
      <w:r w:rsidRPr="009F7F31">
        <w:rPr>
          <w:rFonts w:eastAsia="Times New Roman"/>
          <w:b/>
          <w:lang w:val="en-GB" w:eastAsia="en-US"/>
        </w:rPr>
        <w:t>References</w:t>
      </w:r>
    </w:p>
    <w:p w14:paraId="1E90B8CF" w14:textId="3CF4B37D" w:rsidR="006A31E9" w:rsidRPr="009D5C84" w:rsidRDefault="006A31E9" w:rsidP="00663364">
      <w:pPr>
        <w:pStyle w:val="NoSpacing"/>
        <w:numPr>
          <w:ilvl w:val="0"/>
          <w:numId w:val="11"/>
        </w:numPr>
        <w:tabs>
          <w:tab w:val="left" w:pos="567"/>
        </w:tabs>
        <w:ind w:left="851" w:hanging="851"/>
        <w:jc w:val="both"/>
        <w:rPr>
          <w:shd w:val="clear" w:color="auto" w:fill="FFFFFF"/>
        </w:rPr>
      </w:pPr>
      <w:r w:rsidRPr="009D5C84">
        <w:rPr>
          <w:shd w:val="clear" w:color="auto" w:fill="FFFFFF"/>
        </w:rPr>
        <w:t xml:space="preserve">Sandee, H., and Piet Rietveld, 2001; upgrading traditional technologies in small-scale industry clusters: Collaboration and innovation adoption in Indonesia. </w:t>
      </w:r>
      <w:r w:rsidRPr="009D5C84">
        <w:rPr>
          <w:i/>
          <w:shd w:val="clear" w:color="auto" w:fill="FFFFFF"/>
        </w:rPr>
        <w:t>The Journal of Development Studies</w:t>
      </w:r>
      <w:r w:rsidRPr="009D5C84">
        <w:rPr>
          <w:shd w:val="clear" w:color="auto" w:fill="FFFFFF"/>
        </w:rPr>
        <w:t xml:space="preserve">. London: Apr 2001. Vol. 37, </w:t>
      </w:r>
      <w:proofErr w:type="spellStart"/>
      <w:r w:rsidRPr="009D5C84">
        <w:rPr>
          <w:shd w:val="clear" w:color="auto" w:fill="FFFFFF"/>
        </w:rPr>
        <w:t>Iss</w:t>
      </w:r>
      <w:proofErr w:type="spellEnd"/>
      <w:r w:rsidRPr="009D5C84">
        <w:rPr>
          <w:shd w:val="clear" w:color="auto" w:fill="FFFFFF"/>
        </w:rPr>
        <w:t>. 4; p.150.</w:t>
      </w:r>
    </w:p>
    <w:p w14:paraId="48B4483B" w14:textId="4743CA96" w:rsidR="006A31E9" w:rsidRPr="009D5C84" w:rsidRDefault="006A31E9" w:rsidP="00663364">
      <w:pPr>
        <w:pStyle w:val="NoSpacing"/>
        <w:numPr>
          <w:ilvl w:val="0"/>
          <w:numId w:val="11"/>
        </w:numPr>
        <w:tabs>
          <w:tab w:val="left" w:pos="567"/>
        </w:tabs>
        <w:ind w:left="851" w:hanging="851"/>
        <w:jc w:val="both"/>
        <w:rPr>
          <w:shd w:val="clear" w:color="auto" w:fill="FFFFFF"/>
        </w:rPr>
      </w:pPr>
      <w:proofErr w:type="spellStart"/>
      <w:r w:rsidRPr="009D5C84">
        <w:rPr>
          <w:bCs/>
          <w:lang w:val="en-US"/>
        </w:rPr>
        <w:t>Handoko</w:t>
      </w:r>
      <w:proofErr w:type="spellEnd"/>
      <w:proofErr w:type="gramStart"/>
      <w:r w:rsidRPr="009D5C84">
        <w:rPr>
          <w:bCs/>
          <w:lang w:val="en-US"/>
        </w:rPr>
        <w:t>,  F</w:t>
      </w:r>
      <w:proofErr w:type="gramEnd"/>
      <w:r w:rsidRPr="009D5C84">
        <w:rPr>
          <w:bCs/>
          <w:lang w:val="en-US"/>
        </w:rPr>
        <w:t xml:space="preserve">,  Alan,  S,  and    </w:t>
      </w:r>
      <w:proofErr w:type="spellStart"/>
      <w:r w:rsidRPr="009D5C84">
        <w:rPr>
          <w:bCs/>
          <w:lang w:val="en-US"/>
        </w:rPr>
        <w:t>Burvill</w:t>
      </w:r>
      <w:proofErr w:type="spellEnd"/>
      <w:r w:rsidRPr="009D5C84">
        <w:rPr>
          <w:bCs/>
          <w:lang w:val="en-US"/>
        </w:rPr>
        <w:t>,  C. (2014) “The  Role  of  Government,  Universities,  and Business  in  Advancing  Technology  for  SMEs’ innovation”. Journal of Chinese Economic and Business Studies. Vol 12, No. 2. pp. 171</w:t>
      </w:r>
    </w:p>
    <w:p w14:paraId="2F7A6EAD" w14:textId="77777777" w:rsidR="00BE3003" w:rsidRPr="009D5C84" w:rsidRDefault="00BE3003" w:rsidP="00663364">
      <w:pPr>
        <w:pStyle w:val="NoSpacing"/>
        <w:numPr>
          <w:ilvl w:val="0"/>
          <w:numId w:val="11"/>
        </w:numPr>
        <w:tabs>
          <w:tab w:val="left" w:pos="567"/>
        </w:tabs>
        <w:ind w:left="851" w:hanging="851"/>
        <w:jc w:val="both"/>
        <w:rPr>
          <w:bCs/>
          <w:lang w:val="en-GB"/>
        </w:rPr>
      </w:pPr>
      <w:proofErr w:type="spellStart"/>
      <w:r w:rsidRPr="009D5C84">
        <w:rPr>
          <w:bCs/>
          <w:lang w:val="en-GB"/>
        </w:rPr>
        <w:t>Tambunan</w:t>
      </w:r>
      <w:proofErr w:type="spellEnd"/>
      <w:r w:rsidRPr="009D5C84">
        <w:rPr>
          <w:bCs/>
          <w:lang w:val="en-GB"/>
        </w:rPr>
        <w:t xml:space="preserve">, T., (2011) "Development of small and medium enterprises in a developing country: The Indonesian case", Journal of Enterprising Communities: People and Places in the Global Economy, Vol. 5 </w:t>
      </w:r>
      <w:proofErr w:type="spellStart"/>
      <w:r w:rsidRPr="009D5C84">
        <w:rPr>
          <w:bCs/>
          <w:lang w:val="en-GB"/>
        </w:rPr>
        <w:t>Iss</w:t>
      </w:r>
      <w:proofErr w:type="spellEnd"/>
      <w:r w:rsidRPr="009D5C84">
        <w:rPr>
          <w:bCs/>
          <w:lang w:val="en-GB"/>
        </w:rPr>
        <w:t>: 1, pp.68 – 82.</w:t>
      </w:r>
    </w:p>
    <w:p w14:paraId="7C3BC300" w14:textId="1BB4BEEE" w:rsidR="006521C0" w:rsidRPr="009D5C84" w:rsidRDefault="006521C0" w:rsidP="00663364">
      <w:pPr>
        <w:pStyle w:val="NoSpacing"/>
        <w:numPr>
          <w:ilvl w:val="0"/>
          <w:numId w:val="11"/>
        </w:numPr>
        <w:tabs>
          <w:tab w:val="left" w:pos="567"/>
        </w:tabs>
        <w:ind w:left="851" w:hanging="851"/>
        <w:jc w:val="both"/>
        <w:rPr>
          <w:bCs/>
          <w:lang w:val="en-GB"/>
        </w:rPr>
      </w:pPr>
      <w:r w:rsidRPr="009D5C84">
        <w:rPr>
          <w:bCs/>
          <w:lang w:val="en-US"/>
        </w:rPr>
        <w:t>Marin</w:t>
      </w:r>
      <w:r w:rsidRPr="009D5C84">
        <w:rPr>
          <w:bCs/>
          <w:lang w:val="id-ID"/>
        </w:rPr>
        <w:t>o</w:t>
      </w:r>
      <w:proofErr w:type="gramStart"/>
      <w:r w:rsidRPr="009D5C84">
        <w:rPr>
          <w:bCs/>
          <w:lang w:val="id-ID"/>
        </w:rPr>
        <w:t>,L</w:t>
      </w:r>
      <w:proofErr w:type="gramEnd"/>
      <w:r w:rsidRPr="009D5C84">
        <w:rPr>
          <w:bCs/>
          <w:lang w:val="id-ID"/>
        </w:rPr>
        <w:t>., Strandholm, K</w:t>
      </w:r>
      <w:r w:rsidRPr="009D5C84">
        <w:rPr>
          <w:bCs/>
        </w:rPr>
        <w:t xml:space="preserve">., </w:t>
      </w:r>
      <w:r w:rsidRPr="009D5C84">
        <w:rPr>
          <w:bCs/>
          <w:lang w:val="id-ID"/>
        </w:rPr>
        <w:t>Steensma, H.K</w:t>
      </w:r>
      <w:r w:rsidRPr="009D5C84">
        <w:rPr>
          <w:bCs/>
        </w:rPr>
        <w:t>. and</w:t>
      </w:r>
      <w:r w:rsidRPr="009D5C84">
        <w:rPr>
          <w:bCs/>
          <w:lang w:val="id-ID"/>
        </w:rPr>
        <w:t xml:space="preserve"> Weaver, K.M.,</w:t>
      </w:r>
      <w:r w:rsidRPr="009D5C84">
        <w:rPr>
          <w:bCs/>
          <w:lang w:val="en-US"/>
        </w:rPr>
        <w:t xml:space="preserve"> 2001. Harnessing Complexity: The Moderating Effect of National Culture on the Relationship between Entrepreneurial Orientation and Strategic Alliance Portfolio Complexity. Department of Management and Marketing Tuscaloosa, pp: 1-19.</w:t>
      </w:r>
    </w:p>
    <w:p w14:paraId="3E04FD66" w14:textId="77777777" w:rsidR="00C81C03" w:rsidRDefault="00F53F4F" w:rsidP="00663364">
      <w:pPr>
        <w:pStyle w:val="NoSpacing"/>
        <w:numPr>
          <w:ilvl w:val="0"/>
          <w:numId w:val="11"/>
        </w:numPr>
        <w:tabs>
          <w:tab w:val="left" w:pos="567"/>
        </w:tabs>
        <w:ind w:left="851" w:hanging="851"/>
        <w:jc w:val="both"/>
        <w:rPr>
          <w:bCs/>
          <w:shd w:val="clear" w:color="auto" w:fill="FFFFFF"/>
        </w:rPr>
      </w:pPr>
      <w:hyperlink r:id="rId7" w:history="1">
        <w:proofErr w:type="spellStart"/>
        <w:r w:rsidR="00C81C03" w:rsidRPr="009D5C84">
          <w:rPr>
            <w:rStyle w:val="Hyperlink"/>
            <w:bCs/>
            <w:color w:val="auto"/>
            <w:u w:val="none"/>
            <w:shd w:val="clear" w:color="auto" w:fill="FFFFFF"/>
          </w:rPr>
          <w:t>Hidayat</w:t>
        </w:r>
        <w:proofErr w:type="spellEnd"/>
        <w:r w:rsidR="00C81C03" w:rsidRPr="009D5C84">
          <w:rPr>
            <w:rStyle w:val="Hyperlink"/>
            <w:bCs/>
            <w:color w:val="auto"/>
            <w:u w:val="none"/>
            <w:shd w:val="clear" w:color="auto" w:fill="FFFFFF"/>
          </w:rPr>
          <w:t>, S.</w:t>
        </w:r>
      </w:hyperlink>
      <w:r w:rsidR="00C81C03" w:rsidRPr="009D5C84">
        <w:rPr>
          <w:bCs/>
          <w:shd w:val="clear" w:color="auto" w:fill="FFFFFF"/>
        </w:rPr>
        <w:t>, </w:t>
      </w:r>
      <w:hyperlink r:id="rId8" w:history="1">
        <w:proofErr w:type="spellStart"/>
        <w:r w:rsidR="00C81C03" w:rsidRPr="009D5C84">
          <w:rPr>
            <w:rStyle w:val="Hyperlink"/>
            <w:bCs/>
            <w:color w:val="auto"/>
            <w:u w:val="none"/>
            <w:shd w:val="clear" w:color="auto" w:fill="FFFFFF"/>
          </w:rPr>
          <w:t>Handoko</w:t>
        </w:r>
        <w:proofErr w:type="spellEnd"/>
        <w:r w:rsidR="00C81C03" w:rsidRPr="009D5C84">
          <w:rPr>
            <w:rStyle w:val="Hyperlink"/>
            <w:bCs/>
            <w:color w:val="auto"/>
            <w:u w:val="none"/>
            <w:shd w:val="clear" w:color="auto" w:fill="FFFFFF"/>
          </w:rPr>
          <w:t>, F.</w:t>
        </w:r>
      </w:hyperlink>
      <w:r w:rsidR="00C81C03" w:rsidRPr="009D5C84">
        <w:rPr>
          <w:bCs/>
          <w:shd w:val="clear" w:color="auto" w:fill="FFFFFF"/>
        </w:rPr>
        <w:t>, </w:t>
      </w:r>
      <w:hyperlink r:id="rId9" w:history="1">
        <w:proofErr w:type="spellStart"/>
        <w:r w:rsidR="00C81C03" w:rsidRPr="009D5C84">
          <w:rPr>
            <w:rStyle w:val="Hyperlink"/>
            <w:bCs/>
            <w:color w:val="auto"/>
            <w:u w:val="none"/>
            <w:shd w:val="clear" w:color="auto" w:fill="FFFFFF"/>
          </w:rPr>
          <w:t>Tjahjadi</w:t>
        </w:r>
        <w:proofErr w:type="spellEnd"/>
        <w:r w:rsidR="00C81C03" w:rsidRPr="009D5C84">
          <w:rPr>
            <w:rStyle w:val="Hyperlink"/>
            <w:bCs/>
            <w:color w:val="auto"/>
            <w:u w:val="none"/>
            <w:shd w:val="clear" w:color="auto" w:fill="FFFFFF"/>
          </w:rPr>
          <w:t>, M.E.</w:t>
        </w:r>
      </w:hyperlink>
      <w:r w:rsidR="00C81C03" w:rsidRPr="009D5C84">
        <w:rPr>
          <w:bCs/>
          <w:shd w:val="clear" w:color="auto" w:fill="FFFFFF"/>
        </w:rPr>
        <w:t>, </w:t>
      </w:r>
      <w:hyperlink r:id="rId10" w:history="1">
        <w:proofErr w:type="spellStart"/>
        <w:r w:rsidR="00C81C03" w:rsidRPr="009D5C84">
          <w:rPr>
            <w:rStyle w:val="Hyperlink"/>
            <w:bCs/>
            <w:color w:val="auto"/>
            <w:u w:val="none"/>
            <w:shd w:val="clear" w:color="auto" w:fill="FFFFFF"/>
          </w:rPr>
          <w:t>Vitasari</w:t>
        </w:r>
        <w:proofErr w:type="spellEnd"/>
        <w:r w:rsidR="00C81C03" w:rsidRPr="009D5C84">
          <w:rPr>
            <w:rStyle w:val="Hyperlink"/>
            <w:bCs/>
            <w:color w:val="auto"/>
            <w:u w:val="none"/>
            <w:shd w:val="clear" w:color="auto" w:fill="FFFFFF"/>
          </w:rPr>
          <w:t>, P.</w:t>
        </w:r>
      </w:hyperlink>
      <w:r w:rsidR="00C81C03" w:rsidRPr="009D5C84">
        <w:rPr>
          <w:bCs/>
          <w:shd w:val="clear" w:color="auto" w:fill="FFFFFF"/>
        </w:rPr>
        <w:t xml:space="preserve"> (2018) “The triple helix and technology capability and competitiveness of SMEs in developing economy”, International Journal of Civil Engineering and Technology, 9(13), pp. 366-378</w:t>
      </w:r>
    </w:p>
    <w:p w14:paraId="28A6AE39" w14:textId="77777777" w:rsidR="00171443" w:rsidRPr="005741C9" w:rsidRDefault="00171443" w:rsidP="00171443">
      <w:pPr>
        <w:pStyle w:val="NoSpacing"/>
        <w:numPr>
          <w:ilvl w:val="0"/>
          <w:numId w:val="11"/>
        </w:numPr>
        <w:tabs>
          <w:tab w:val="left" w:pos="567"/>
          <w:tab w:val="left" w:pos="993"/>
        </w:tabs>
        <w:ind w:left="851" w:hanging="851"/>
        <w:jc w:val="both"/>
        <w:rPr>
          <w:bCs/>
          <w:shd w:val="clear" w:color="auto" w:fill="FFFFFF"/>
          <w:lang w:val="en-US"/>
        </w:rPr>
      </w:pPr>
      <w:r w:rsidRPr="005741C9">
        <w:rPr>
          <w:bCs/>
          <w:shd w:val="clear" w:color="auto" w:fill="FFFFFF"/>
        </w:rPr>
        <w:t xml:space="preserve">Grady, R., &amp; Pratt, J., 2000. The UK Technology Transfer System: Calls for Stronger Links between Higher Education and Industry. </w:t>
      </w:r>
      <w:r w:rsidRPr="005741C9">
        <w:rPr>
          <w:bCs/>
          <w:i/>
          <w:shd w:val="clear" w:color="auto" w:fill="FFFFFF"/>
        </w:rPr>
        <w:t>The Journal of Technology Transfer, 25</w:t>
      </w:r>
      <w:r w:rsidRPr="005741C9">
        <w:rPr>
          <w:bCs/>
          <w:shd w:val="clear" w:color="auto" w:fill="FFFFFF"/>
        </w:rPr>
        <w:t>(2), 205-211.</w:t>
      </w:r>
    </w:p>
    <w:p w14:paraId="1D7692C2" w14:textId="77777777" w:rsidR="00171443" w:rsidRPr="005741C9" w:rsidRDefault="00171443" w:rsidP="00171443">
      <w:pPr>
        <w:pStyle w:val="NoSpacing"/>
        <w:numPr>
          <w:ilvl w:val="0"/>
          <w:numId w:val="11"/>
        </w:numPr>
        <w:tabs>
          <w:tab w:val="left" w:pos="567"/>
          <w:tab w:val="left" w:pos="993"/>
        </w:tabs>
        <w:ind w:left="851" w:hanging="851"/>
        <w:rPr>
          <w:bCs/>
          <w:shd w:val="clear" w:color="auto" w:fill="FFFFFF"/>
        </w:rPr>
      </w:pPr>
      <w:proofErr w:type="spellStart"/>
      <w:r w:rsidRPr="005741C9">
        <w:rPr>
          <w:bCs/>
          <w:shd w:val="clear" w:color="auto" w:fill="FFFFFF"/>
        </w:rPr>
        <w:t>Nonaka</w:t>
      </w:r>
      <w:proofErr w:type="gramStart"/>
      <w:r w:rsidRPr="005741C9">
        <w:rPr>
          <w:bCs/>
          <w:shd w:val="clear" w:color="auto" w:fill="FFFFFF"/>
        </w:rPr>
        <w:t>,I</w:t>
      </w:r>
      <w:proofErr w:type="spellEnd"/>
      <w:proofErr w:type="gramEnd"/>
      <w:r w:rsidRPr="005741C9">
        <w:rPr>
          <w:bCs/>
          <w:shd w:val="clear" w:color="auto" w:fill="FFFFFF"/>
        </w:rPr>
        <w:t xml:space="preserve">., </w:t>
      </w:r>
      <w:proofErr w:type="spellStart"/>
      <w:r w:rsidRPr="005741C9">
        <w:rPr>
          <w:bCs/>
          <w:shd w:val="clear" w:color="auto" w:fill="FFFFFF"/>
        </w:rPr>
        <w:t>Takeuchi,H</w:t>
      </w:r>
      <w:proofErr w:type="spellEnd"/>
      <w:r w:rsidRPr="005741C9">
        <w:rPr>
          <w:bCs/>
          <w:shd w:val="clear" w:color="auto" w:fill="FFFFFF"/>
        </w:rPr>
        <w:t xml:space="preserve">. 1995. </w:t>
      </w:r>
      <w:r w:rsidRPr="005741C9">
        <w:rPr>
          <w:bCs/>
          <w:i/>
          <w:iCs/>
          <w:shd w:val="clear" w:color="auto" w:fill="FFFFFF"/>
        </w:rPr>
        <w:t>The Knowledge Creating Company</w:t>
      </w:r>
      <w:r w:rsidRPr="005741C9">
        <w:rPr>
          <w:bCs/>
          <w:shd w:val="clear" w:color="auto" w:fill="FFFFFF"/>
        </w:rPr>
        <w:t xml:space="preserve">: </w:t>
      </w:r>
      <w:r w:rsidRPr="005741C9">
        <w:rPr>
          <w:bCs/>
          <w:i/>
          <w:shd w:val="clear" w:color="auto" w:fill="FFFFFF"/>
        </w:rPr>
        <w:t>How Japanese Companies Create the Dynamics of Innovation</w:t>
      </w:r>
      <w:r w:rsidRPr="005741C9">
        <w:rPr>
          <w:bCs/>
          <w:shd w:val="clear" w:color="auto" w:fill="FFFFFF"/>
        </w:rPr>
        <w:t>? Oxford University Press, New York.</w:t>
      </w:r>
    </w:p>
    <w:p w14:paraId="43E00A7A" w14:textId="68E8CBFB" w:rsidR="00171443" w:rsidRPr="009D5C84" w:rsidRDefault="00171443" w:rsidP="00171443">
      <w:pPr>
        <w:pStyle w:val="NoSpacing"/>
        <w:numPr>
          <w:ilvl w:val="0"/>
          <w:numId w:val="11"/>
        </w:numPr>
        <w:tabs>
          <w:tab w:val="left" w:pos="567"/>
        </w:tabs>
        <w:ind w:left="851" w:hanging="851"/>
        <w:jc w:val="both"/>
        <w:rPr>
          <w:bCs/>
          <w:shd w:val="clear" w:color="auto" w:fill="FFFFFF"/>
        </w:rPr>
      </w:pPr>
      <w:proofErr w:type="spellStart"/>
      <w:r w:rsidRPr="005741C9">
        <w:rPr>
          <w:bCs/>
          <w:shd w:val="clear" w:color="auto" w:fill="FFFFFF"/>
        </w:rPr>
        <w:t>Nonaka</w:t>
      </w:r>
      <w:proofErr w:type="spellEnd"/>
      <w:r w:rsidRPr="005741C9">
        <w:rPr>
          <w:bCs/>
          <w:shd w:val="clear" w:color="auto" w:fill="FFFFFF"/>
        </w:rPr>
        <w:t xml:space="preserve">, I., 2003, Continuous Innovation: The power of tacit knowledge, </w:t>
      </w:r>
      <w:proofErr w:type="gramStart"/>
      <w:r w:rsidRPr="005741C9">
        <w:rPr>
          <w:bCs/>
          <w:shd w:val="clear" w:color="auto" w:fill="FFFFFF"/>
        </w:rPr>
        <w:t>In</w:t>
      </w:r>
      <w:proofErr w:type="gramEnd"/>
      <w:r w:rsidRPr="005741C9">
        <w:rPr>
          <w:bCs/>
          <w:shd w:val="clear" w:color="auto" w:fill="FFFFFF"/>
        </w:rPr>
        <w:t xml:space="preserve">: L.V. </w:t>
      </w:r>
      <w:proofErr w:type="spellStart"/>
      <w:r w:rsidRPr="005741C9">
        <w:rPr>
          <w:bCs/>
          <w:shd w:val="clear" w:color="auto" w:fill="FFFFFF"/>
        </w:rPr>
        <w:t>Shavinina</w:t>
      </w:r>
      <w:proofErr w:type="spellEnd"/>
      <w:r w:rsidRPr="005741C9">
        <w:rPr>
          <w:bCs/>
          <w:shd w:val="clear" w:color="auto" w:fill="FFFFFF"/>
        </w:rPr>
        <w:t xml:space="preserve"> (Ed.), </w:t>
      </w:r>
      <w:r w:rsidRPr="005741C9">
        <w:rPr>
          <w:bCs/>
          <w:i/>
          <w:shd w:val="clear" w:color="auto" w:fill="FFFFFF"/>
        </w:rPr>
        <w:t>International Handbook on Innovation</w:t>
      </w:r>
      <w:r w:rsidRPr="005741C9">
        <w:rPr>
          <w:bCs/>
          <w:shd w:val="clear" w:color="auto" w:fill="FFFFFF"/>
        </w:rPr>
        <w:t>. Oxford: Elsevier Science.</w:t>
      </w:r>
    </w:p>
    <w:p w14:paraId="1AC28BBF" w14:textId="77777777" w:rsidR="005855A0" w:rsidRPr="009D5C84" w:rsidRDefault="005855A0" w:rsidP="00663364">
      <w:pPr>
        <w:pStyle w:val="NoSpacing"/>
        <w:numPr>
          <w:ilvl w:val="0"/>
          <w:numId w:val="11"/>
        </w:numPr>
        <w:tabs>
          <w:tab w:val="left" w:pos="567"/>
        </w:tabs>
        <w:ind w:left="851" w:hanging="851"/>
        <w:jc w:val="both"/>
        <w:rPr>
          <w:bCs/>
          <w:lang w:val="en-US"/>
        </w:rPr>
      </w:pPr>
      <w:proofErr w:type="spellStart"/>
      <w:r w:rsidRPr="009D5C84">
        <w:rPr>
          <w:bCs/>
          <w:lang w:val="en-US"/>
        </w:rPr>
        <w:t>Handoko</w:t>
      </w:r>
      <w:proofErr w:type="spellEnd"/>
      <w:proofErr w:type="gramStart"/>
      <w:r w:rsidRPr="009D5C84">
        <w:rPr>
          <w:bCs/>
          <w:lang w:val="en-US"/>
        </w:rPr>
        <w:t>,  F</w:t>
      </w:r>
      <w:proofErr w:type="gramEnd"/>
      <w:r w:rsidRPr="009D5C84">
        <w:rPr>
          <w:bCs/>
          <w:lang w:val="en-US"/>
        </w:rPr>
        <w:t xml:space="preserve">.,  </w:t>
      </w:r>
      <w:proofErr w:type="spellStart"/>
      <w:r w:rsidRPr="009D5C84">
        <w:rPr>
          <w:bCs/>
          <w:lang w:val="en-US"/>
        </w:rPr>
        <w:t>Nursanti,E</w:t>
      </w:r>
      <w:proofErr w:type="spellEnd"/>
      <w:r w:rsidRPr="009D5C84">
        <w:rPr>
          <w:bCs/>
          <w:lang w:val="en-US"/>
        </w:rPr>
        <w:t xml:space="preserve">.,  </w:t>
      </w:r>
      <w:proofErr w:type="spellStart"/>
      <w:r w:rsidRPr="009D5C84">
        <w:rPr>
          <w:bCs/>
          <w:lang w:val="en-US"/>
        </w:rPr>
        <w:t>Harmanto</w:t>
      </w:r>
      <w:proofErr w:type="spellEnd"/>
      <w:r w:rsidRPr="009D5C84">
        <w:rPr>
          <w:bCs/>
          <w:lang w:val="en-US"/>
        </w:rPr>
        <w:t xml:space="preserve">,  D  and  </w:t>
      </w:r>
      <w:proofErr w:type="spellStart"/>
      <w:r w:rsidRPr="009D5C84">
        <w:rPr>
          <w:bCs/>
          <w:lang w:val="en-US"/>
        </w:rPr>
        <w:t>Sutriyono</w:t>
      </w:r>
      <w:proofErr w:type="spellEnd"/>
      <w:r w:rsidRPr="009D5C84">
        <w:rPr>
          <w:bCs/>
          <w:lang w:val="en-US"/>
        </w:rPr>
        <w:t>. (2016) “</w:t>
      </w:r>
      <w:r w:rsidRPr="009D5C84">
        <w:rPr>
          <w:bCs/>
        </w:rPr>
        <w:t>The role of tacit and codified knowledge within technology transfer program on technology adaptation”</w:t>
      </w:r>
      <w:r w:rsidRPr="009D5C84">
        <w:rPr>
          <w:bCs/>
          <w:lang w:val="en-US"/>
        </w:rPr>
        <w:t xml:space="preserve">. </w:t>
      </w:r>
      <w:proofErr w:type="gramStart"/>
      <w:r w:rsidRPr="009D5C84">
        <w:rPr>
          <w:bCs/>
          <w:lang w:val="en-US"/>
        </w:rPr>
        <w:t>ARPN  Journal</w:t>
      </w:r>
      <w:proofErr w:type="gramEnd"/>
      <w:r w:rsidRPr="009D5C84">
        <w:rPr>
          <w:bCs/>
          <w:lang w:val="en-US"/>
        </w:rPr>
        <w:t xml:space="preserve">  of  Engineering  and  Applied Sciences, Vol.11, No. 8. </w:t>
      </w:r>
    </w:p>
    <w:p w14:paraId="6C840F8D" w14:textId="2AE44E04" w:rsidR="00D10780" w:rsidRPr="009D5C84" w:rsidRDefault="00D10780" w:rsidP="00663364">
      <w:pPr>
        <w:pStyle w:val="NoSpacing"/>
        <w:numPr>
          <w:ilvl w:val="0"/>
          <w:numId w:val="11"/>
        </w:numPr>
        <w:tabs>
          <w:tab w:val="left" w:pos="567"/>
        </w:tabs>
        <w:ind w:left="851" w:hanging="851"/>
        <w:jc w:val="both"/>
        <w:rPr>
          <w:shd w:val="clear" w:color="auto" w:fill="FFFFFF"/>
        </w:rPr>
      </w:pPr>
      <w:proofErr w:type="spellStart"/>
      <w:r w:rsidRPr="009D5C84">
        <w:rPr>
          <w:shd w:val="clear" w:color="auto" w:fill="FFFFFF"/>
          <w:lang w:val="en-US"/>
        </w:rPr>
        <w:t>Kremic</w:t>
      </w:r>
      <w:proofErr w:type="spellEnd"/>
      <w:r w:rsidRPr="009D5C84">
        <w:rPr>
          <w:shd w:val="clear" w:color="auto" w:fill="FFFFFF"/>
          <w:lang w:val="en-US"/>
        </w:rPr>
        <w:t xml:space="preserve">, T. 2003. “Technology Transfer: A Contextual Approach.” The </w:t>
      </w:r>
      <w:proofErr w:type="gramStart"/>
      <w:r w:rsidRPr="009D5C84">
        <w:rPr>
          <w:shd w:val="clear" w:color="auto" w:fill="FFFFFF"/>
          <w:lang w:val="en-US"/>
        </w:rPr>
        <w:t>Journal  of</w:t>
      </w:r>
      <w:proofErr w:type="gramEnd"/>
      <w:r w:rsidRPr="009D5C84">
        <w:rPr>
          <w:shd w:val="clear" w:color="auto" w:fill="FFFFFF"/>
          <w:lang w:val="en-US"/>
        </w:rPr>
        <w:t xml:space="preserve"> Technology</w:t>
      </w:r>
      <w:r w:rsidR="005855A0" w:rsidRPr="009D5C84">
        <w:rPr>
          <w:shd w:val="clear" w:color="auto" w:fill="FFFFFF"/>
          <w:lang w:val="en-US"/>
        </w:rPr>
        <w:t xml:space="preserve"> </w:t>
      </w:r>
      <w:r w:rsidRPr="009D5C84">
        <w:rPr>
          <w:shd w:val="clear" w:color="auto" w:fill="FFFFFF"/>
          <w:lang w:val="en-US"/>
        </w:rPr>
        <w:t>Transfer 28 (2): 149–158.</w:t>
      </w:r>
    </w:p>
    <w:p w14:paraId="1391BB22" w14:textId="0296147D" w:rsidR="005855A0" w:rsidRPr="009D5C84" w:rsidRDefault="00EB588C"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 xml:space="preserve">Marcotte, C., </w:t>
      </w:r>
      <w:proofErr w:type="spellStart"/>
      <w:r w:rsidRPr="009D5C84">
        <w:rPr>
          <w:shd w:val="clear" w:color="auto" w:fill="FFFFFF"/>
        </w:rPr>
        <w:t>Niosi</w:t>
      </w:r>
      <w:proofErr w:type="spellEnd"/>
      <w:r w:rsidRPr="009D5C84">
        <w:rPr>
          <w:shd w:val="clear" w:color="auto" w:fill="FFFFFF"/>
        </w:rPr>
        <w:t xml:space="preserve">, J., 2000; Technology Transfer to China. The Issues of Knowledge and Learning. </w:t>
      </w:r>
      <w:r w:rsidRPr="009D5C84">
        <w:rPr>
          <w:i/>
          <w:shd w:val="clear" w:color="auto" w:fill="FFFFFF"/>
        </w:rPr>
        <w:t xml:space="preserve">The Journal of Technology Transfer, </w:t>
      </w:r>
      <w:r w:rsidRPr="009D5C84">
        <w:rPr>
          <w:shd w:val="clear" w:color="auto" w:fill="FFFFFF"/>
        </w:rPr>
        <w:t>25[1], 43-57.</w:t>
      </w:r>
    </w:p>
    <w:p w14:paraId="6095DF7E" w14:textId="13B0E04E" w:rsidR="00EB588C" w:rsidRPr="009D5C84" w:rsidRDefault="00EB588C"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 xml:space="preserve">Gorman, M. E., 2002; Types of Knowledge and Their Roles in Technology Transfer. </w:t>
      </w:r>
      <w:r w:rsidRPr="009D5C84">
        <w:rPr>
          <w:i/>
          <w:shd w:val="clear" w:color="auto" w:fill="FFFFFF"/>
        </w:rPr>
        <w:t>The Journal of Technology Transfer, 27</w:t>
      </w:r>
      <w:r w:rsidRPr="009D5C84">
        <w:rPr>
          <w:shd w:val="clear" w:color="auto" w:fill="FFFFFF"/>
        </w:rPr>
        <w:t>[3], 219-231</w:t>
      </w:r>
      <w:r w:rsidRPr="009D5C84">
        <w:rPr>
          <w:shd w:val="clear" w:color="auto" w:fill="FFFFFF"/>
          <w:lang w:val="en-GB"/>
        </w:rPr>
        <w:t>.</w:t>
      </w:r>
    </w:p>
    <w:p w14:paraId="2D49BA2C" w14:textId="0077E45C" w:rsidR="00EE630C" w:rsidRPr="009D5C84" w:rsidRDefault="00EE630C"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 xml:space="preserve">Drucker, P. 1994. The age of social transformation. </w:t>
      </w:r>
      <w:r w:rsidRPr="009D5C84">
        <w:rPr>
          <w:i/>
          <w:shd w:val="clear" w:color="auto" w:fill="FFFFFF"/>
        </w:rPr>
        <w:t>The Atlantic Monthly,</w:t>
      </w:r>
      <w:r w:rsidRPr="009D5C84">
        <w:rPr>
          <w:shd w:val="clear" w:color="auto" w:fill="FFFFFF"/>
        </w:rPr>
        <w:t xml:space="preserve"> 274[5], 53-70</w:t>
      </w:r>
      <w:r w:rsidRPr="009D5C84">
        <w:rPr>
          <w:shd w:val="clear" w:color="auto" w:fill="FFFFFF"/>
          <w:lang w:val="en-GB"/>
        </w:rPr>
        <w:t>.</w:t>
      </w:r>
    </w:p>
    <w:p w14:paraId="39D0EEEB" w14:textId="77777777" w:rsidR="00E0698F" w:rsidRPr="009D5C84" w:rsidRDefault="00E0698F" w:rsidP="00663364">
      <w:pPr>
        <w:pStyle w:val="NoSpacing"/>
        <w:numPr>
          <w:ilvl w:val="0"/>
          <w:numId w:val="11"/>
        </w:numPr>
        <w:tabs>
          <w:tab w:val="left" w:pos="567"/>
        </w:tabs>
        <w:ind w:left="851" w:hanging="851"/>
        <w:jc w:val="both"/>
        <w:rPr>
          <w:shd w:val="clear" w:color="auto" w:fill="FFFFFF"/>
        </w:rPr>
      </w:pPr>
      <w:proofErr w:type="spellStart"/>
      <w:r w:rsidRPr="009D5C84">
        <w:rPr>
          <w:shd w:val="clear" w:color="auto" w:fill="FFFFFF"/>
        </w:rPr>
        <w:t>Handoko</w:t>
      </w:r>
      <w:proofErr w:type="spellEnd"/>
      <w:r w:rsidRPr="009D5C84">
        <w:rPr>
          <w:shd w:val="clear" w:color="auto" w:fill="FFFFFF"/>
        </w:rPr>
        <w:t xml:space="preserve">, F., </w:t>
      </w:r>
      <w:proofErr w:type="spellStart"/>
      <w:r w:rsidRPr="009D5C84">
        <w:rPr>
          <w:shd w:val="clear" w:color="auto" w:fill="FFFFFF"/>
        </w:rPr>
        <w:t>Wijayaningtyas</w:t>
      </w:r>
      <w:proofErr w:type="spellEnd"/>
      <w:r w:rsidRPr="009D5C84">
        <w:rPr>
          <w:shd w:val="clear" w:color="auto" w:fill="FFFFFF"/>
        </w:rPr>
        <w:t xml:space="preserve">, M., Imam H. A. Kusuma, I H A., </w:t>
      </w:r>
      <w:proofErr w:type="spellStart"/>
      <w:r w:rsidRPr="009D5C84">
        <w:rPr>
          <w:shd w:val="clear" w:color="auto" w:fill="FFFFFF"/>
        </w:rPr>
        <w:t>Hidayat</w:t>
      </w:r>
      <w:proofErr w:type="spellEnd"/>
      <w:r w:rsidRPr="009D5C84">
        <w:rPr>
          <w:shd w:val="clear" w:color="auto" w:fill="FFFFFF"/>
        </w:rPr>
        <w:t>, S., Ismail, A., Abdullah, Z. (2020) "The Occupational Health and Safety Effect on Road Construction Worker Performance," Civil Engineering and Architecture, Vol. 8, No. 5, pp. 750 - 759. DOI: 10.13189/cea.2020.080502. </w:t>
      </w:r>
    </w:p>
    <w:p w14:paraId="25C01B95" w14:textId="77777777" w:rsidR="00655569" w:rsidRPr="009D5C84" w:rsidRDefault="00F53F4F" w:rsidP="00663364">
      <w:pPr>
        <w:pStyle w:val="NoSpacing"/>
        <w:numPr>
          <w:ilvl w:val="0"/>
          <w:numId w:val="11"/>
        </w:numPr>
        <w:tabs>
          <w:tab w:val="left" w:pos="567"/>
        </w:tabs>
        <w:ind w:left="851" w:hanging="851"/>
        <w:jc w:val="both"/>
        <w:rPr>
          <w:bCs/>
          <w:shd w:val="clear" w:color="auto" w:fill="FFFFFF"/>
        </w:rPr>
      </w:pPr>
      <w:hyperlink r:id="rId11" w:history="1">
        <w:proofErr w:type="spellStart"/>
        <w:r w:rsidR="00655569" w:rsidRPr="009D5C84">
          <w:rPr>
            <w:rStyle w:val="Hyperlink"/>
            <w:bCs/>
            <w:color w:val="auto"/>
            <w:u w:val="none"/>
            <w:shd w:val="clear" w:color="auto" w:fill="FFFFFF"/>
          </w:rPr>
          <w:t>Kustamar</w:t>
        </w:r>
        <w:proofErr w:type="spellEnd"/>
        <w:r w:rsidR="00655569" w:rsidRPr="009D5C84">
          <w:rPr>
            <w:rStyle w:val="Hyperlink"/>
            <w:bCs/>
            <w:color w:val="auto"/>
            <w:u w:val="none"/>
            <w:shd w:val="clear" w:color="auto" w:fill="FFFFFF"/>
          </w:rPr>
          <w:t>,</w:t>
        </w:r>
      </w:hyperlink>
      <w:r w:rsidR="00655569" w:rsidRPr="009D5C84">
        <w:rPr>
          <w:bCs/>
          <w:shd w:val="clear" w:color="auto" w:fill="FFFFFF"/>
        </w:rPr>
        <w:t>, </w:t>
      </w:r>
      <w:hyperlink r:id="rId12" w:history="1">
        <w:proofErr w:type="spellStart"/>
        <w:r w:rsidR="00655569" w:rsidRPr="009D5C84">
          <w:rPr>
            <w:rStyle w:val="Hyperlink"/>
            <w:bCs/>
            <w:color w:val="auto"/>
            <w:u w:val="none"/>
            <w:shd w:val="clear" w:color="auto" w:fill="FFFFFF"/>
          </w:rPr>
          <w:t>Handoko</w:t>
        </w:r>
        <w:proofErr w:type="spellEnd"/>
        <w:r w:rsidR="00655569" w:rsidRPr="009D5C84">
          <w:rPr>
            <w:rStyle w:val="Hyperlink"/>
            <w:bCs/>
            <w:color w:val="auto"/>
            <w:u w:val="none"/>
            <w:shd w:val="clear" w:color="auto" w:fill="FFFFFF"/>
          </w:rPr>
          <w:t>, F.</w:t>
        </w:r>
      </w:hyperlink>
      <w:r w:rsidR="00655569" w:rsidRPr="009D5C84">
        <w:rPr>
          <w:bCs/>
          <w:shd w:val="clear" w:color="auto" w:fill="FFFFFF"/>
        </w:rPr>
        <w:t>, </w:t>
      </w:r>
      <w:hyperlink r:id="rId13" w:history="1">
        <w:proofErr w:type="spellStart"/>
        <w:r w:rsidR="00655569" w:rsidRPr="009D5C84">
          <w:rPr>
            <w:rStyle w:val="Hyperlink"/>
            <w:bCs/>
            <w:color w:val="auto"/>
            <w:u w:val="none"/>
            <w:shd w:val="clear" w:color="auto" w:fill="FFFFFF"/>
          </w:rPr>
          <w:t>Soetedjo</w:t>
        </w:r>
        <w:proofErr w:type="spellEnd"/>
        <w:r w:rsidR="00655569" w:rsidRPr="009D5C84">
          <w:rPr>
            <w:rStyle w:val="Hyperlink"/>
            <w:bCs/>
            <w:color w:val="auto"/>
            <w:u w:val="none"/>
            <w:shd w:val="clear" w:color="auto" w:fill="FFFFFF"/>
          </w:rPr>
          <w:t>, A.</w:t>
        </w:r>
      </w:hyperlink>
      <w:r w:rsidR="00655569" w:rsidRPr="009D5C84">
        <w:rPr>
          <w:bCs/>
          <w:shd w:val="clear" w:color="auto" w:fill="FFFFFF"/>
          <w:lang w:val="en-US"/>
        </w:rPr>
        <w:t xml:space="preserve"> (2018) “</w:t>
      </w:r>
      <w:r w:rsidR="00655569" w:rsidRPr="009D5C84">
        <w:rPr>
          <w:bCs/>
          <w:shd w:val="clear" w:color="auto" w:fill="FFFFFF"/>
        </w:rPr>
        <w:t xml:space="preserve">Flood control strategy in </w:t>
      </w:r>
      <w:proofErr w:type="spellStart"/>
      <w:r w:rsidR="00655569" w:rsidRPr="009D5C84">
        <w:rPr>
          <w:bCs/>
          <w:shd w:val="clear" w:color="auto" w:fill="FFFFFF"/>
        </w:rPr>
        <w:t>Sampang</w:t>
      </w:r>
      <w:proofErr w:type="spellEnd"/>
      <w:r w:rsidR="00655569" w:rsidRPr="009D5C84">
        <w:rPr>
          <w:bCs/>
          <w:shd w:val="clear" w:color="auto" w:fill="FFFFFF"/>
        </w:rPr>
        <w:t xml:space="preserve"> City, East Java, Indonesia”, International Journal of GEOMATE, 15(52), pp. 62-67</w:t>
      </w:r>
    </w:p>
    <w:p w14:paraId="11E859BD" w14:textId="1F6A6FAF" w:rsidR="00263131" w:rsidRPr="009D5C84" w:rsidRDefault="00263131" w:rsidP="00663364">
      <w:pPr>
        <w:pStyle w:val="NoSpacing"/>
        <w:numPr>
          <w:ilvl w:val="0"/>
          <w:numId w:val="11"/>
        </w:numPr>
        <w:tabs>
          <w:tab w:val="left" w:pos="567"/>
        </w:tabs>
        <w:ind w:left="851" w:hanging="851"/>
        <w:jc w:val="both"/>
        <w:rPr>
          <w:shd w:val="clear" w:color="auto" w:fill="FFFFFF"/>
        </w:rPr>
      </w:pPr>
      <w:r w:rsidRPr="009D5C84">
        <w:rPr>
          <w:shd w:val="clear" w:color="auto" w:fill="FFFFFF"/>
        </w:rPr>
        <w:t xml:space="preserve">Abdullah, Z., Ting, H Y., </w:t>
      </w:r>
      <w:hyperlink r:id="rId14" w:history="1">
        <w:r w:rsidRPr="009D5C84">
          <w:rPr>
            <w:rStyle w:val="Hyperlink"/>
            <w:color w:val="auto"/>
            <w:u w:val="none"/>
            <w:shd w:val="clear" w:color="auto" w:fill="FFFFFF"/>
          </w:rPr>
          <w:t>Ali, M.A.M.</w:t>
        </w:r>
      </w:hyperlink>
      <w:r w:rsidRPr="009D5C84">
        <w:rPr>
          <w:shd w:val="clear" w:color="auto" w:fill="FFFFFF"/>
        </w:rPr>
        <w:t>, ...</w:t>
      </w:r>
      <w:hyperlink r:id="rId15" w:history="1">
        <w:proofErr w:type="spellStart"/>
        <w:r w:rsidRPr="009D5C84">
          <w:rPr>
            <w:rStyle w:val="Hyperlink"/>
            <w:color w:val="auto"/>
            <w:u w:val="none"/>
            <w:shd w:val="clear" w:color="auto" w:fill="FFFFFF"/>
          </w:rPr>
          <w:t>Ghazaly</w:t>
        </w:r>
        <w:proofErr w:type="spellEnd"/>
        <w:r w:rsidRPr="009D5C84">
          <w:rPr>
            <w:rStyle w:val="Hyperlink"/>
            <w:color w:val="auto"/>
            <w:u w:val="none"/>
            <w:shd w:val="clear" w:color="auto" w:fill="FFFFFF"/>
          </w:rPr>
          <w:t>, M.M.</w:t>
        </w:r>
      </w:hyperlink>
      <w:r w:rsidRPr="009D5C84">
        <w:rPr>
          <w:shd w:val="clear" w:color="auto" w:fill="FFFFFF"/>
        </w:rPr>
        <w:t>, </w:t>
      </w:r>
      <w:hyperlink r:id="rId16" w:history="1">
        <w:proofErr w:type="spellStart"/>
        <w:r w:rsidRPr="009D5C84">
          <w:rPr>
            <w:rStyle w:val="Hyperlink"/>
            <w:color w:val="auto"/>
            <w:u w:val="none"/>
            <w:shd w:val="clear" w:color="auto" w:fill="FFFFFF"/>
          </w:rPr>
          <w:t>Handoko</w:t>
        </w:r>
        <w:proofErr w:type="spellEnd"/>
        <w:r w:rsidRPr="009D5C84">
          <w:rPr>
            <w:rStyle w:val="Hyperlink"/>
            <w:color w:val="auto"/>
            <w:u w:val="none"/>
            <w:shd w:val="clear" w:color="auto" w:fill="FFFFFF"/>
          </w:rPr>
          <w:t>, F.</w:t>
        </w:r>
      </w:hyperlink>
      <w:r w:rsidRPr="009D5C84">
        <w:rPr>
          <w:shd w:val="clear" w:color="auto" w:fill="FFFFFF"/>
        </w:rPr>
        <w:t xml:space="preserve"> (2018) “The effect of layer thickness and raster angles on tensile strength and flexural strength for fused deposition </w:t>
      </w:r>
      <w:proofErr w:type="spellStart"/>
      <w:r w:rsidRPr="009D5C84">
        <w:rPr>
          <w:shd w:val="clear" w:color="auto" w:fill="FFFFFF"/>
        </w:rPr>
        <w:t>modeling</w:t>
      </w:r>
      <w:proofErr w:type="spellEnd"/>
      <w:r w:rsidRPr="009D5C84">
        <w:rPr>
          <w:shd w:val="clear" w:color="auto" w:fill="FFFFFF"/>
        </w:rPr>
        <w:t xml:space="preserve"> (FDM) parts” Journal of Advanced Manufacturing Technology, 12</w:t>
      </w:r>
      <w:r w:rsidR="00452D74" w:rsidRPr="009D5C84">
        <w:rPr>
          <w:shd w:val="clear" w:color="auto" w:fill="FFFFFF"/>
        </w:rPr>
        <w:t xml:space="preserve"> </w:t>
      </w:r>
      <w:r w:rsidRPr="009D5C84">
        <w:rPr>
          <w:shd w:val="clear" w:color="auto" w:fill="FFFFFF"/>
        </w:rPr>
        <w:t>(4), pp. 147-158</w:t>
      </w:r>
    </w:p>
    <w:p w14:paraId="7ED62B60" w14:textId="77777777" w:rsidR="006A0545" w:rsidRPr="009D5C84" w:rsidRDefault="006A0545" w:rsidP="00663364">
      <w:pPr>
        <w:pStyle w:val="NoSpacing"/>
        <w:numPr>
          <w:ilvl w:val="0"/>
          <w:numId w:val="11"/>
        </w:numPr>
        <w:tabs>
          <w:tab w:val="left" w:pos="567"/>
        </w:tabs>
        <w:ind w:left="851" w:hanging="851"/>
        <w:jc w:val="both"/>
        <w:rPr>
          <w:bCs/>
          <w:shd w:val="clear" w:color="auto" w:fill="FFFFFF"/>
        </w:rPr>
      </w:pPr>
      <w:proofErr w:type="spellStart"/>
      <w:r w:rsidRPr="009D5C84">
        <w:rPr>
          <w:bCs/>
          <w:shd w:val="clear" w:color="auto" w:fill="FFFFFF"/>
        </w:rPr>
        <w:t>Tjahjadi</w:t>
      </w:r>
      <w:proofErr w:type="spellEnd"/>
      <w:r w:rsidRPr="009D5C84">
        <w:rPr>
          <w:bCs/>
          <w:shd w:val="clear" w:color="auto" w:fill="FFFFFF"/>
        </w:rPr>
        <w:t>, M.E., </w:t>
      </w:r>
      <w:proofErr w:type="spellStart"/>
      <w:r w:rsidRPr="009D5C84">
        <w:rPr>
          <w:bCs/>
          <w:shd w:val="clear" w:color="auto" w:fill="FFFFFF"/>
        </w:rPr>
        <w:t>Handoko</w:t>
      </w:r>
      <w:proofErr w:type="spellEnd"/>
      <w:r w:rsidRPr="009D5C84">
        <w:rPr>
          <w:bCs/>
          <w:shd w:val="clear" w:color="auto" w:fill="FFFFFF"/>
        </w:rPr>
        <w:t>, F., Sai, S.S. (2017) “</w:t>
      </w:r>
      <w:hyperlink r:id="rId17" w:tooltip="Abstract + Refs(opens in a new window)" w:history="1">
        <w:r w:rsidRPr="009D5C84">
          <w:rPr>
            <w:rStyle w:val="Hyperlink"/>
            <w:bCs/>
            <w:color w:val="auto"/>
            <w:u w:val="none"/>
            <w:shd w:val="clear" w:color="auto" w:fill="FFFFFF"/>
          </w:rPr>
          <w:t>Novel image mosaicking of UAV's imagery using collinearity condition</w:t>
        </w:r>
      </w:hyperlink>
      <w:r w:rsidRPr="009D5C84">
        <w:rPr>
          <w:bCs/>
          <w:shd w:val="clear" w:color="auto" w:fill="FFFFFF"/>
        </w:rPr>
        <w:t xml:space="preserve">” </w:t>
      </w:r>
      <w:r w:rsidRPr="009D5C84">
        <w:rPr>
          <w:bCs/>
          <w:iCs/>
          <w:shd w:val="clear" w:color="auto" w:fill="FFFFFF"/>
        </w:rPr>
        <w:t>International Journal of Electrical and Computer Engineering</w:t>
      </w:r>
      <w:r w:rsidRPr="009D5C84">
        <w:rPr>
          <w:bCs/>
          <w:shd w:val="clear" w:color="auto" w:fill="FFFFFF"/>
        </w:rPr>
        <w:t>, 7 (3), pp. 1188-1196. DOI: 10.11591/ijece.v7i3.pp1188-1196</w:t>
      </w:r>
    </w:p>
    <w:p w14:paraId="4D1D10B4" w14:textId="77777777" w:rsidR="006A0545" w:rsidRPr="009D5C84" w:rsidRDefault="006A0545" w:rsidP="00663364">
      <w:pPr>
        <w:pStyle w:val="NoSpacing"/>
        <w:numPr>
          <w:ilvl w:val="0"/>
          <w:numId w:val="11"/>
        </w:numPr>
        <w:tabs>
          <w:tab w:val="left" w:pos="567"/>
        </w:tabs>
        <w:ind w:left="851" w:hanging="851"/>
        <w:jc w:val="both"/>
        <w:rPr>
          <w:bCs/>
          <w:shd w:val="clear" w:color="auto" w:fill="FFFFFF"/>
        </w:rPr>
      </w:pPr>
      <w:proofErr w:type="spellStart"/>
      <w:r w:rsidRPr="009D5C84">
        <w:rPr>
          <w:bCs/>
          <w:shd w:val="clear" w:color="auto" w:fill="FFFFFF"/>
        </w:rPr>
        <w:t>Tjahjadi</w:t>
      </w:r>
      <w:proofErr w:type="spellEnd"/>
      <w:r w:rsidRPr="009D5C84">
        <w:rPr>
          <w:bCs/>
          <w:shd w:val="clear" w:color="auto" w:fill="FFFFFF"/>
        </w:rPr>
        <w:t>, M.E., </w:t>
      </w:r>
      <w:proofErr w:type="spellStart"/>
      <w:r w:rsidRPr="009D5C84">
        <w:rPr>
          <w:bCs/>
          <w:shd w:val="clear" w:color="auto" w:fill="FFFFFF"/>
        </w:rPr>
        <w:t>Handoko</w:t>
      </w:r>
      <w:proofErr w:type="spellEnd"/>
      <w:r w:rsidRPr="009D5C84">
        <w:rPr>
          <w:bCs/>
          <w:shd w:val="clear" w:color="auto" w:fill="FFFFFF"/>
        </w:rPr>
        <w:t xml:space="preserve">, F. (2017) “Single frame resection of compact digital cameras for UAV imagery” </w:t>
      </w:r>
      <w:r w:rsidRPr="009D5C84">
        <w:rPr>
          <w:bCs/>
          <w:iCs/>
          <w:shd w:val="clear" w:color="auto" w:fill="FFFFFF"/>
        </w:rPr>
        <w:t>4th International Conference on Electrical Engineering, Computer Science and Informatics, EECSI</w:t>
      </w:r>
      <w:r w:rsidRPr="009D5C84">
        <w:rPr>
          <w:bCs/>
          <w:shd w:val="clear" w:color="auto" w:fill="FFFFFF"/>
        </w:rPr>
        <w:t>. DOI: 10.1109/EECSI.2017.8239147.</w:t>
      </w:r>
    </w:p>
    <w:p w14:paraId="51EB66D4" w14:textId="77777777" w:rsidR="006A0545" w:rsidRPr="009D5C84" w:rsidRDefault="006A0545" w:rsidP="00663364">
      <w:pPr>
        <w:pStyle w:val="NoSpacing"/>
        <w:numPr>
          <w:ilvl w:val="0"/>
          <w:numId w:val="11"/>
        </w:numPr>
        <w:tabs>
          <w:tab w:val="left" w:pos="567"/>
        </w:tabs>
        <w:ind w:left="851" w:hanging="851"/>
        <w:jc w:val="both"/>
        <w:rPr>
          <w:bCs/>
          <w:iCs/>
          <w:shd w:val="clear" w:color="auto" w:fill="FFFFFF"/>
        </w:rPr>
      </w:pPr>
      <w:proofErr w:type="spellStart"/>
      <w:r w:rsidRPr="009D5C84">
        <w:rPr>
          <w:bCs/>
          <w:shd w:val="clear" w:color="auto" w:fill="FFFFFF"/>
        </w:rPr>
        <w:t>Tjahjadi</w:t>
      </w:r>
      <w:proofErr w:type="spellEnd"/>
      <w:r w:rsidRPr="009D5C84">
        <w:rPr>
          <w:bCs/>
          <w:shd w:val="clear" w:color="auto" w:fill="FFFFFF"/>
        </w:rPr>
        <w:t>, M.E., </w:t>
      </w:r>
      <w:proofErr w:type="spellStart"/>
      <w:r w:rsidRPr="009D5C84">
        <w:rPr>
          <w:bCs/>
          <w:shd w:val="clear" w:color="auto" w:fill="FFFFFF"/>
        </w:rPr>
        <w:t>Handoko</w:t>
      </w:r>
      <w:proofErr w:type="spellEnd"/>
      <w:r w:rsidRPr="009D5C84">
        <w:rPr>
          <w:bCs/>
          <w:shd w:val="clear" w:color="auto" w:fill="FFFFFF"/>
        </w:rPr>
        <w:t xml:space="preserve">, F. (2017), “Precise wide baseline stereo image matching for compact digital cameras” </w:t>
      </w:r>
      <w:r w:rsidRPr="009D5C84">
        <w:rPr>
          <w:bCs/>
          <w:iCs/>
          <w:shd w:val="clear" w:color="auto" w:fill="FFFFFF"/>
        </w:rPr>
        <w:t>4th International Conference on Electrical Engineering, Computer Science and Informatics, EECSI</w:t>
      </w:r>
      <w:r w:rsidRPr="009D5C84">
        <w:rPr>
          <w:bCs/>
          <w:shd w:val="clear" w:color="auto" w:fill="FFFFFF"/>
        </w:rPr>
        <w:t>. DOI: 10.1109/EECSI.2017.8239106.</w:t>
      </w:r>
    </w:p>
    <w:p w14:paraId="7D8CB95F" w14:textId="77777777" w:rsidR="00E0698F" w:rsidRPr="009D5C84" w:rsidRDefault="00E0698F" w:rsidP="00663364">
      <w:pPr>
        <w:pStyle w:val="NoSpacing"/>
        <w:numPr>
          <w:ilvl w:val="0"/>
          <w:numId w:val="11"/>
        </w:numPr>
        <w:tabs>
          <w:tab w:val="left" w:pos="567"/>
        </w:tabs>
        <w:ind w:left="851" w:hanging="851"/>
        <w:jc w:val="both"/>
        <w:rPr>
          <w:shd w:val="clear" w:color="auto" w:fill="FFFFFF"/>
        </w:rPr>
      </w:pPr>
      <w:proofErr w:type="spellStart"/>
      <w:r w:rsidRPr="009D5C84">
        <w:rPr>
          <w:bCs/>
          <w:shd w:val="clear" w:color="auto" w:fill="FFFFFF"/>
          <w:lang w:val="en-US"/>
        </w:rPr>
        <w:t>Handoko</w:t>
      </w:r>
      <w:proofErr w:type="spellEnd"/>
      <w:r w:rsidRPr="009D5C84">
        <w:rPr>
          <w:bCs/>
          <w:shd w:val="clear" w:color="auto" w:fill="FFFFFF"/>
          <w:lang w:val="en-US"/>
        </w:rPr>
        <w:t xml:space="preserve">, F., </w:t>
      </w:r>
      <w:proofErr w:type="spellStart"/>
      <w:r w:rsidRPr="009D5C84">
        <w:rPr>
          <w:bCs/>
          <w:shd w:val="clear" w:color="auto" w:fill="FFFFFF"/>
          <w:lang w:val="en-US"/>
        </w:rPr>
        <w:t>Nursanti</w:t>
      </w:r>
      <w:proofErr w:type="spellEnd"/>
      <w:r w:rsidRPr="009D5C84">
        <w:rPr>
          <w:bCs/>
          <w:shd w:val="clear" w:color="auto" w:fill="FFFFFF"/>
          <w:lang w:val="en-US"/>
        </w:rPr>
        <w:t xml:space="preserve">, E., </w:t>
      </w:r>
      <w:proofErr w:type="spellStart"/>
      <w:r w:rsidRPr="009D5C84">
        <w:rPr>
          <w:bCs/>
          <w:shd w:val="clear" w:color="auto" w:fill="FFFFFF"/>
          <w:lang w:val="en-US"/>
        </w:rPr>
        <w:t>Gatot</w:t>
      </w:r>
      <w:proofErr w:type="spellEnd"/>
      <w:r w:rsidRPr="009D5C84">
        <w:rPr>
          <w:bCs/>
          <w:shd w:val="clear" w:color="auto" w:fill="FFFFFF"/>
          <w:lang w:val="en-US"/>
        </w:rPr>
        <w:t xml:space="preserve">, </w:t>
      </w:r>
      <w:proofErr w:type="spellStart"/>
      <w:r w:rsidRPr="009D5C84">
        <w:rPr>
          <w:bCs/>
          <w:shd w:val="clear" w:color="auto" w:fill="FFFFFF"/>
          <w:lang w:val="en-US"/>
        </w:rPr>
        <w:t>Tjahjadi</w:t>
      </w:r>
      <w:proofErr w:type="spellEnd"/>
      <w:r w:rsidRPr="009D5C84">
        <w:rPr>
          <w:bCs/>
          <w:shd w:val="clear" w:color="auto" w:fill="FFFFFF"/>
          <w:lang w:val="en-US"/>
        </w:rPr>
        <w:t xml:space="preserve">, M.E., </w:t>
      </w:r>
      <w:proofErr w:type="spellStart"/>
      <w:r w:rsidRPr="009D5C84">
        <w:rPr>
          <w:bCs/>
          <w:shd w:val="clear" w:color="auto" w:fill="FFFFFF"/>
          <w:lang w:val="en-US"/>
        </w:rPr>
        <w:t>Hutabarat</w:t>
      </w:r>
      <w:proofErr w:type="spellEnd"/>
      <w:r w:rsidRPr="009D5C84">
        <w:rPr>
          <w:bCs/>
          <w:shd w:val="clear" w:color="auto" w:fill="FFFFFF"/>
          <w:lang w:val="en-US"/>
        </w:rPr>
        <w:t xml:space="preserve">, J., </w:t>
      </w:r>
      <w:proofErr w:type="spellStart"/>
      <w:r w:rsidRPr="009D5C84">
        <w:rPr>
          <w:bCs/>
          <w:shd w:val="clear" w:color="auto" w:fill="FFFFFF"/>
          <w:lang w:val="en-US"/>
        </w:rPr>
        <w:t>Mulyadi</w:t>
      </w:r>
      <w:proofErr w:type="spellEnd"/>
      <w:r w:rsidRPr="009D5C84">
        <w:rPr>
          <w:bCs/>
          <w:shd w:val="clear" w:color="auto" w:fill="FFFFFF"/>
          <w:lang w:val="en-US"/>
        </w:rPr>
        <w:t xml:space="preserve">, L., and </w:t>
      </w:r>
      <w:proofErr w:type="spellStart"/>
      <w:r w:rsidRPr="009D5C84">
        <w:rPr>
          <w:bCs/>
          <w:shd w:val="clear" w:color="auto" w:fill="FFFFFF"/>
          <w:lang w:val="en-US"/>
        </w:rPr>
        <w:t>Kustamar</w:t>
      </w:r>
      <w:proofErr w:type="spellEnd"/>
      <w:r w:rsidRPr="009D5C84">
        <w:rPr>
          <w:bCs/>
          <w:shd w:val="clear" w:color="auto" w:fill="FFFFFF"/>
          <w:lang w:val="en-US"/>
        </w:rPr>
        <w:t xml:space="preserve">. (2018) “Green Industrial System in Indonesia”, MATEC Web Conf., 164 (2018) 01010, DOI: </w:t>
      </w:r>
      <w:hyperlink r:id="rId18" w:history="1">
        <w:r w:rsidRPr="009D5C84">
          <w:rPr>
            <w:rStyle w:val="Hyperlink"/>
            <w:bCs/>
            <w:color w:val="auto"/>
            <w:u w:val="none"/>
            <w:shd w:val="clear" w:color="auto" w:fill="FFFFFF"/>
            <w:lang w:val="en-US"/>
          </w:rPr>
          <w:t>https://doi.org/10.1051/matecconf/201816401010</w:t>
        </w:r>
      </w:hyperlink>
    </w:p>
    <w:p w14:paraId="247FD02D" w14:textId="77777777" w:rsidR="00E0698F" w:rsidRPr="009D5C84" w:rsidRDefault="00E0698F" w:rsidP="00663364">
      <w:pPr>
        <w:pStyle w:val="NoSpacing"/>
        <w:numPr>
          <w:ilvl w:val="0"/>
          <w:numId w:val="11"/>
        </w:numPr>
        <w:tabs>
          <w:tab w:val="left" w:pos="567"/>
        </w:tabs>
        <w:ind w:left="851" w:hanging="851"/>
        <w:jc w:val="both"/>
        <w:rPr>
          <w:bCs/>
          <w:shd w:val="clear" w:color="auto" w:fill="FFFFFF"/>
        </w:rPr>
      </w:pPr>
      <w:proofErr w:type="spellStart"/>
      <w:r w:rsidRPr="009D5C84">
        <w:rPr>
          <w:shd w:val="clear" w:color="auto" w:fill="FFFFFF"/>
        </w:rPr>
        <w:lastRenderedPageBreak/>
        <w:t>Wijayaningtyas</w:t>
      </w:r>
      <w:proofErr w:type="spellEnd"/>
      <w:r w:rsidRPr="009D5C84">
        <w:rPr>
          <w:shd w:val="clear" w:color="auto" w:fill="FFFFFF"/>
        </w:rPr>
        <w:t xml:space="preserve">, M., </w:t>
      </w:r>
      <w:proofErr w:type="spellStart"/>
      <w:r w:rsidRPr="009D5C84">
        <w:rPr>
          <w:shd w:val="clear" w:color="auto" w:fill="FFFFFF"/>
        </w:rPr>
        <w:t>Hidayat</w:t>
      </w:r>
      <w:proofErr w:type="spellEnd"/>
      <w:r w:rsidRPr="009D5C84">
        <w:rPr>
          <w:shd w:val="clear" w:color="auto" w:fill="FFFFFF"/>
        </w:rPr>
        <w:t xml:space="preserve">, S., Nainggolan, T A., </w:t>
      </w:r>
      <w:proofErr w:type="spellStart"/>
      <w:r w:rsidRPr="009D5C84">
        <w:rPr>
          <w:iCs/>
          <w:shd w:val="clear" w:color="auto" w:fill="FFFFFF"/>
        </w:rPr>
        <w:t>H</w:t>
      </w:r>
      <w:r w:rsidRPr="009D5C84">
        <w:rPr>
          <w:shd w:val="clear" w:color="auto" w:fill="FFFFFF"/>
        </w:rPr>
        <w:t>andoko</w:t>
      </w:r>
      <w:proofErr w:type="spellEnd"/>
      <w:r w:rsidRPr="009D5C84">
        <w:rPr>
          <w:shd w:val="clear" w:color="auto" w:fill="FFFFFF"/>
        </w:rPr>
        <w:t xml:space="preserve">, F., </w:t>
      </w:r>
      <w:proofErr w:type="spellStart"/>
      <w:r w:rsidRPr="009D5C84">
        <w:rPr>
          <w:shd w:val="clear" w:color="auto" w:fill="FFFFFF"/>
        </w:rPr>
        <w:t>Lukiyanto</w:t>
      </w:r>
      <w:proofErr w:type="spellEnd"/>
      <w:r w:rsidRPr="009D5C84">
        <w:rPr>
          <w:shd w:val="clear" w:color="auto" w:fill="FFFFFF"/>
        </w:rPr>
        <w:t>, K., Ismail, A. (2020)  “</w:t>
      </w:r>
      <w:r w:rsidRPr="009D5C84">
        <w:rPr>
          <w:bCs/>
          <w:shd w:val="clear" w:color="auto" w:fill="FFFFFF"/>
        </w:rPr>
        <w:t xml:space="preserve">Energy Efficiency of Eco-Friendly Home: Users' Perception”, E3S Web of Conferences 188, 00019. https://doi.org/10.1051/e3sconf/202018800019 </w:t>
      </w:r>
    </w:p>
    <w:p w14:paraId="6F744B05" w14:textId="566205A5" w:rsidR="00E0698F" w:rsidRPr="009D5C84" w:rsidRDefault="00E0698F" w:rsidP="00663364">
      <w:pPr>
        <w:pStyle w:val="NoSpacing"/>
        <w:numPr>
          <w:ilvl w:val="0"/>
          <w:numId w:val="11"/>
        </w:numPr>
        <w:tabs>
          <w:tab w:val="left" w:pos="567"/>
        </w:tabs>
        <w:ind w:left="851" w:hanging="851"/>
        <w:jc w:val="both"/>
        <w:rPr>
          <w:bCs/>
          <w:shd w:val="clear" w:color="auto" w:fill="FFFFFF"/>
        </w:rPr>
      </w:pPr>
      <w:proofErr w:type="spellStart"/>
      <w:r w:rsidRPr="009D5C84">
        <w:rPr>
          <w:bCs/>
          <w:shd w:val="clear" w:color="auto" w:fill="FFFFFF"/>
        </w:rPr>
        <w:t>Wijayaningtyas</w:t>
      </w:r>
      <w:proofErr w:type="spellEnd"/>
      <w:r w:rsidRPr="009D5C84">
        <w:rPr>
          <w:bCs/>
          <w:shd w:val="clear" w:color="auto" w:fill="FFFFFF"/>
        </w:rPr>
        <w:t xml:space="preserve">, M., </w:t>
      </w:r>
      <w:proofErr w:type="spellStart"/>
      <w:r w:rsidRPr="009D5C84">
        <w:rPr>
          <w:bCs/>
          <w:iCs/>
          <w:shd w:val="clear" w:color="auto" w:fill="FFFFFF"/>
        </w:rPr>
        <w:t>H</w:t>
      </w:r>
      <w:r w:rsidRPr="009D5C84">
        <w:rPr>
          <w:bCs/>
          <w:shd w:val="clear" w:color="auto" w:fill="FFFFFF"/>
        </w:rPr>
        <w:t>andoko</w:t>
      </w:r>
      <w:proofErr w:type="spellEnd"/>
      <w:r w:rsidRPr="009D5C84">
        <w:rPr>
          <w:bCs/>
          <w:shd w:val="clear" w:color="auto" w:fill="FFFFFF"/>
        </w:rPr>
        <w:t xml:space="preserve">, F., </w:t>
      </w:r>
      <w:proofErr w:type="spellStart"/>
      <w:r w:rsidRPr="009D5C84">
        <w:rPr>
          <w:bCs/>
          <w:shd w:val="clear" w:color="auto" w:fill="FFFFFF"/>
        </w:rPr>
        <w:t>Hidayat</w:t>
      </w:r>
      <w:proofErr w:type="spellEnd"/>
      <w:r w:rsidRPr="009D5C84">
        <w:rPr>
          <w:bCs/>
          <w:shd w:val="clear" w:color="auto" w:fill="FFFFFF"/>
        </w:rPr>
        <w:t>, S. (2019) “The millennials' perceived behavioural control on an eco-Friendly house purchase intention”, Journal of Physics: Conference Series, 2019, 1375(1), 012060</w:t>
      </w:r>
    </w:p>
    <w:p w14:paraId="0FB82C5C" w14:textId="278A8291" w:rsidR="00207058" w:rsidRPr="009D5C84" w:rsidRDefault="00207058"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Porter, M.E., 2008.</w:t>
      </w:r>
      <w:r w:rsidRPr="009D5C84">
        <w:rPr>
          <w:shd w:val="clear" w:color="auto" w:fill="FFFFFF"/>
          <w:lang w:val="en-US"/>
        </w:rPr>
        <w:t xml:space="preserve"> "Competitive Advantage": Creating and Sustaining Superior Performance. The Free Press.</w:t>
      </w:r>
      <w:r w:rsidRPr="009D5C84">
        <w:rPr>
          <w:shd w:val="clear" w:color="auto" w:fill="FFFFFF"/>
        </w:rPr>
        <w:t xml:space="preserve"> [Revision].</w:t>
      </w:r>
    </w:p>
    <w:p w14:paraId="5FE4A35B" w14:textId="0735CF4E" w:rsidR="00207058" w:rsidRPr="009D5C84" w:rsidRDefault="00D61389"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Schlie, 1996, “the Contribution of Technology to Competitive Advantage”. Handbook of Management of Technology. Mc. Graw Hill.</w:t>
      </w:r>
    </w:p>
    <w:p w14:paraId="29E01EA1" w14:textId="77777777" w:rsidR="006A0545" w:rsidRPr="009D5C84" w:rsidRDefault="00F53F4F" w:rsidP="00663364">
      <w:pPr>
        <w:pStyle w:val="NoSpacing"/>
        <w:numPr>
          <w:ilvl w:val="0"/>
          <w:numId w:val="11"/>
        </w:numPr>
        <w:tabs>
          <w:tab w:val="left" w:pos="567"/>
        </w:tabs>
        <w:ind w:left="851" w:hanging="851"/>
        <w:jc w:val="both"/>
        <w:rPr>
          <w:bCs/>
          <w:shd w:val="clear" w:color="auto" w:fill="FFFFFF"/>
        </w:rPr>
      </w:pPr>
      <w:hyperlink r:id="rId19" w:history="1">
        <w:proofErr w:type="spellStart"/>
        <w:r w:rsidR="006A0545" w:rsidRPr="009D5C84">
          <w:rPr>
            <w:rStyle w:val="Hyperlink"/>
            <w:bCs/>
            <w:color w:val="auto"/>
            <w:u w:val="none"/>
            <w:shd w:val="clear" w:color="auto" w:fill="FFFFFF"/>
          </w:rPr>
          <w:t>Handoko</w:t>
        </w:r>
        <w:proofErr w:type="spellEnd"/>
        <w:r w:rsidR="006A0545" w:rsidRPr="009D5C84">
          <w:rPr>
            <w:rStyle w:val="Hyperlink"/>
            <w:bCs/>
            <w:color w:val="auto"/>
            <w:u w:val="none"/>
            <w:shd w:val="clear" w:color="auto" w:fill="FFFFFF"/>
          </w:rPr>
          <w:t>, F.</w:t>
        </w:r>
      </w:hyperlink>
      <w:r w:rsidR="006A0545" w:rsidRPr="009D5C84">
        <w:rPr>
          <w:bCs/>
          <w:shd w:val="clear" w:color="auto" w:fill="FFFFFF"/>
        </w:rPr>
        <w:t>, </w:t>
      </w:r>
      <w:hyperlink r:id="rId20" w:history="1">
        <w:proofErr w:type="spellStart"/>
        <w:r w:rsidR="006A0545" w:rsidRPr="009D5C84">
          <w:rPr>
            <w:rStyle w:val="Hyperlink"/>
            <w:bCs/>
            <w:color w:val="auto"/>
            <w:u w:val="none"/>
            <w:shd w:val="clear" w:color="auto" w:fill="FFFFFF"/>
          </w:rPr>
          <w:t>Vitasari</w:t>
        </w:r>
        <w:proofErr w:type="spellEnd"/>
        <w:r w:rsidR="006A0545" w:rsidRPr="009D5C84">
          <w:rPr>
            <w:rStyle w:val="Hyperlink"/>
            <w:bCs/>
            <w:color w:val="auto"/>
            <w:u w:val="none"/>
            <w:shd w:val="clear" w:color="auto" w:fill="FFFFFF"/>
          </w:rPr>
          <w:t>, P.</w:t>
        </w:r>
      </w:hyperlink>
      <w:r w:rsidR="006A0545" w:rsidRPr="009D5C84">
        <w:rPr>
          <w:bCs/>
          <w:shd w:val="clear" w:color="auto" w:fill="FFFFFF"/>
        </w:rPr>
        <w:t>, </w:t>
      </w:r>
      <w:hyperlink r:id="rId21" w:history="1">
        <w:proofErr w:type="spellStart"/>
        <w:r w:rsidR="006A0545" w:rsidRPr="009D5C84">
          <w:rPr>
            <w:rStyle w:val="Hyperlink"/>
            <w:bCs/>
            <w:color w:val="auto"/>
            <w:u w:val="none"/>
            <w:shd w:val="clear" w:color="auto" w:fill="FFFFFF"/>
          </w:rPr>
          <w:t>Hidayat</w:t>
        </w:r>
        <w:proofErr w:type="spellEnd"/>
        <w:r w:rsidR="006A0545" w:rsidRPr="009D5C84">
          <w:rPr>
            <w:rStyle w:val="Hyperlink"/>
            <w:bCs/>
            <w:color w:val="auto"/>
            <w:u w:val="none"/>
            <w:shd w:val="clear" w:color="auto" w:fill="FFFFFF"/>
          </w:rPr>
          <w:t>, S.</w:t>
        </w:r>
      </w:hyperlink>
      <w:r w:rsidR="006A0545" w:rsidRPr="009D5C84">
        <w:rPr>
          <w:bCs/>
          <w:shd w:val="clear" w:color="auto" w:fill="FFFFFF"/>
        </w:rPr>
        <w:t>, </w:t>
      </w:r>
      <w:hyperlink r:id="rId22" w:history="1">
        <w:proofErr w:type="spellStart"/>
        <w:r w:rsidR="006A0545" w:rsidRPr="009D5C84">
          <w:rPr>
            <w:rStyle w:val="Hyperlink"/>
            <w:bCs/>
            <w:color w:val="auto"/>
            <w:u w:val="none"/>
            <w:shd w:val="clear" w:color="auto" w:fill="FFFFFF"/>
          </w:rPr>
          <w:t>Tjahjadi</w:t>
        </w:r>
        <w:proofErr w:type="spellEnd"/>
        <w:r w:rsidR="006A0545" w:rsidRPr="009D5C84">
          <w:rPr>
            <w:rStyle w:val="Hyperlink"/>
            <w:bCs/>
            <w:color w:val="auto"/>
            <w:u w:val="none"/>
            <w:shd w:val="clear" w:color="auto" w:fill="FFFFFF"/>
          </w:rPr>
          <w:t>, M.E.</w:t>
        </w:r>
      </w:hyperlink>
      <w:r w:rsidR="006A0545" w:rsidRPr="009D5C84">
        <w:rPr>
          <w:bCs/>
          <w:shd w:val="clear" w:color="auto" w:fill="FFFFFF"/>
        </w:rPr>
        <w:t xml:space="preserve"> (2019) “Technology transfer program for SMEs in Indonesia”, Journal of Physics: Conference Series, 1375(1), 012053</w:t>
      </w:r>
    </w:p>
    <w:p w14:paraId="4E75A0D6" w14:textId="77777777" w:rsidR="006A0545" w:rsidRPr="009D5C84" w:rsidRDefault="006A0545" w:rsidP="00663364">
      <w:pPr>
        <w:pStyle w:val="NoSpacing"/>
        <w:numPr>
          <w:ilvl w:val="0"/>
          <w:numId w:val="11"/>
        </w:numPr>
        <w:tabs>
          <w:tab w:val="left" w:pos="567"/>
        </w:tabs>
        <w:ind w:left="851" w:hanging="851"/>
        <w:jc w:val="both"/>
        <w:rPr>
          <w:bCs/>
          <w:shd w:val="clear" w:color="auto" w:fill="FFFFFF"/>
          <w:lang w:val="en-US"/>
        </w:rPr>
      </w:pPr>
      <w:proofErr w:type="spellStart"/>
      <w:r w:rsidRPr="009D5C84">
        <w:rPr>
          <w:bCs/>
          <w:shd w:val="clear" w:color="auto" w:fill="FFFFFF"/>
          <w:lang w:val="en-US"/>
        </w:rPr>
        <w:t>Handoko</w:t>
      </w:r>
      <w:proofErr w:type="spellEnd"/>
      <w:proofErr w:type="gramStart"/>
      <w:r w:rsidRPr="009D5C84">
        <w:rPr>
          <w:bCs/>
          <w:shd w:val="clear" w:color="auto" w:fill="FFFFFF"/>
          <w:lang w:val="en-US"/>
        </w:rPr>
        <w:t>,  F</w:t>
      </w:r>
      <w:proofErr w:type="gramEnd"/>
      <w:r w:rsidRPr="009D5C84">
        <w:rPr>
          <w:bCs/>
          <w:shd w:val="clear" w:color="auto" w:fill="FFFFFF"/>
          <w:lang w:val="en-US"/>
        </w:rPr>
        <w:t>. (2017) “Constructing  Knowledge  and  Technology  Transfer  Model  for  SMEs Technology Development in Emerging Economies. International Journal of Pedagogy and Teacher Education. Vol 1, No. 2. pp. 93</w:t>
      </w:r>
    </w:p>
    <w:p w14:paraId="58670B56" w14:textId="77777777" w:rsidR="00D11375" w:rsidRPr="009D5C84" w:rsidRDefault="00D11375" w:rsidP="00663364">
      <w:pPr>
        <w:pStyle w:val="NoSpacing"/>
        <w:numPr>
          <w:ilvl w:val="0"/>
          <w:numId w:val="11"/>
        </w:numPr>
        <w:tabs>
          <w:tab w:val="left" w:pos="567"/>
          <w:tab w:val="left" w:pos="993"/>
        </w:tabs>
        <w:ind w:left="851" w:hanging="851"/>
        <w:jc w:val="both"/>
        <w:rPr>
          <w:bCs/>
          <w:shd w:val="clear" w:color="auto" w:fill="FFFFFF"/>
        </w:rPr>
      </w:pPr>
      <w:r w:rsidRPr="009D5C84">
        <w:rPr>
          <w:bCs/>
          <w:shd w:val="clear" w:color="auto" w:fill="FFFFFF"/>
        </w:rPr>
        <w:t>Lee, Y.S., 1998. University–industry collaboration on technology transfer: views from the ivory tower. Policy Studies Journal 26_1, 69–84.</w:t>
      </w:r>
    </w:p>
    <w:p w14:paraId="27ED1CC6" w14:textId="042AD09E" w:rsidR="006A0545" w:rsidRPr="009D5C84" w:rsidRDefault="00D11375" w:rsidP="00663364">
      <w:pPr>
        <w:pStyle w:val="NoSpacing"/>
        <w:numPr>
          <w:ilvl w:val="0"/>
          <w:numId w:val="11"/>
        </w:numPr>
        <w:tabs>
          <w:tab w:val="left" w:pos="567"/>
          <w:tab w:val="left" w:pos="993"/>
        </w:tabs>
        <w:ind w:left="851" w:hanging="851"/>
        <w:jc w:val="both"/>
        <w:rPr>
          <w:bCs/>
          <w:shd w:val="clear" w:color="auto" w:fill="FFFFFF"/>
        </w:rPr>
      </w:pPr>
      <w:r w:rsidRPr="009D5C84">
        <w:rPr>
          <w:bCs/>
          <w:shd w:val="clear" w:color="auto" w:fill="FFFFFF"/>
        </w:rPr>
        <w:t xml:space="preserve">Lee, Y. S., 2000; the sustainability of university-industry research collaboration: an empirical assessment, </w:t>
      </w:r>
      <w:r w:rsidRPr="009D5C84">
        <w:rPr>
          <w:bCs/>
          <w:i/>
          <w:iCs/>
          <w:shd w:val="clear" w:color="auto" w:fill="FFFFFF"/>
        </w:rPr>
        <w:t xml:space="preserve">Journal of Technology Transfer </w:t>
      </w:r>
      <w:r w:rsidRPr="009D5C84">
        <w:rPr>
          <w:bCs/>
          <w:shd w:val="clear" w:color="auto" w:fill="FFFFFF"/>
        </w:rPr>
        <w:t>25(2): 111-133.</w:t>
      </w:r>
    </w:p>
    <w:p w14:paraId="16958F91" w14:textId="02B17310" w:rsidR="007928CB" w:rsidRPr="009D5C84" w:rsidRDefault="007928CB" w:rsidP="00663364">
      <w:pPr>
        <w:pStyle w:val="NoSpacing"/>
        <w:numPr>
          <w:ilvl w:val="0"/>
          <w:numId w:val="11"/>
        </w:numPr>
        <w:tabs>
          <w:tab w:val="left" w:pos="567"/>
          <w:tab w:val="left" w:pos="993"/>
        </w:tabs>
        <w:ind w:left="851" w:hanging="851"/>
        <w:jc w:val="both"/>
        <w:rPr>
          <w:bCs/>
          <w:shd w:val="clear" w:color="auto" w:fill="FFFFFF"/>
        </w:rPr>
      </w:pPr>
      <w:r w:rsidRPr="009D5C84">
        <w:rPr>
          <w:bCs/>
          <w:shd w:val="clear" w:color="auto" w:fill="FFFFFF"/>
        </w:rPr>
        <w:t xml:space="preserve">Hill, 2001; “Small and Medium Enterprises in Indonesia: </w:t>
      </w:r>
      <w:r w:rsidRPr="009D5C84">
        <w:rPr>
          <w:bCs/>
          <w:iCs/>
          <w:shd w:val="clear" w:color="auto" w:fill="FFFFFF"/>
        </w:rPr>
        <w:t>Old Policy Challenges for a</w:t>
      </w:r>
      <w:r w:rsidRPr="009D5C84">
        <w:rPr>
          <w:bCs/>
          <w:shd w:val="clear" w:color="auto" w:fill="FFFFFF"/>
        </w:rPr>
        <w:t xml:space="preserve"> </w:t>
      </w:r>
      <w:r w:rsidRPr="009D5C84">
        <w:rPr>
          <w:bCs/>
          <w:iCs/>
          <w:shd w:val="clear" w:color="auto" w:fill="FFFFFF"/>
        </w:rPr>
        <w:t xml:space="preserve">New Administration”, </w:t>
      </w:r>
      <w:r w:rsidRPr="009D5C84">
        <w:rPr>
          <w:bCs/>
          <w:i/>
          <w:iCs/>
          <w:shd w:val="clear" w:color="auto" w:fill="FFFFFF"/>
        </w:rPr>
        <w:t>Asian Survey</w:t>
      </w:r>
      <w:r w:rsidRPr="009D5C84">
        <w:rPr>
          <w:bCs/>
          <w:shd w:val="clear" w:color="auto" w:fill="FFFFFF"/>
        </w:rPr>
        <w:t>, 41:2, pp. 248–270.</w:t>
      </w:r>
    </w:p>
    <w:p w14:paraId="38D340E6" w14:textId="5E780C5C" w:rsidR="009609DC" w:rsidRDefault="00245D53" w:rsidP="00663364">
      <w:pPr>
        <w:pStyle w:val="NoSpacing"/>
        <w:numPr>
          <w:ilvl w:val="0"/>
          <w:numId w:val="11"/>
        </w:numPr>
        <w:tabs>
          <w:tab w:val="left" w:pos="567"/>
          <w:tab w:val="left" w:pos="993"/>
        </w:tabs>
        <w:ind w:left="851" w:hanging="851"/>
        <w:jc w:val="both"/>
        <w:rPr>
          <w:bCs/>
          <w:shd w:val="clear" w:color="auto" w:fill="FFFFFF"/>
          <w:lang w:val="en-US"/>
        </w:rPr>
      </w:pPr>
      <w:r w:rsidRPr="009D5C84">
        <w:rPr>
          <w:bCs/>
          <w:shd w:val="clear" w:color="auto" w:fill="FFFFFF"/>
          <w:lang w:val="en-US"/>
        </w:rPr>
        <w:t xml:space="preserve">Hair, J. F., W. C. Black, B. J. </w:t>
      </w:r>
      <w:proofErr w:type="spellStart"/>
      <w:r w:rsidRPr="009D5C84">
        <w:rPr>
          <w:bCs/>
          <w:shd w:val="clear" w:color="auto" w:fill="FFFFFF"/>
          <w:lang w:val="en-US"/>
        </w:rPr>
        <w:t>Babin</w:t>
      </w:r>
      <w:proofErr w:type="spellEnd"/>
      <w:r w:rsidRPr="009D5C84">
        <w:rPr>
          <w:bCs/>
          <w:shd w:val="clear" w:color="auto" w:fill="FFFFFF"/>
          <w:lang w:val="en-US"/>
        </w:rPr>
        <w:t>, and E. R. Anderson. 20</w:t>
      </w:r>
      <w:r w:rsidR="009609DC" w:rsidRPr="009D5C84">
        <w:rPr>
          <w:bCs/>
          <w:shd w:val="clear" w:color="auto" w:fill="FFFFFF"/>
          <w:lang w:val="en-US"/>
        </w:rPr>
        <w:t xml:space="preserve">10. Multivariate </w:t>
      </w:r>
      <w:proofErr w:type="gramStart"/>
      <w:r w:rsidR="009609DC" w:rsidRPr="009D5C84">
        <w:rPr>
          <w:bCs/>
          <w:shd w:val="clear" w:color="auto" w:fill="FFFFFF"/>
          <w:lang w:val="en-US"/>
        </w:rPr>
        <w:t>Data  Analysis</w:t>
      </w:r>
      <w:proofErr w:type="gramEnd"/>
      <w:r w:rsidR="009609DC" w:rsidRPr="009D5C84">
        <w:rPr>
          <w:bCs/>
          <w:shd w:val="clear" w:color="auto" w:fill="FFFFFF"/>
          <w:lang w:val="en-US"/>
        </w:rPr>
        <w:t xml:space="preserve">. </w:t>
      </w:r>
      <w:r w:rsidRPr="009D5C84">
        <w:rPr>
          <w:bCs/>
          <w:shd w:val="clear" w:color="auto" w:fill="FFFFFF"/>
          <w:lang w:val="en-US"/>
        </w:rPr>
        <w:t>7th ed. Upper Saddle River, NJ: Pearson Prentice Hall.</w:t>
      </w:r>
    </w:p>
    <w:p w14:paraId="6A0F2458" w14:textId="77777777" w:rsidR="009F7F31" w:rsidRPr="00180891" w:rsidRDefault="009F7F31" w:rsidP="001A7ECE">
      <w:pPr>
        <w:pStyle w:val="NoSpacing"/>
        <w:ind w:left="851" w:hanging="491"/>
        <w:jc w:val="both"/>
        <w:rPr>
          <w:bCs/>
        </w:rPr>
      </w:pPr>
    </w:p>
    <w:sectPr w:rsidR="009F7F31" w:rsidRPr="00180891" w:rsidSect="00574067">
      <w:pgSz w:w="11900" w:h="16840"/>
      <w:pgMar w:top="2268" w:right="1418" w:bottom="153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E95446" w15:done="0"/>
  <w15:commentEx w15:paraId="72F9922A" w15:done="0"/>
  <w15:commentEx w15:paraId="765289B4" w15:done="0"/>
  <w15:commentEx w15:paraId="37A5BBE0" w15:done="0"/>
  <w15:commentEx w15:paraId="1075D2C2" w15:done="0"/>
  <w15:commentEx w15:paraId="768C014B" w15:done="0"/>
  <w15:commentEx w15:paraId="60FED29A" w15:done="0"/>
  <w15:commentEx w15:paraId="096B98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95446" w16cid:durableId="235E57C7"/>
  <w16cid:commentId w16cid:paraId="72F9922A" w16cid:durableId="235E5854"/>
  <w16cid:commentId w16cid:paraId="765289B4" w16cid:durableId="235E588B"/>
  <w16cid:commentId w16cid:paraId="37A5BBE0" w16cid:durableId="235E5873"/>
  <w16cid:commentId w16cid:paraId="1075D2C2" w16cid:durableId="235E58C7"/>
  <w16cid:commentId w16cid:paraId="768C014B" w16cid:durableId="235E58CD"/>
  <w16cid:commentId w16cid:paraId="60FED29A" w16cid:durableId="235E58F1"/>
  <w16cid:commentId w16cid:paraId="096B9865" w16cid:durableId="235E58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Times">
    <w:altName w:val="Times Roman"/>
    <w:panose1 w:val="00000000000000000000"/>
    <w:charset w:val="4D"/>
    <w:family w:val="roman"/>
    <w:notTrueType/>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5D1"/>
    <w:multiLevelType w:val="hybridMultilevel"/>
    <w:tmpl w:val="4DB0E7B6"/>
    <w:lvl w:ilvl="0" w:tplc="F3E61A3C">
      <w:start w:val="1"/>
      <w:numFmt w:val="bullet"/>
      <w:lvlText w:val=""/>
      <w:lvlJc w:val="left"/>
      <w:pPr>
        <w:tabs>
          <w:tab w:val="num" w:pos="567"/>
        </w:tabs>
        <w:ind w:left="567" w:hanging="56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30611"/>
    <w:multiLevelType w:val="hybridMultilevel"/>
    <w:tmpl w:val="68829E58"/>
    <w:lvl w:ilvl="0" w:tplc="36640F9E">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
    <w:nsid w:val="0B6E2460"/>
    <w:multiLevelType w:val="hybridMultilevel"/>
    <w:tmpl w:val="7E0E7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A523C"/>
    <w:multiLevelType w:val="hybridMultilevel"/>
    <w:tmpl w:val="68829E58"/>
    <w:lvl w:ilvl="0" w:tplc="3664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66ABF"/>
    <w:multiLevelType w:val="hybridMultilevel"/>
    <w:tmpl w:val="5A48D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84417"/>
    <w:multiLevelType w:val="hybridMultilevel"/>
    <w:tmpl w:val="F5D69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7453E5"/>
    <w:multiLevelType w:val="hybridMultilevel"/>
    <w:tmpl w:val="99305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17C82"/>
    <w:multiLevelType w:val="hybridMultilevel"/>
    <w:tmpl w:val="68829E58"/>
    <w:lvl w:ilvl="0" w:tplc="3664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B55D61"/>
    <w:multiLevelType w:val="hybridMultilevel"/>
    <w:tmpl w:val="68829E58"/>
    <w:lvl w:ilvl="0" w:tplc="3664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5656F1"/>
    <w:multiLevelType w:val="multilevel"/>
    <w:tmpl w:val="2FD4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97294"/>
    <w:multiLevelType w:val="hybridMultilevel"/>
    <w:tmpl w:val="AEEC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2A0828"/>
    <w:multiLevelType w:val="hybridMultilevel"/>
    <w:tmpl w:val="32CAC7B2"/>
    <w:lvl w:ilvl="0" w:tplc="36640F9E">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4"/>
  </w:num>
  <w:num w:numId="6">
    <w:abstractNumId w:val="12"/>
  </w:num>
  <w:num w:numId="7">
    <w:abstractNumId w:val="5"/>
  </w:num>
  <w:num w:numId="8">
    <w:abstractNumId w:val="11"/>
  </w:num>
  <w:num w:numId="9">
    <w:abstractNumId w:val="10"/>
  </w:num>
  <w:num w:numId="10">
    <w:abstractNumId w:val="13"/>
  </w:num>
  <w:num w:numId="11">
    <w:abstractNumId w:val="14"/>
  </w:num>
  <w:num w:numId="12">
    <w:abstractNumId w:val="9"/>
  </w:num>
  <w:num w:numId="13">
    <w:abstractNumId w:val="6"/>
  </w:num>
  <w:num w:numId="14">
    <w:abstractNumId w:val="1"/>
  </w:num>
  <w:num w:numId="15">
    <w:abstractNumId w:val="16"/>
  </w:num>
  <w:num w:numId="16">
    <w:abstractNumId w:val="7"/>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wNTQzMzU0MjE2MDZQ0lEKTi0uzszPAykwrAUA650GySwAAAA="/>
  </w:docVars>
  <w:rsids>
    <w:rsidRoot w:val="009A7124"/>
    <w:rsid w:val="00023A1B"/>
    <w:rsid w:val="00037B76"/>
    <w:rsid w:val="00070480"/>
    <w:rsid w:val="000846D9"/>
    <w:rsid w:val="00091725"/>
    <w:rsid w:val="000B4853"/>
    <w:rsid w:val="000E0499"/>
    <w:rsid w:val="00114A16"/>
    <w:rsid w:val="00116318"/>
    <w:rsid w:val="001330F8"/>
    <w:rsid w:val="00171443"/>
    <w:rsid w:val="001A31FE"/>
    <w:rsid w:val="001A5AA3"/>
    <w:rsid w:val="001A7ECE"/>
    <w:rsid w:val="001B2297"/>
    <w:rsid w:val="001B5D2A"/>
    <w:rsid w:val="00207058"/>
    <w:rsid w:val="00216CC9"/>
    <w:rsid w:val="00245D53"/>
    <w:rsid w:val="00263131"/>
    <w:rsid w:val="00281B34"/>
    <w:rsid w:val="00290BA2"/>
    <w:rsid w:val="002B0751"/>
    <w:rsid w:val="002C31AD"/>
    <w:rsid w:val="002C5E5C"/>
    <w:rsid w:val="002D320E"/>
    <w:rsid w:val="002F5EF3"/>
    <w:rsid w:val="0030065B"/>
    <w:rsid w:val="00330BB7"/>
    <w:rsid w:val="00331F78"/>
    <w:rsid w:val="00372A7D"/>
    <w:rsid w:val="0038192E"/>
    <w:rsid w:val="003944DE"/>
    <w:rsid w:val="003A2EEA"/>
    <w:rsid w:val="003A3BB2"/>
    <w:rsid w:val="003E77C8"/>
    <w:rsid w:val="003F03E5"/>
    <w:rsid w:val="003F5E12"/>
    <w:rsid w:val="00452D74"/>
    <w:rsid w:val="004536F6"/>
    <w:rsid w:val="00457463"/>
    <w:rsid w:val="00463769"/>
    <w:rsid w:val="004A57B7"/>
    <w:rsid w:val="004D0C61"/>
    <w:rsid w:val="004D3228"/>
    <w:rsid w:val="00511DBF"/>
    <w:rsid w:val="0051226C"/>
    <w:rsid w:val="00527E6F"/>
    <w:rsid w:val="00541CC1"/>
    <w:rsid w:val="00547813"/>
    <w:rsid w:val="005555C2"/>
    <w:rsid w:val="00574067"/>
    <w:rsid w:val="005741C9"/>
    <w:rsid w:val="005855A0"/>
    <w:rsid w:val="005A2168"/>
    <w:rsid w:val="005A46DA"/>
    <w:rsid w:val="005B6250"/>
    <w:rsid w:val="005D06D3"/>
    <w:rsid w:val="00635BB8"/>
    <w:rsid w:val="006521C0"/>
    <w:rsid w:val="00655569"/>
    <w:rsid w:val="00663364"/>
    <w:rsid w:val="0067295F"/>
    <w:rsid w:val="0068758B"/>
    <w:rsid w:val="006877FF"/>
    <w:rsid w:val="006A0545"/>
    <w:rsid w:val="006A31E9"/>
    <w:rsid w:val="006A79E4"/>
    <w:rsid w:val="006C1195"/>
    <w:rsid w:val="006D26BB"/>
    <w:rsid w:val="00760CDA"/>
    <w:rsid w:val="007774BE"/>
    <w:rsid w:val="007928CB"/>
    <w:rsid w:val="00794220"/>
    <w:rsid w:val="00797274"/>
    <w:rsid w:val="007C56BE"/>
    <w:rsid w:val="007E6B43"/>
    <w:rsid w:val="0080513E"/>
    <w:rsid w:val="00806B42"/>
    <w:rsid w:val="00826E7F"/>
    <w:rsid w:val="0085334D"/>
    <w:rsid w:val="008D47C3"/>
    <w:rsid w:val="00947226"/>
    <w:rsid w:val="009609DC"/>
    <w:rsid w:val="009654B3"/>
    <w:rsid w:val="00982185"/>
    <w:rsid w:val="009A7124"/>
    <w:rsid w:val="009B5276"/>
    <w:rsid w:val="009B5D81"/>
    <w:rsid w:val="009B6BD4"/>
    <w:rsid w:val="009C2131"/>
    <w:rsid w:val="009C7B8C"/>
    <w:rsid w:val="009D1402"/>
    <w:rsid w:val="009D5C84"/>
    <w:rsid w:val="009F7F31"/>
    <w:rsid w:val="00A052FD"/>
    <w:rsid w:val="00A21D8F"/>
    <w:rsid w:val="00A235A1"/>
    <w:rsid w:val="00A27CC7"/>
    <w:rsid w:val="00A613E9"/>
    <w:rsid w:val="00A653F7"/>
    <w:rsid w:val="00A81403"/>
    <w:rsid w:val="00AA328A"/>
    <w:rsid w:val="00AF6935"/>
    <w:rsid w:val="00B011DB"/>
    <w:rsid w:val="00B42A31"/>
    <w:rsid w:val="00B5524D"/>
    <w:rsid w:val="00B57CB6"/>
    <w:rsid w:val="00B65B56"/>
    <w:rsid w:val="00B9200A"/>
    <w:rsid w:val="00BA7B22"/>
    <w:rsid w:val="00BD0AB9"/>
    <w:rsid w:val="00BE3003"/>
    <w:rsid w:val="00C157A9"/>
    <w:rsid w:val="00C20CB1"/>
    <w:rsid w:val="00C34EA1"/>
    <w:rsid w:val="00C475AB"/>
    <w:rsid w:val="00C72B69"/>
    <w:rsid w:val="00C730A1"/>
    <w:rsid w:val="00C74A42"/>
    <w:rsid w:val="00C81C03"/>
    <w:rsid w:val="00CA1859"/>
    <w:rsid w:val="00CD03B3"/>
    <w:rsid w:val="00CD469E"/>
    <w:rsid w:val="00CE2BCD"/>
    <w:rsid w:val="00D10780"/>
    <w:rsid w:val="00D11375"/>
    <w:rsid w:val="00D211EC"/>
    <w:rsid w:val="00D34C93"/>
    <w:rsid w:val="00D4324E"/>
    <w:rsid w:val="00D61389"/>
    <w:rsid w:val="00D670A1"/>
    <w:rsid w:val="00D719B5"/>
    <w:rsid w:val="00DB2090"/>
    <w:rsid w:val="00DC6CBC"/>
    <w:rsid w:val="00DE72CA"/>
    <w:rsid w:val="00DF442C"/>
    <w:rsid w:val="00E0698F"/>
    <w:rsid w:val="00E20710"/>
    <w:rsid w:val="00E63B58"/>
    <w:rsid w:val="00E72FE9"/>
    <w:rsid w:val="00EB588C"/>
    <w:rsid w:val="00EB7A4D"/>
    <w:rsid w:val="00EC4496"/>
    <w:rsid w:val="00EE630C"/>
    <w:rsid w:val="00EF3631"/>
    <w:rsid w:val="00F23033"/>
    <w:rsid w:val="00F53F4F"/>
    <w:rsid w:val="00F87C71"/>
    <w:rsid w:val="00F95D71"/>
    <w:rsid w:val="00FE4FD7"/>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0D82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24"/>
    <w:pPr>
      <w:spacing w:after="200" w:line="276" w:lineRule="auto"/>
    </w:pPr>
    <w:rPr>
      <w:rFonts w:ascii="Times New Roman" w:eastAsia="SimSun" w:hAnsi="Times New Roman" w:cs="Times New Roman"/>
      <w:sz w:val="22"/>
      <w:szCs w:val="22"/>
      <w:lang w:val="en-A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28A"/>
    <w:rPr>
      <w:rFonts w:ascii="Times New Roman" w:eastAsia="SimSun" w:hAnsi="Times New Roman" w:cs="Times New Roman"/>
      <w:sz w:val="22"/>
      <w:szCs w:val="22"/>
      <w:lang w:val="en-AU" w:eastAsia="zh-CN"/>
    </w:rPr>
  </w:style>
  <w:style w:type="character" w:styleId="Hyperlink">
    <w:name w:val="Hyperlink"/>
    <w:basedOn w:val="DefaultParagraphFont"/>
    <w:uiPriority w:val="99"/>
    <w:unhideWhenUsed/>
    <w:rsid w:val="00D670A1"/>
    <w:rPr>
      <w:color w:val="0000FF" w:themeColor="hyperlink"/>
      <w:u w:val="single"/>
    </w:rPr>
  </w:style>
  <w:style w:type="paragraph" w:styleId="NormalWeb">
    <w:name w:val="Normal (Web)"/>
    <w:basedOn w:val="Normal"/>
    <w:uiPriority w:val="99"/>
    <w:semiHidden/>
    <w:unhideWhenUsed/>
    <w:rsid w:val="00D670A1"/>
    <w:rPr>
      <w:sz w:val="24"/>
      <w:szCs w:val="24"/>
    </w:rPr>
  </w:style>
  <w:style w:type="paragraph" w:styleId="Footer">
    <w:name w:val="footer"/>
    <w:basedOn w:val="Normal"/>
    <w:link w:val="FooterChar"/>
    <w:rsid w:val="00A27CC7"/>
    <w:pPr>
      <w:tabs>
        <w:tab w:val="center" w:pos="4320"/>
        <w:tab w:val="right" w:pos="8640"/>
      </w:tabs>
      <w:spacing w:after="0" w:line="240" w:lineRule="auto"/>
    </w:pPr>
    <w:rPr>
      <w:rFonts w:eastAsia="Times New Roman"/>
      <w:sz w:val="24"/>
      <w:szCs w:val="24"/>
      <w:lang w:val="en-US" w:eastAsia="en-US"/>
    </w:rPr>
  </w:style>
  <w:style w:type="character" w:customStyle="1" w:styleId="FooterChar">
    <w:name w:val="Footer Char"/>
    <w:basedOn w:val="DefaultParagraphFont"/>
    <w:link w:val="Footer"/>
    <w:rsid w:val="00A27CC7"/>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C74A42"/>
    <w:rPr>
      <w:color w:val="800080" w:themeColor="followedHyperlink"/>
      <w:u w:val="single"/>
    </w:rPr>
  </w:style>
  <w:style w:type="paragraph" w:customStyle="1" w:styleId="Authors">
    <w:name w:val="Authors"/>
    <w:next w:val="Normal"/>
    <w:rsid w:val="00663364"/>
    <w:pPr>
      <w:spacing w:after="113"/>
      <w:ind w:left="1418"/>
    </w:pPr>
    <w:rPr>
      <w:rFonts w:ascii="Times" w:eastAsia="Times New Roman" w:hAnsi="Times" w:cs="Times New Roman"/>
      <w:b/>
      <w:sz w:val="22"/>
      <w:szCs w:val="22"/>
      <w:lang w:val="en-GB"/>
    </w:rPr>
  </w:style>
  <w:style w:type="character" w:styleId="CommentReference">
    <w:name w:val="annotation reference"/>
    <w:basedOn w:val="DefaultParagraphFont"/>
    <w:uiPriority w:val="99"/>
    <w:semiHidden/>
    <w:unhideWhenUsed/>
    <w:rsid w:val="00A21D8F"/>
    <w:rPr>
      <w:sz w:val="16"/>
      <w:szCs w:val="16"/>
    </w:rPr>
  </w:style>
  <w:style w:type="paragraph" w:styleId="CommentText">
    <w:name w:val="annotation text"/>
    <w:basedOn w:val="Normal"/>
    <w:link w:val="CommentTextChar"/>
    <w:uiPriority w:val="99"/>
    <w:semiHidden/>
    <w:unhideWhenUsed/>
    <w:rsid w:val="00A21D8F"/>
    <w:pPr>
      <w:spacing w:line="240" w:lineRule="auto"/>
    </w:pPr>
    <w:rPr>
      <w:sz w:val="20"/>
      <w:szCs w:val="20"/>
    </w:rPr>
  </w:style>
  <w:style w:type="character" w:customStyle="1" w:styleId="CommentTextChar">
    <w:name w:val="Comment Text Char"/>
    <w:basedOn w:val="DefaultParagraphFont"/>
    <w:link w:val="CommentText"/>
    <w:uiPriority w:val="99"/>
    <w:semiHidden/>
    <w:rsid w:val="00A21D8F"/>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A21D8F"/>
    <w:rPr>
      <w:b/>
      <w:bCs/>
    </w:rPr>
  </w:style>
  <w:style w:type="character" w:customStyle="1" w:styleId="CommentSubjectChar">
    <w:name w:val="Comment Subject Char"/>
    <w:basedOn w:val="CommentTextChar"/>
    <w:link w:val="CommentSubject"/>
    <w:uiPriority w:val="99"/>
    <w:semiHidden/>
    <w:rsid w:val="00A21D8F"/>
    <w:rPr>
      <w:rFonts w:ascii="Times New Roman" w:eastAsia="SimSun" w:hAnsi="Times New Roman" w:cs="Times New Roman"/>
      <w:b/>
      <w:bCs/>
      <w:sz w:val="20"/>
      <w:szCs w:val="20"/>
      <w:lang w:val="en-AU" w:eastAsia="zh-CN"/>
    </w:rPr>
  </w:style>
  <w:style w:type="paragraph" w:styleId="BalloonText">
    <w:name w:val="Balloon Text"/>
    <w:basedOn w:val="Normal"/>
    <w:link w:val="BalloonTextChar"/>
    <w:uiPriority w:val="99"/>
    <w:semiHidden/>
    <w:unhideWhenUsed/>
    <w:rsid w:val="00A21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D8F"/>
    <w:rPr>
      <w:rFonts w:ascii="Segoe UI" w:eastAsia="SimSun" w:hAnsi="Segoe UI" w:cs="Segoe UI"/>
      <w:sz w:val="18"/>
      <w:szCs w:val="18"/>
      <w:lang w:val="en-AU" w:eastAsia="zh-CN"/>
    </w:rPr>
  </w:style>
  <w:style w:type="paragraph" w:styleId="ListParagraph">
    <w:name w:val="List Paragraph"/>
    <w:basedOn w:val="Normal"/>
    <w:uiPriority w:val="34"/>
    <w:qFormat/>
    <w:rsid w:val="00A21D8F"/>
    <w:pPr>
      <w:spacing w:after="160" w:line="259" w:lineRule="auto"/>
      <w:ind w:left="720"/>
      <w:contextualSpacing/>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24"/>
    <w:pPr>
      <w:spacing w:after="200" w:line="276" w:lineRule="auto"/>
    </w:pPr>
    <w:rPr>
      <w:rFonts w:ascii="Times New Roman" w:eastAsia="SimSun" w:hAnsi="Times New Roman" w:cs="Times New Roman"/>
      <w:sz w:val="22"/>
      <w:szCs w:val="22"/>
      <w:lang w:val="en-A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28A"/>
    <w:rPr>
      <w:rFonts w:ascii="Times New Roman" w:eastAsia="SimSun" w:hAnsi="Times New Roman" w:cs="Times New Roman"/>
      <w:sz w:val="22"/>
      <w:szCs w:val="22"/>
      <w:lang w:val="en-AU" w:eastAsia="zh-CN"/>
    </w:rPr>
  </w:style>
  <w:style w:type="character" w:styleId="Hyperlink">
    <w:name w:val="Hyperlink"/>
    <w:basedOn w:val="DefaultParagraphFont"/>
    <w:uiPriority w:val="99"/>
    <w:unhideWhenUsed/>
    <w:rsid w:val="00D670A1"/>
    <w:rPr>
      <w:color w:val="0000FF" w:themeColor="hyperlink"/>
      <w:u w:val="single"/>
    </w:rPr>
  </w:style>
  <w:style w:type="paragraph" w:styleId="NormalWeb">
    <w:name w:val="Normal (Web)"/>
    <w:basedOn w:val="Normal"/>
    <w:uiPriority w:val="99"/>
    <w:semiHidden/>
    <w:unhideWhenUsed/>
    <w:rsid w:val="00D670A1"/>
    <w:rPr>
      <w:sz w:val="24"/>
      <w:szCs w:val="24"/>
    </w:rPr>
  </w:style>
  <w:style w:type="paragraph" w:styleId="Footer">
    <w:name w:val="footer"/>
    <w:basedOn w:val="Normal"/>
    <w:link w:val="FooterChar"/>
    <w:rsid w:val="00A27CC7"/>
    <w:pPr>
      <w:tabs>
        <w:tab w:val="center" w:pos="4320"/>
        <w:tab w:val="right" w:pos="8640"/>
      </w:tabs>
      <w:spacing w:after="0" w:line="240" w:lineRule="auto"/>
    </w:pPr>
    <w:rPr>
      <w:rFonts w:eastAsia="Times New Roman"/>
      <w:sz w:val="24"/>
      <w:szCs w:val="24"/>
      <w:lang w:val="en-US" w:eastAsia="en-US"/>
    </w:rPr>
  </w:style>
  <w:style w:type="character" w:customStyle="1" w:styleId="FooterChar">
    <w:name w:val="Footer Char"/>
    <w:basedOn w:val="DefaultParagraphFont"/>
    <w:link w:val="Footer"/>
    <w:rsid w:val="00A27CC7"/>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C74A42"/>
    <w:rPr>
      <w:color w:val="800080" w:themeColor="followedHyperlink"/>
      <w:u w:val="single"/>
    </w:rPr>
  </w:style>
  <w:style w:type="paragraph" w:customStyle="1" w:styleId="Authors">
    <w:name w:val="Authors"/>
    <w:next w:val="Normal"/>
    <w:rsid w:val="00663364"/>
    <w:pPr>
      <w:spacing w:after="113"/>
      <w:ind w:left="1418"/>
    </w:pPr>
    <w:rPr>
      <w:rFonts w:ascii="Times" w:eastAsia="Times New Roman" w:hAnsi="Times" w:cs="Times New Roman"/>
      <w:b/>
      <w:sz w:val="22"/>
      <w:szCs w:val="22"/>
      <w:lang w:val="en-GB"/>
    </w:rPr>
  </w:style>
  <w:style w:type="character" w:styleId="CommentReference">
    <w:name w:val="annotation reference"/>
    <w:basedOn w:val="DefaultParagraphFont"/>
    <w:uiPriority w:val="99"/>
    <w:semiHidden/>
    <w:unhideWhenUsed/>
    <w:rsid w:val="00A21D8F"/>
    <w:rPr>
      <w:sz w:val="16"/>
      <w:szCs w:val="16"/>
    </w:rPr>
  </w:style>
  <w:style w:type="paragraph" w:styleId="CommentText">
    <w:name w:val="annotation text"/>
    <w:basedOn w:val="Normal"/>
    <w:link w:val="CommentTextChar"/>
    <w:uiPriority w:val="99"/>
    <w:semiHidden/>
    <w:unhideWhenUsed/>
    <w:rsid w:val="00A21D8F"/>
    <w:pPr>
      <w:spacing w:line="240" w:lineRule="auto"/>
    </w:pPr>
    <w:rPr>
      <w:sz w:val="20"/>
      <w:szCs w:val="20"/>
    </w:rPr>
  </w:style>
  <w:style w:type="character" w:customStyle="1" w:styleId="CommentTextChar">
    <w:name w:val="Comment Text Char"/>
    <w:basedOn w:val="DefaultParagraphFont"/>
    <w:link w:val="CommentText"/>
    <w:uiPriority w:val="99"/>
    <w:semiHidden/>
    <w:rsid w:val="00A21D8F"/>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A21D8F"/>
    <w:rPr>
      <w:b/>
      <w:bCs/>
    </w:rPr>
  </w:style>
  <w:style w:type="character" w:customStyle="1" w:styleId="CommentSubjectChar">
    <w:name w:val="Comment Subject Char"/>
    <w:basedOn w:val="CommentTextChar"/>
    <w:link w:val="CommentSubject"/>
    <w:uiPriority w:val="99"/>
    <w:semiHidden/>
    <w:rsid w:val="00A21D8F"/>
    <w:rPr>
      <w:rFonts w:ascii="Times New Roman" w:eastAsia="SimSun" w:hAnsi="Times New Roman" w:cs="Times New Roman"/>
      <w:b/>
      <w:bCs/>
      <w:sz w:val="20"/>
      <w:szCs w:val="20"/>
      <w:lang w:val="en-AU" w:eastAsia="zh-CN"/>
    </w:rPr>
  </w:style>
  <w:style w:type="paragraph" w:styleId="BalloonText">
    <w:name w:val="Balloon Text"/>
    <w:basedOn w:val="Normal"/>
    <w:link w:val="BalloonTextChar"/>
    <w:uiPriority w:val="99"/>
    <w:semiHidden/>
    <w:unhideWhenUsed/>
    <w:rsid w:val="00A21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D8F"/>
    <w:rPr>
      <w:rFonts w:ascii="Segoe UI" w:eastAsia="SimSun" w:hAnsi="Segoe UI" w:cs="Segoe UI"/>
      <w:sz w:val="18"/>
      <w:szCs w:val="18"/>
      <w:lang w:val="en-AU" w:eastAsia="zh-CN"/>
    </w:rPr>
  </w:style>
  <w:style w:type="paragraph" w:styleId="ListParagraph">
    <w:name w:val="List Paragraph"/>
    <w:basedOn w:val="Normal"/>
    <w:uiPriority w:val="34"/>
    <w:qFormat/>
    <w:rsid w:val="00A21D8F"/>
    <w:pPr>
      <w:spacing w:after="160" w:line="259" w:lineRule="auto"/>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56984">
      <w:bodyDiv w:val="1"/>
      <w:marLeft w:val="0"/>
      <w:marRight w:val="0"/>
      <w:marTop w:val="0"/>
      <w:marBottom w:val="0"/>
      <w:divBdr>
        <w:top w:val="none" w:sz="0" w:space="0" w:color="auto"/>
        <w:left w:val="none" w:sz="0" w:space="0" w:color="auto"/>
        <w:bottom w:val="none" w:sz="0" w:space="0" w:color="auto"/>
        <w:right w:val="none" w:sz="0" w:space="0" w:color="auto"/>
      </w:divBdr>
    </w:div>
    <w:div w:id="1171405749">
      <w:bodyDiv w:val="1"/>
      <w:marLeft w:val="0"/>
      <w:marRight w:val="0"/>
      <w:marTop w:val="0"/>
      <w:marBottom w:val="0"/>
      <w:divBdr>
        <w:top w:val="none" w:sz="0" w:space="0" w:color="auto"/>
        <w:left w:val="none" w:sz="0" w:space="0" w:color="auto"/>
        <w:bottom w:val="none" w:sz="0" w:space="0" w:color="auto"/>
        <w:right w:val="none" w:sz="0" w:space="0" w:color="auto"/>
      </w:divBdr>
    </w:div>
    <w:div w:id="1565988672">
      <w:bodyDiv w:val="1"/>
      <w:marLeft w:val="0"/>
      <w:marRight w:val="0"/>
      <w:marTop w:val="0"/>
      <w:marBottom w:val="0"/>
      <w:divBdr>
        <w:top w:val="none" w:sz="0" w:space="0" w:color="auto"/>
        <w:left w:val="none" w:sz="0" w:space="0" w:color="auto"/>
        <w:bottom w:val="none" w:sz="0" w:space="0" w:color="auto"/>
        <w:right w:val="none" w:sz="0" w:space="0" w:color="auto"/>
      </w:divBdr>
      <w:divsChild>
        <w:div w:id="649527355">
          <w:marLeft w:val="0"/>
          <w:marRight w:val="0"/>
          <w:marTop w:val="0"/>
          <w:marBottom w:val="0"/>
          <w:divBdr>
            <w:top w:val="none" w:sz="0" w:space="0" w:color="auto"/>
            <w:left w:val="none" w:sz="0" w:space="0" w:color="auto"/>
            <w:bottom w:val="none" w:sz="0" w:space="0" w:color="auto"/>
            <w:right w:val="none" w:sz="0" w:space="0" w:color="auto"/>
          </w:divBdr>
          <w:divsChild>
            <w:div w:id="1167092151">
              <w:marLeft w:val="0"/>
              <w:marRight w:val="0"/>
              <w:marTop w:val="0"/>
              <w:marBottom w:val="0"/>
              <w:divBdr>
                <w:top w:val="none" w:sz="0" w:space="0" w:color="auto"/>
                <w:left w:val="none" w:sz="0" w:space="0" w:color="auto"/>
                <w:bottom w:val="none" w:sz="0" w:space="0" w:color="auto"/>
                <w:right w:val="none" w:sz="0" w:space="0" w:color="auto"/>
              </w:divBdr>
              <w:divsChild>
                <w:div w:id="1019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32697">
      <w:bodyDiv w:val="1"/>
      <w:marLeft w:val="0"/>
      <w:marRight w:val="0"/>
      <w:marTop w:val="0"/>
      <w:marBottom w:val="0"/>
      <w:divBdr>
        <w:top w:val="none" w:sz="0" w:space="0" w:color="auto"/>
        <w:left w:val="none" w:sz="0" w:space="0" w:color="auto"/>
        <w:bottom w:val="none" w:sz="0" w:space="0" w:color="auto"/>
        <w:right w:val="none" w:sz="0" w:space="0" w:color="auto"/>
      </w:divBdr>
    </w:div>
    <w:div w:id="1957711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copus.com/authid/detail.uri?authorId=57188565641" TargetMode="External"/><Relationship Id="rId20" Type="http://schemas.openxmlformats.org/officeDocument/2006/relationships/hyperlink" Target="https://www.scopus.com/authid/detail.uri?authorId=36069957900" TargetMode="External"/><Relationship Id="rId21" Type="http://schemas.openxmlformats.org/officeDocument/2006/relationships/hyperlink" Target="https://www.scopus.com/authid/detail.uri?authorId=57203517415" TargetMode="External"/><Relationship Id="rId22" Type="http://schemas.openxmlformats.org/officeDocument/2006/relationships/hyperlink" Target="https://www.scopus.com/authid/detail.uri?authorId=57188565641" TargetMode="Externa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27" Type="http://schemas.microsoft.com/office/2016/09/relationships/commentsIds" Target="commentsIds.xml"/><Relationship Id="rId10" Type="http://schemas.openxmlformats.org/officeDocument/2006/relationships/hyperlink" Target="https://www.scopus.com/authid/detail.uri?authorId=36069957900" TargetMode="External"/><Relationship Id="rId11" Type="http://schemas.openxmlformats.org/officeDocument/2006/relationships/hyperlink" Target="https://www.scopus.com/authid/detail.uri?authorId=57197848149" TargetMode="External"/><Relationship Id="rId12" Type="http://schemas.openxmlformats.org/officeDocument/2006/relationships/hyperlink" Target="https://www.scopus.com/authid/detail.uri?authorId=56146874800" TargetMode="External"/><Relationship Id="rId13" Type="http://schemas.openxmlformats.org/officeDocument/2006/relationships/hyperlink" Target="https://www.scopus.com/authid/detail.uri?authorId=25227851500" TargetMode="External"/><Relationship Id="rId14" Type="http://schemas.openxmlformats.org/officeDocument/2006/relationships/hyperlink" Target="https://www.scopus.com/authid/detail.uri?authorId=57218216357" TargetMode="External"/><Relationship Id="rId15" Type="http://schemas.openxmlformats.org/officeDocument/2006/relationships/hyperlink" Target="https://www.scopus.com/authid/detail.uri?authorId=54385005100" TargetMode="External"/><Relationship Id="rId16" Type="http://schemas.openxmlformats.org/officeDocument/2006/relationships/hyperlink" Target="https://www.scopus.com/authid/detail.uri?authorId=56146874800" TargetMode="External"/><Relationship Id="rId17" Type="http://schemas.openxmlformats.org/officeDocument/2006/relationships/hyperlink" Target="https://www.scopus.com/record/display.uri?eid=2-s2.0-85021166010&amp;origin=reflist&amp;sort=plf-f&amp;src=s&amp;sid=5b5a1405f2907aeee1677d681db3735e&amp;sot=autdocs&amp;sdt=autdocs&amp;sl=18&amp;s=AU-ID%2856146874800%29&amp;recordRank=" TargetMode="External"/><Relationship Id="rId18" Type="http://schemas.openxmlformats.org/officeDocument/2006/relationships/hyperlink" Target="https://doi.org/10.1051/matecconf/201816401010" TargetMode="External"/><Relationship Id="rId19" Type="http://schemas.openxmlformats.org/officeDocument/2006/relationships/hyperlink" Target="https://www.scopus.com/authid/detail.uri?authorId=5614687480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ourry@lecturer.itn.ac.id" TargetMode="External"/><Relationship Id="rId7" Type="http://schemas.openxmlformats.org/officeDocument/2006/relationships/hyperlink" Target="https://www.scopus.com/authid/detail.uri?authorId=57203517415" TargetMode="External"/><Relationship Id="rId8" Type="http://schemas.openxmlformats.org/officeDocument/2006/relationships/hyperlink" Target="https://www.scopus.com/authid/detail.uri?authorId=5614687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3219</Words>
  <Characters>18354</Characters>
  <Application>Microsoft Macintosh Word</Application>
  <DocSecurity>0</DocSecurity>
  <Lines>152</Lines>
  <Paragraphs>43</Paragraphs>
  <ScaleCrop>false</ScaleCrop>
  <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18</cp:revision>
  <dcterms:created xsi:type="dcterms:W3CDTF">2020-11-18T05:33:00Z</dcterms:created>
  <dcterms:modified xsi:type="dcterms:W3CDTF">2020-11-18T06:21:00Z</dcterms:modified>
</cp:coreProperties>
</file>