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73B05" w14:textId="03370BC9" w:rsidR="009A0487" w:rsidRPr="009C541F" w:rsidRDefault="00033343" w:rsidP="002E45B0">
      <w:pPr>
        <w:pStyle w:val="Title"/>
        <w:jc w:val="both"/>
      </w:pPr>
      <w:commentRangeStart w:id="0"/>
      <w:r>
        <w:t xml:space="preserve">Online Education on </w:t>
      </w:r>
      <w:r w:rsidR="00CF4DA0">
        <w:t>Social Media Increases the Knowledge about Diabetes Mellitus and Healthy Diet but D</w:t>
      </w:r>
      <w:r w:rsidR="008D457D">
        <w:t>e</w:t>
      </w:r>
      <w:r w:rsidR="00CF4DA0">
        <w:t>creases Phy</w:t>
      </w:r>
      <w:r w:rsidR="002E45B0">
        <w:t>sical Activity</w:t>
      </w:r>
      <w:commentRangeEnd w:id="0"/>
      <w:r w:rsidR="000510CA">
        <w:rPr>
          <w:rStyle w:val="CommentReference"/>
          <w:rFonts w:asciiTheme="minorHAnsi" w:eastAsiaTheme="minorHAnsi" w:hAnsiTheme="minorHAnsi" w:cstheme="minorBidi"/>
          <w:b w:val="0"/>
          <w:lang w:val="en-US"/>
        </w:rPr>
        <w:commentReference w:id="0"/>
      </w:r>
    </w:p>
    <w:p w14:paraId="28773B06" w14:textId="6704E070" w:rsidR="009A0487" w:rsidRPr="008D1DD3" w:rsidRDefault="00BB4429">
      <w:pPr>
        <w:pStyle w:val="Authors"/>
        <w:rPr>
          <w:lang w:val="en-US"/>
        </w:rPr>
      </w:pPr>
      <w:r w:rsidRPr="008D1DD3">
        <w:rPr>
          <w:lang w:val="en-US"/>
        </w:rPr>
        <w:t>M Aditya</w:t>
      </w:r>
      <w:r w:rsidR="00DB2C46" w:rsidRPr="00DB2C46">
        <w:rPr>
          <w:b w:val="0"/>
          <w:bCs/>
          <w:vertAlign w:val="superscript"/>
          <w:lang w:val="en-US"/>
        </w:rPr>
        <w:t>1</w:t>
      </w:r>
      <w:r w:rsidR="008D1DD3" w:rsidRPr="008D1DD3">
        <w:rPr>
          <w:lang w:val="en-US"/>
        </w:rPr>
        <w:t>, D Notario</w:t>
      </w:r>
      <w:r w:rsidR="00B12430" w:rsidRPr="00B12430">
        <w:rPr>
          <w:b w:val="0"/>
          <w:bCs/>
          <w:vertAlign w:val="superscript"/>
          <w:lang w:val="en-US"/>
        </w:rPr>
        <w:t>2</w:t>
      </w:r>
      <w:r w:rsidR="008D1DD3" w:rsidRPr="008D1DD3">
        <w:rPr>
          <w:lang w:val="en-US"/>
        </w:rPr>
        <w:t>, A Kamilah</w:t>
      </w:r>
      <w:r w:rsidR="00B12430" w:rsidRPr="00DB2C46">
        <w:rPr>
          <w:b w:val="0"/>
          <w:bCs/>
          <w:vertAlign w:val="superscript"/>
          <w:lang w:val="en-US"/>
        </w:rPr>
        <w:t>1</w:t>
      </w:r>
      <w:r w:rsidR="008D1DD3" w:rsidRPr="008D1DD3">
        <w:rPr>
          <w:lang w:val="en-US"/>
        </w:rPr>
        <w:t xml:space="preserve"> and</w:t>
      </w:r>
      <w:r w:rsidR="008D1DD3">
        <w:rPr>
          <w:lang w:val="en-US"/>
        </w:rPr>
        <w:t xml:space="preserve"> S E Buntoro</w:t>
      </w:r>
      <w:r w:rsidR="00B12430" w:rsidRPr="00DB2C46">
        <w:rPr>
          <w:b w:val="0"/>
          <w:bCs/>
          <w:vertAlign w:val="superscript"/>
          <w:lang w:val="en-US"/>
        </w:rPr>
        <w:t>1</w:t>
      </w:r>
    </w:p>
    <w:p w14:paraId="28773B07" w14:textId="090AEE07" w:rsidR="009A0487" w:rsidRPr="00374ADB" w:rsidRDefault="009365B5" w:rsidP="006B11E6">
      <w:pPr>
        <w:pStyle w:val="Addresses"/>
        <w:spacing w:after="0"/>
        <w:jc w:val="both"/>
        <w:rPr>
          <w:i/>
          <w:iCs/>
          <w:color w:val="000000"/>
          <w:vertAlign w:val="superscript"/>
        </w:rPr>
      </w:pPr>
      <w:r w:rsidRPr="00374ADB">
        <w:rPr>
          <w:color w:val="000000"/>
          <w:vertAlign w:val="superscript"/>
        </w:rPr>
        <w:t>1</w:t>
      </w:r>
      <w:r w:rsidR="00374ADB">
        <w:rPr>
          <w:i/>
          <w:iCs/>
          <w:color w:val="000000"/>
          <w:vertAlign w:val="superscript"/>
        </w:rPr>
        <w:t xml:space="preserve"> </w:t>
      </w:r>
      <w:r w:rsidR="009E2905" w:rsidRPr="00FB01C1">
        <w:rPr>
          <w:color w:val="000000"/>
        </w:rPr>
        <w:t xml:space="preserve">Department of Pharmacy Faculty of </w:t>
      </w:r>
      <w:proofErr w:type="spellStart"/>
      <w:r w:rsidR="009E2905" w:rsidRPr="00FB01C1">
        <w:rPr>
          <w:color w:val="000000"/>
        </w:rPr>
        <w:t>Sains</w:t>
      </w:r>
      <w:proofErr w:type="spellEnd"/>
      <w:r w:rsidR="009E2905" w:rsidRPr="00FB01C1">
        <w:rPr>
          <w:color w:val="000000"/>
        </w:rPr>
        <w:t xml:space="preserve"> and Technology, </w:t>
      </w:r>
      <w:proofErr w:type="spellStart"/>
      <w:r w:rsidR="009E2905" w:rsidRPr="00FB01C1">
        <w:rPr>
          <w:color w:val="000000"/>
        </w:rPr>
        <w:t>Universitas</w:t>
      </w:r>
      <w:proofErr w:type="spellEnd"/>
      <w:r w:rsidR="009E2905" w:rsidRPr="00FB01C1">
        <w:rPr>
          <w:color w:val="000000"/>
        </w:rPr>
        <w:t xml:space="preserve"> Ma Chung Malang, East Java, Indonesia</w:t>
      </w:r>
    </w:p>
    <w:p w14:paraId="28773B08" w14:textId="5A8FD354" w:rsidR="00006EA6" w:rsidRDefault="00B53A89" w:rsidP="006B11E6">
      <w:pPr>
        <w:pStyle w:val="E-mail"/>
        <w:jc w:val="both"/>
      </w:pPr>
      <w:r>
        <w:rPr>
          <w:color w:val="000000"/>
          <w:vertAlign w:val="superscript"/>
        </w:rPr>
        <w:t>2</w:t>
      </w:r>
      <w:r>
        <w:rPr>
          <w:i/>
          <w:iCs/>
          <w:color w:val="000000"/>
          <w:vertAlign w:val="superscript"/>
        </w:rPr>
        <w:t xml:space="preserve"> </w:t>
      </w:r>
      <w:r w:rsidRPr="00FB01C1">
        <w:rPr>
          <w:color w:val="000000"/>
        </w:rPr>
        <w:t xml:space="preserve">Department of Pharmacy </w:t>
      </w:r>
      <w:r w:rsidR="004D1B82">
        <w:rPr>
          <w:color w:val="000000"/>
        </w:rPr>
        <w:t>School</w:t>
      </w:r>
      <w:r w:rsidRPr="00FB01C1">
        <w:rPr>
          <w:color w:val="000000"/>
        </w:rPr>
        <w:t xml:space="preserve"> of </w:t>
      </w:r>
      <w:r w:rsidR="00933B73">
        <w:rPr>
          <w:color w:val="000000"/>
        </w:rPr>
        <w:t>Medicine</w:t>
      </w:r>
      <w:r w:rsidR="004D1B82">
        <w:rPr>
          <w:color w:val="000000"/>
        </w:rPr>
        <w:t xml:space="preserve"> and Health Sciences</w:t>
      </w:r>
      <w:r w:rsidRPr="00FB01C1">
        <w:rPr>
          <w:color w:val="000000"/>
        </w:rPr>
        <w:t xml:space="preserve">, </w:t>
      </w:r>
      <w:r w:rsidR="004D1B82">
        <w:rPr>
          <w:color w:val="000000"/>
        </w:rPr>
        <w:t>Atma Jaya Catholic University of Indonesia</w:t>
      </w:r>
      <w:r w:rsidRPr="00FB01C1">
        <w:rPr>
          <w:color w:val="000000"/>
        </w:rPr>
        <w:t xml:space="preserve">, </w:t>
      </w:r>
      <w:r w:rsidR="006B11E6">
        <w:rPr>
          <w:color w:val="000000"/>
        </w:rPr>
        <w:t>Jakarta</w:t>
      </w:r>
      <w:r w:rsidRPr="00FB01C1">
        <w:rPr>
          <w:color w:val="000000"/>
        </w:rPr>
        <w:t>, Indonesia</w:t>
      </w:r>
    </w:p>
    <w:p w14:paraId="28773B09" w14:textId="7DA53942" w:rsidR="009A0487" w:rsidRDefault="00B53A89">
      <w:pPr>
        <w:pStyle w:val="E-mail"/>
      </w:pPr>
      <w:r>
        <w:t>martanty.aditya@machung.ac.id</w:t>
      </w:r>
    </w:p>
    <w:p w14:paraId="7EAE1B9A" w14:textId="7C1C2CCB" w:rsidR="000D3E13" w:rsidRPr="00960169" w:rsidRDefault="009A0487" w:rsidP="00960169">
      <w:pPr>
        <w:ind w:left="1440"/>
        <w:jc w:val="both"/>
        <w:rPr>
          <w:rFonts w:asciiTheme="majorBidi" w:hAnsiTheme="majorBidi" w:cstheme="majorBidi"/>
          <w:sz w:val="20"/>
          <w:lang w:val="en-US" w:eastAsia="zh-CN"/>
        </w:rPr>
      </w:pPr>
      <w:commentRangeStart w:id="1"/>
      <w:r w:rsidRPr="00960169">
        <w:rPr>
          <w:rFonts w:asciiTheme="majorBidi" w:hAnsiTheme="majorBidi" w:cstheme="majorBidi"/>
          <w:b/>
          <w:sz w:val="20"/>
        </w:rPr>
        <w:t>Abstract</w:t>
      </w:r>
      <w:r w:rsidRPr="00960169">
        <w:rPr>
          <w:rFonts w:asciiTheme="majorBidi" w:hAnsiTheme="majorBidi" w:cstheme="majorBidi"/>
          <w:sz w:val="20"/>
        </w:rPr>
        <w:t xml:space="preserve">. </w:t>
      </w:r>
      <w:commentRangeEnd w:id="1"/>
      <w:r w:rsidR="000510CA">
        <w:rPr>
          <w:rStyle w:val="CommentReference"/>
          <w:rFonts w:asciiTheme="minorHAnsi" w:eastAsiaTheme="minorHAnsi" w:hAnsiTheme="minorHAnsi" w:cstheme="minorBidi"/>
          <w:lang w:val="en-US"/>
        </w:rPr>
        <w:commentReference w:id="1"/>
      </w:r>
      <w:r w:rsidR="000D3E13" w:rsidRPr="00960169">
        <w:rPr>
          <w:rFonts w:asciiTheme="majorBidi" w:hAnsiTheme="majorBidi" w:cstheme="majorBidi"/>
          <w:color w:val="212529"/>
          <w:sz w:val="20"/>
          <w:shd w:val="clear" w:color="auto" w:fill="FFFFFF"/>
          <w:lang w:val="en-US" w:eastAsia="zh-CN"/>
        </w:rPr>
        <w:t>Education, as a preventive measure, lowers the incidence rate of Diabetes Mellitus (DM). The study compared two educational methods, lectures and social media on Instagram. The research design uses a quasi-experimental trial and prospective. The respondents were 92 active students of Ma Chung University Malang. They were willing to participate in research with purposive sampling techniques and then divided into two groups as much as random allocation. The data collection technique uses DM knowledge questionnaires, global physical activity questionnaire (GPAQ), and food frequency questionnaire (FFQ). The data is analyzed with multivariate regression using R open-source software. Results found improved knowledge of diabetes mellitus (</w:t>
      </w:r>
      <w:r w:rsidR="00C1387F" w:rsidRPr="00C1387F">
        <w:rPr>
          <w:rFonts w:ascii="Symbol" w:eastAsia="Symbol" w:hAnsi="Symbol" w:cs="Symbol"/>
          <w:sz w:val="20"/>
        </w:rPr>
        <w:t></w:t>
      </w:r>
      <w:r w:rsidR="000D3E13" w:rsidRPr="00960169">
        <w:rPr>
          <w:rFonts w:asciiTheme="majorBidi" w:hAnsiTheme="majorBidi" w:cstheme="majorBidi"/>
          <w:color w:val="212529"/>
          <w:sz w:val="20"/>
          <w:shd w:val="clear" w:color="auto" w:fill="FFFFFF"/>
          <w:lang w:val="en-US" w:eastAsia="zh-CN"/>
        </w:rPr>
        <w:t> = 17.55, 95% CI: 9,399-24,059), increased vegetable intake (</w:t>
      </w:r>
      <w:r w:rsidR="00C1387F" w:rsidRPr="00C1387F">
        <w:rPr>
          <w:rFonts w:ascii="Symbol" w:eastAsia="Symbol" w:hAnsi="Symbol" w:cs="Symbol"/>
          <w:sz w:val="20"/>
        </w:rPr>
        <w:t></w:t>
      </w:r>
      <w:r w:rsidR="000D3E13" w:rsidRPr="00C1387F">
        <w:rPr>
          <w:rFonts w:asciiTheme="majorBidi" w:hAnsiTheme="majorBidi" w:cstheme="majorBidi"/>
          <w:color w:val="212529"/>
          <w:sz w:val="20"/>
          <w:shd w:val="clear" w:color="auto" w:fill="FFFFFF"/>
          <w:lang w:val="en-US" w:eastAsia="zh-CN"/>
        </w:rPr>
        <w:t> </w:t>
      </w:r>
      <w:r w:rsidR="000D3E13" w:rsidRPr="00960169">
        <w:rPr>
          <w:rFonts w:asciiTheme="majorBidi" w:hAnsiTheme="majorBidi" w:cstheme="majorBidi"/>
          <w:color w:val="212529"/>
          <w:sz w:val="20"/>
          <w:shd w:val="clear" w:color="auto" w:fill="FFFFFF"/>
          <w:lang w:val="en-US" w:eastAsia="zh-CN"/>
        </w:rPr>
        <w:t>= 8.80, 95% CI: 0.410-3735) and greater fruit consumption (</w:t>
      </w:r>
      <w:r w:rsidR="00C1387F" w:rsidRPr="00C1387F">
        <w:rPr>
          <w:rFonts w:ascii="Symbol" w:eastAsia="Symbol" w:hAnsi="Symbol" w:cs="Symbol"/>
          <w:sz w:val="20"/>
        </w:rPr>
        <w:t></w:t>
      </w:r>
      <w:r w:rsidR="000D3E13" w:rsidRPr="00960169">
        <w:rPr>
          <w:rFonts w:asciiTheme="majorBidi" w:hAnsiTheme="majorBidi" w:cstheme="majorBidi"/>
          <w:color w:val="212529"/>
          <w:sz w:val="20"/>
          <w:shd w:val="clear" w:color="auto" w:fill="FFFFFF"/>
          <w:lang w:val="en-US" w:eastAsia="zh-CN"/>
        </w:rPr>
        <w:t> = 8.98, 95% CI: 5,959–12,823) and decreased snack consumption intake (</w:t>
      </w:r>
      <w:r w:rsidR="00C1387F" w:rsidRPr="00C1387F">
        <w:rPr>
          <w:rFonts w:ascii="Symbol" w:eastAsia="Symbol" w:hAnsi="Symbol" w:cs="Symbol"/>
          <w:sz w:val="20"/>
        </w:rPr>
        <w:t></w:t>
      </w:r>
      <w:r w:rsidR="000D3E13" w:rsidRPr="00960169">
        <w:rPr>
          <w:rFonts w:asciiTheme="majorBidi" w:hAnsiTheme="majorBidi" w:cstheme="majorBidi"/>
          <w:color w:val="212529"/>
          <w:sz w:val="20"/>
          <w:shd w:val="clear" w:color="auto" w:fill="FFFFFF"/>
          <w:lang w:val="en-US" w:eastAsia="zh-CN"/>
        </w:rPr>
        <w:t> = -2.5, 95%CI: -3,778–(-0.916) with education using social media. But social media instead lowered the metabolic equivalent of task (MET) (</w:t>
      </w:r>
      <w:r w:rsidR="00C1387F" w:rsidRPr="00C1387F">
        <w:rPr>
          <w:rFonts w:ascii="Symbol" w:eastAsia="Symbol" w:hAnsi="Symbol" w:cs="Symbol"/>
          <w:sz w:val="20"/>
        </w:rPr>
        <w:t></w:t>
      </w:r>
      <w:r w:rsidR="000D3E13" w:rsidRPr="00960169">
        <w:rPr>
          <w:rFonts w:asciiTheme="majorBidi" w:hAnsiTheme="majorBidi" w:cstheme="majorBidi"/>
          <w:color w:val="212529"/>
          <w:sz w:val="20"/>
          <w:shd w:val="clear" w:color="auto" w:fill="FFFFFF"/>
          <w:lang w:val="en-US" w:eastAsia="zh-CN"/>
        </w:rPr>
        <w:t> = -4,800.87, 95% CI: -13,166.18 - (-1,384.95) compared to the lecture group. The conclusion is that education by Instagram increases DM knowledge, increases the intake of vegetables and fruits more, decreases the consumption of snacks with sugar and fat content but decreases physical activity. </w:t>
      </w:r>
    </w:p>
    <w:p w14:paraId="28773B0A" w14:textId="1122CA0D" w:rsidR="009A0487" w:rsidRPr="000D3E13" w:rsidRDefault="009A0487">
      <w:pPr>
        <w:pStyle w:val="Abstract"/>
        <w:rPr>
          <w:lang w:val="en-US"/>
        </w:rPr>
      </w:pPr>
    </w:p>
    <w:p w14:paraId="1D30A2BE" w14:textId="17D58B2F" w:rsidR="00D44465" w:rsidRDefault="00AF5F2A" w:rsidP="008A162D">
      <w:pPr>
        <w:pStyle w:val="Section"/>
        <w:spacing w:before="0"/>
      </w:pPr>
      <w:commentRangeStart w:id="2"/>
      <w:r>
        <w:t>Introduction</w:t>
      </w:r>
      <w:commentRangeEnd w:id="2"/>
      <w:r w:rsidR="00150FAE">
        <w:rPr>
          <w:rStyle w:val="CommentReference"/>
          <w:rFonts w:asciiTheme="minorHAnsi" w:eastAsiaTheme="minorHAnsi" w:hAnsiTheme="minorHAnsi" w:cstheme="minorBidi"/>
          <w:b w:val="0"/>
          <w:iCs w:val="0"/>
          <w:color w:val="auto"/>
          <w:lang w:val="en-US"/>
        </w:rPr>
        <w:commentReference w:id="2"/>
      </w:r>
    </w:p>
    <w:p w14:paraId="7263A08C" w14:textId="2AF9FD3B" w:rsidR="00AE6A5D" w:rsidRDefault="00AE6A5D" w:rsidP="008A162D">
      <w:pPr>
        <w:pStyle w:val="Section"/>
        <w:numPr>
          <w:ilvl w:val="0"/>
          <w:numId w:val="0"/>
        </w:numPr>
        <w:spacing w:before="0"/>
        <w:jc w:val="both"/>
        <w:rPr>
          <w:b w:val="0"/>
          <w:bCs/>
        </w:rPr>
      </w:pPr>
      <w:r w:rsidRPr="00AE6A5D">
        <w:rPr>
          <w:b w:val="0"/>
          <w:bCs/>
        </w:rPr>
        <w:t>Non-communicable disease is the primary cause of global mortality cases and becomes the main challenge in the health sector in the 21</w:t>
      </w:r>
      <w:r w:rsidRPr="00AE6A5D">
        <w:rPr>
          <w:b w:val="0"/>
          <w:bCs/>
          <w:vertAlign w:val="superscript"/>
        </w:rPr>
        <w:t>st</w:t>
      </w:r>
      <w:r w:rsidRPr="00AE6A5D">
        <w:rPr>
          <w:b w:val="0"/>
          <w:bCs/>
        </w:rPr>
        <w:t xml:space="preserve"> century</w:t>
      </w:r>
      <w:r w:rsidR="001B6C89">
        <w:rPr>
          <w:b w:val="0"/>
          <w:bCs/>
        </w:rPr>
        <w:t xml:space="preserve"> </w:t>
      </w:r>
      <w:r w:rsidR="00CA3D55">
        <w:rPr>
          <w:b w:val="0"/>
          <w:bCs/>
        </w:rPr>
        <w:fldChar w:fldCharType="begin" w:fldLock="1"/>
      </w:r>
      <w:r w:rsidR="00A73DC8">
        <w:rPr>
          <w:b w:val="0"/>
          <w:bCs/>
        </w:rPr>
        <w:instrText>ADDIN CSL_CITATION {"citationItems":[{"id":"ITEM-1","itemData":{"author":[{"dropping-particle":"","family":"Diseases","given":"Non-communicable","non-dropping-particle":"","parse-names":false,"suffix":""},{"dropping-particle":"","family":"Diseases","given":"Non-communicable","non-dropping-particle":"","parse-names":false,"suffix":""}],"id":"ITEM-1","issue":"January","issued":{"date-parts":[["2012"]]},"title":"Political Declaration of the High-level Meeting of the General Assembly","type":"article-journal"},"uris":["http://www.mendeley.com/documents/?uuid=47c44bc8-49a2-4a90-aff9-b1c277550945"]}],"mendeley":{"formattedCitation":"[1]","plainTextFormattedCitation":"[1]","previouslyFormattedCitation":"[1]"},"properties":{"noteIndex":0},"schema":"https://github.com/citation-style-language/schema/raw/master/csl-citation.json"}</w:instrText>
      </w:r>
      <w:r w:rsidR="00CA3D55">
        <w:rPr>
          <w:b w:val="0"/>
          <w:bCs/>
        </w:rPr>
        <w:fldChar w:fldCharType="separate"/>
      </w:r>
      <w:r w:rsidR="00A73DC8" w:rsidRPr="00A73DC8">
        <w:rPr>
          <w:b w:val="0"/>
          <w:bCs/>
          <w:noProof/>
        </w:rPr>
        <w:t>[1]</w:t>
      </w:r>
      <w:r w:rsidR="00CA3D55">
        <w:rPr>
          <w:b w:val="0"/>
          <w:bCs/>
        </w:rPr>
        <w:fldChar w:fldCharType="end"/>
      </w:r>
      <w:r w:rsidRPr="00AE6A5D">
        <w:rPr>
          <w:b w:val="0"/>
          <w:bCs/>
        </w:rPr>
        <w:t>. Diabetes Mellitus (DM) is one of the non-communicable diseases with a significantly increasing number of occurrences every year that is dominated by females of productive age</w:t>
      </w:r>
      <w:r w:rsidR="00980C30">
        <w:rPr>
          <w:b w:val="0"/>
          <w:bCs/>
        </w:rPr>
        <w:t xml:space="preserve"> </w:t>
      </w:r>
      <w:r w:rsidR="00980C30">
        <w:rPr>
          <w:b w:val="0"/>
          <w:bCs/>
        </w:rPr>
        <w:fldChar w:fldCharType="begin" w:fldLock="1"/>
      </w:r>
      <w:r w:rsidR="004D7BEF">
        <w:rPr>
          <w:b w:val="0"/>
          <w:bCs/>
        </w:rPr>
        <w:instrText>ADDIN CSL_CITATION {"citationItems":[{"id":"ITEM-1","itemData":{"DOI":"10.1016/j.diabres.2018.02.023","ISSN":"18728227","abstract":"Introduction: Since the year 2000, IDF has been measuring the prevalence of diabetes nationally, regionally and globally. Aim: To produce estimates of the global burden of diabetes and its impact for 2017 and projections for 2045. Methods: A systematic literature review was conducted to identify published studies on the prevalence of diabetes, impaired glucose tolerance and hyperglycaemia in pregnancy in the period from 1990 to 2016. The highest quality studies on diabetes prevalence were selected for each country. A logistic regression model was used to generate age-specific prevalence estimates or each country. Estimates for countries without data were extrapolated from similar countries. Results: It was estimated that in 2017 there are 451 million (age 18–99 years) people with diabetes worldwide. These figures were expected to increase to 693 million) by 2045. It was estimated that almost half of all people (49.7%) living with diabetes are undiagnosed. Moreover, there was an estimated 374 million people with impaired glucose tolerance (IGT) and it was projected that almost 21.3 million live births to women were affected by some form of hyperglycaemia in pregnancy. In 2017, approximately 5 million deaths worldwide were attributable to diabetes in the 20–99 years age range. The global healthcare expenditure on people with diabetes was estimated to be USD 850 billion in 2017. Conclusion: The new estimates of diabetes prevalence, deaths attributable to diabetes and healthcare expenditure due to diabetes present a large social, financial and health system burden across the world.","author":[{"dropping-particle":"","family":"Cho","given":"N. H.","non-dropping-particle":"","parse-names":false,"suffix":""},{"dropping-particle":"","family":"Shaw","given":"J. E.","non-dropping-particle":"","parse-names":false,"suffix":""},{"dropping-particle":"","family":"Karuranga","given":"S.","non-dropping-particle":"","parse-names":false,"suffix":""},{"dropping-particle":"","family":"Huang","given":"Y.","non-dropping-particle":"","parse-names":false,"suffix":""},{"dropping-particle":"","family":"Rocha Fernandes","given":"J. D.","non-dropping-particle":"da","parse-names":false,"suffix":""},{"dropping-particle":"","family":"Ohlrogge","given":"A. W.","non-dropping-particle":"","parse-names":false,"suffix":""},{"dropping-particle":"","family":"Malanda","given":"B.","non-dropping-particle":"","parse-names":false,"suffix":""}],"container-title":"Diabetes Research and Clinical Practice","id":"ITEM-1","issued":{"date-parts":[["2018"]]},"page":"271-281","publisher":"Elsevier B.V.","title":"IDF Diabetes Atlas: Global estimates of diabetes prevalence for 2017 and projections for 2045","type":"article-journal","volume":"138"},"uris":["http://www.mendeley.com/documents/?uuid=1397e112-b087-4683-bed7-c47e3439ad22"]}],"mendeley":{"formattedCitation":"[2]","plainTextFormattedCitation":"[2]","previouslyFormattedCitation":"[2]"},"properties":{"noteIndex":0},"schema":"https://github.com/citation-style-language/schema/raw/master/csl-citation.json"}</w:instrText>
      </w:r>
      <w:r w:rsidR="00980C30">
        <w:rPr>
          <w:b w:val="0"/>
          <w:bCs/>
        </w:rPr>
        <w:fldChar w:fldCharType="separate"/>
      </w:r>
      <w:r w:rsidR="00980C30" w:rsidRPr="00980C30">
        <w:rPr>
          <w:b w:val="0"/>
          <w:bCs/>
          <w:noProof/>
        </w:rPr>
        <w:t>[2]</w:t>
      </w:r>
      <w:r w:rsidR="00980C30">
        <w:rPr>
          <w:b w:val="0"/>
          <w:bCs/>
        </w:rPr>
        <w:fldChar w:fldCharType="end"/>
      </w:r>
      <w:r w:rsidRPr="00AE6A5D">
        <w:rPr>
          <w:b w:val="0"/>
          <w:bCs/>
        </w:rPr>
        <w:t xml:space="preserve">. In Indonesia, there is an addition of DM prevalence at ≥15 years of age by 8.5%, which is mostly caused by type 2 DM (DM2T). The increasing prevalence of DM happens due to the lack of public awareness of the importance of implementing a healthy lifestyle. </w:t>
      </w:r>
      <w:proofErr w:type="spellStart"/>
      <w:r w:rsidRPr="00AE6A5D">
        <w:rPr>
          <w:b w:val="0"/>
          <w:bCs/>
        </w:rPr>
        <w:t>Ris</w:t>
      </w:r>
      <w:r w:rsidR="00BD090E">
        <w:rPr>
          <w:b w:val="0"/>
          <w:bCs/>
        </w:rPr>
        <w:t>et</w:t>
      </w:r>
      <w:proofErr w:type="spellEnd"/>
      <w:r w:rsidR="00BD090E">
        <w:rPr>
          <w:b w:val="0"/>
          <w:bCs/>
        </w:rPr>
        <w:t xml:space="preserve"> </w:t>
      </w:r>
      <w:proofErr w:type="spellStart"/>
      <w:r w:rsidR="00BD090E">
        <w:rPr>
          <w:b w:val="0"/>
          <w:bCs/>
        </w:rPr>
        <w:t>Kesehatan</w:t>
      </w:r>
      <w:proofErr w:type="spellEnd"/>
      <w:r w:rsidR="00BD090E">
        <w:rPr>
          <w:b w:val="0"/>
          <w:bCs/>
        </w:rPr>
        <w:t xml:space="preserve"> Dasar</w:t>
      </w:r>
      <w:r w:rsidRPr="00AE6A5D">
        <w:rPr>
          <w:b w:val="0"/>
          <w:bCs/>
        </w:rPr>
        <w:t xml:space="preserve"> (</w:t>
      </w:r>
      <w:proofErr w:type="spellStart"/>
      <w:r w:rsidR="00BD090E">
        <w:rPr>
          <w:b w:val="0"/>
          <w:bCs/>
        </w:rPr>
        <w:t>Riskerdas</w:t>
      </w:r>
      <w:proofErr w:type="spellEnd"/>
      <w:r w:rsidRPr="00AE6A5D">
        <w:rPr>
          <w:b w:val="0"/>
          <w:bCs/>
        </w:rPr>
        <w:t>) 2013 also reported the lack of consumption of fruits and vegetables, the lack of physical activities, and a high consumption rate of cigarettes</w:t>
      </w:r>
      <w:r w:rsidR="00EB742B">
        <w:rPr>
          <w:b w:val="0"/>
          <w:bCs/>
        </w:rPr>
        <w:t xml:space="preserve"> </w:t>
      </w:r>
      <w:r w:rsidR="00EB742B">
        <w:rPr>
          <w:b w:val="0"/>
          <w:bCs/>
        </w:rPr>
        <w:fldChar w:fldCharType="begin" w:fldLock="1"/>
      </w:r>
      <w:r w:rsidR="00EB742B">
        <w:rPr>
          <w:b w:val="0"/>
          <w:bCs/>
        </w:rPr>
        <w:instrText>ADDIN CSL_CITATION {"citationItems":[{"id":"ITEM-1","itemData":{"DOI":"10.22201/fq.18708404e.2004.3.66178","ISBN":"8436944542","ISSN":"0187-893X","author":[{"dropping-particle":"","family":"Kementerian Kesehatan RI","given":"","non-dropping-particle":"","parse-names":false,"suffix":""}],"container-title":"Director","id":"ITEM-1","issue":"1","issued":{"date-parts":[["2013"]]},"number-of-pages":"1-262","title":"Riset Kesehatan Dasar (Riskerdas) Tahun 2013","type":"report","volume":"3"},"uris":["http://www.mendeley.com/documents/?uuid=d728247e-d8a9-4422-b9e1-59d9d5dd1cee"]}],"mendeley":{"formattedCitation":"[3]","plainTextFormattedCitation":"[3]","previouslyFormattedCitation":"[3]"},"properties":{"noteIndex":0},"schema":"https://github.com/citation-style-language/schema/raw/master/csl-citation.json"}</w:instrText>
      </w:r>
      <w:r w:rsidR="00EB742B">
        <w:rPr>
          <w:b w:val="0"/>
          <w:bCs/>
        </w:rPr>
        <w:fldChar w:fldCharType="separate"/>
      </w:r>
      <w:r w:rsidR="00EB742B" w:rsidRPr="00EB742B">
        <w:rPr>
          <w:b w:val="0"/>
          <w:bCs/>
          <w:noProof/>
        </w:rPr>
        <w:t>[3]</w:t>
      </w:r>
      <w:r w:rsidR="00EB742B">
        <w:rPr>
          <w:b w:val="0"/>
          <w:bCs/>
        </w:rPr>
        <w:fldChar w:fldCharType="end"/>
      </w:r>
      <w:r w:rsidRPr="00AE6A5D">
        <w:rPr>
          <w:b w:val="0"/>
          <w:bCs/>
        </w:rPr>
        <w:t>. A wider area of prevention and control efforts of DM2T is required</w:t>
      </w:r>
      <w:r w:rsidR="00EB742B">
        <w:rPr>
          <w:b w:val="0"/>
          <w:bCs/>
        </w:rPr>
        <w:t xml:space="preserve"> </w:t>
      </w:r>
      <w:r w:rsidR="00EB742B">
        <w:rPr>
          <w:b w:val="0"/>
          <w:bCs/>
        </w:rPr>
        <w:fldChar w:fldCharType="begin" w:fldLock="1"/>
      </w:r>
      <w:r w:rsidR="004E6904">
        <w:rPr>
          <w:b w:val="0"/>
          <w:bCs/>
        </w:rPr>
        <w:instrText>ADDIN CSL_CITATION {"citationItems":[{"id":"ITEM-1","itemData":{"author":[{"dropping-particle":"","family":"Nutrition","given":"Diabetes","non-dropping-particle":"","parse-names":false,"suffix":""},{"dropping-particle":"","family":"Resource","given":"Education","non-dropping-particle":"","parse-names":false,"suffix":""}],"id":"ITEM-1","issued":{"date-parts":[["2019"]]},"page":"1-11","title":"Diabetes Nutrition Education Resource","type":"article-journal"},"uris":["http://www.mendeley.com/documents/?uuid=ed169202-deac-445b-96e5-bb51a32548a8"]}],"mendeley":{"formattedCitation":"[4]","plainTextFormattedCitation":"[4]","previouslyFormattedCitation":"[4]"},"properties":{"noteIndex":0},"schema":"https://github.com/citation-style-language/schema/raw/master/csl-citation.json"}</w:instrText>
      </w:r>
      <w:r w:rsidR="00EB742B">
        <w:rPr>
          <w:b w:val="0"/>
          <w:bCs/>
        </w:rPr>
        <w:fldChar w:fldCharType="separate"/>
      </w:r>
      <w:r w:rsidR="00EB742B" w:rsidRPr="00EB742B">
        <w:rPr>
          <w:b w:val="0"/>
          <w:bCs/>
          <w:noProof/>
        </w:rPr>
        <w:t>[4]</w:t>
      </w:r>
      <w:r w:rsidR="00EB742B">
        <w:rPr>
          <w:b w:val="0"/>
          <w:bCs/>
        </w:rPr>
        <w:fldChar w:fldCharType="end"/>
      </w:r>
      <w:r w:rsidRPr="00AE6A5D">
        <w:rPr>
          <w:b w:val="0"/>
          <w:bCs/>
        </w:rPr>
        <w:t>.</w:t>
      </w:r>
    </w:p>
    <w:p w14:paraId="731315AA" w14:textId="02187300" w:rsidR="00AE6A5D" w:rsidRPr="00AE6A5D" w:rsidRDefault="00AE6A5D" w:rsidP="008A162D">
      <w:pPr>
        <w:pStyle w:val="Section"/>
        <w:numPr>
          <w:ilvl w:val="0"/>
          <w:numId w:val="0"/>
        </w:numPr>
        <w:spacing w:before="0"/>
        <w:jc w:val="both"/>
        <w:rPr>
          <w:b w:val="0"/>
          <w:bCs/>
        </w:rPr>
      </w:pPr>
      <w:r w:rsidRPr="00AE6A5D">
        <w:rPr>
          <w:b w:val="0"/>
          <w:bCs/>
        </w:rPr>
        <w:t xml:space="preserve">Education is an essential factor in the effort to implement a healthy lifestyle </w:t>
      </w:r>
      <w:r w:rsidR="004E6904">
        <w:rPr>
          <w:b w:val="0"/>
          <w:bCs/>
        </w:rPr>
        <w:fldChar w:fldCharType="begin" w:fldLock="1"/>
      </w:r>
      <w:r w:rsidR="000542F5">
        <w:rPr>
          <w:b w:val="0"/>
          <w:bCs/>
        </w:rPr>
        <w:instrText>ADDIN CSL_CITATION {"citationItems":[{"id":"ITEM-1","itemData":{"DOI":"10.3390/su11061683","ISSN":"20711050","abstract":"In today's world, social media is playing an indispensable role on the learning behavior of university students to achieve sustainable education. The impact of social media on sustainable education is becoming an essential and impelling factor. The world has become a global village and technology use has made it a smaller world through social media and how it is changing instruction. This original study is amongst the few to perform a focalized investigation on revealing the relationship between positive and negative characteristics of social media and the learning attitude of university students for sustainable education. However, this study aims to examine the constructive and adverse factors that impact on students' minds and how these helped students to share positive and negative aspects with others. It is increasingly noticeable that social networking sites and their applications present enormous benefits for as well as risks to university students and their implications on students' psychological adjustment or learning behaviors are not well understood. This study adapted the cluster sampling method, and respondents participated from five selected regions. Researchers distributed 1013 questionnaires among the targeted sample of university students with an age range of 16 to 35 years, and they collected 831 complete/valid responses. This study applied the social gratification theory to examine students' behavior practicing socialmedia usage. This study specifically identified 18 adversarial and constructive factors of social media from the previous literature. The findings revealed that the usage of social media in Pakistan has a negative influence on a student's behavior as compared to positive aspects. Results may not be generalized to the entire student community as findings are specific to the specific respondents only. This study presents a relationship between antithetical and creative characteristics of socialmedia and exhibits avenues for future studies by facilitating a better understanding of web-based social network use.","author":[{"dropping-particle":"","family":"Abbas","given":"Jaffar","non-dropping-particle":"","parse-names":false,"suffix":""},{"dropping-particle":"","family":"Aman","given":"Jaffar","non-dropping-particle":"","parse-names":false,"suffix":""},{"dropping-particle":"","family":"Nurunnabi","given":"Mohammad","non-dropping-particle":"","parse-names":false,"suffix":""},{"dropping-particle":"","family":"Bano","given":"Shaher","non-dropping-particle":"","parse-names":false,"suffix":""}],"container-title":"Sustainability (Switzerland)","id":"ITEM-1","issue":"6","issued":{"date-parts":[["2019"]]},"page":"1-23","title":"The impact of social media on learning behavior for sustainable education: Evidence of students from selected universities in Pakistan","type":"article-journal","volume":"11"},"uris":["http://www.mendeley.com/documents/?uuid=34c1c983-36fb-4c00-b24b-8ef6d2248efb"]}],"mendeley":{"formattedCitation":"[5]","plainTextFormattedCitation":"[5]","previouslyFormattedCitation":"[5]"},"properties":{"noteIndex":0},"schema":"https://github.com/citation-style-language/schema/raw/master/csl-citation.json"}</w:instrText>
      </w:r>
      <w:r w:rsidR="004E6904">
        <w:rPr>
          <w:b w:val="0"/>
          <w:bCs/>
        </w:rPr>
        <w:fldChar w:fldCharType="separate"/>
      </w:r>
      <w:r w:rsidR="004E6904" w:rsidRPr="004E6904">
        <w:rPr>
          <w:b w:val="0"/>
          <w:bCs/>
          <w:noProof/>
        </w:rPr>
        <w:t>[5]</w:t>
      </w:r>
      <w:r w:rsidR="004E6904">
        <w:rPr>
          <w:b w:val="0"/>
          <w:bCs/>
        </w:rPr>
        <w:fldChar w:fldCharType="end"/>
      </w:r>
      <w:r w:rsidRPr="00AE6A5D">
        <w:rPr>
          <w:b w:val="0"/>
          <w:bCs/>
        </w:rPr>
        <w:t xml:space="preserve">. In this digital era, social media such as YouTube, Facebook, and Twitter act as an alternative to spreading education </w:t>
      </w:r>
      <w:r w:rsidRPr="00AE6A5D">
        <w:rPr>
          <w:b w:val="0"/>
          <w:bCs/>
        </w:rPr>
        <w:lastRenderedPageBreak/>
        <w:t>widely. Additionally, human nature to socialize and building networks popularize the use of social media, even in the education sector. Social media provides all essential facilities needed in education, namely the capability of information search, the ease and speed of downloading or uploading learning media such as videos, and the ability to send feedback quickly</w:t>
      </w:r>
      <w:r w:rsidR="000542F5">
        <w:rPr>
          <w:b w:val="0"/>
          <w:bCs/>
        </w:rPr>
        <w:t xml:space="preserve"> </w:t>
      </w:r>
      <w:r w:rsidR="000542F5">
        <w:rPr>
          <w:b w:val="0"/>
          <w:bCs/>
        </w:rPr>
        <w:fldChar w:fldCharType="begin" w:fldLock="1"/>
      </w:r>
      <w:r w:rsidR="00FA4076">
        <w:rPr>
          <w:b w:val="0"/>
          <w:bCs/>
        </w:rPr>
        <w:instrText>ADDIN CSL_CITATION {"citationItems":[{"id":"ITEM-1","itemData":{"DOI":"10.3390/su11061683","ISSN":"20711050","abstract":"In today's world, social media is playing an indispensable role on the learning behavior of university students to achieve sustainable education. The impact of social media on sustainable education is becoming an essential and impelling factor. The world has become a global village and technology use has made it a smaller world through social media and how it is changing instruction. This original study is amongst the few to perform a focalized investigation on revealing the relationship between positive and negative characteristics of social media and the learning attitude of university students for sustainable education. However, this study aims to examine the constructive and adverse factors that impact on students' minds and how these helped students to share positive and negative aspects with others. It is increasingly noticeable that social networking sites and their applications present enormous benefits for as well as risks to university students and their implications on students' psychological adjustment or learning behaviors are not well understood. This study adapted the cluster sampling method, and respondents participated from five selected regions. Researchers distributed 1013 questionnaires among the targeted sample of university students with an age range of 16 to 35 years, and they collected 831 complete/valid responses. This study applied the social gratification theory to examine students' behavior practicing socialmedia usage. This study specifically identified 18 adversarial and constructive factors of social media from the previous literature. The findings revealed that the usage of social media in Pakistan has a negative influence on a student's behavior as compared to positive aspects. Results may not be generalized to the entire student community as findings are specific to the specific respondents only. This study presents a relationship between antithetical and creative characteristics of socialmedia and exhibits avenues for future studies by facilitating a better understanding of web-based social network use.","author":[{"dropping-particle":"","family":"Abbas","given":"Jaffar","non-dropping-particle":"","parse-names":false,"suffix":""},{"dropping-particle":"","family":"Aman","given":"Jaffar","non-dropping-particle":"","parse-names":false,"suffix":""},{"dropping-particle":"","family":"Nurunnabi","given":"Mohammad","non-dropping-particle":"","parse-names":false,"suffix":""},{"dropping-particle":"","family":"Bano","given":"Shaher","non-dropping-particle":"","parse-names":false,"suffix":""}],"container-title":"Sustainability (Switzerland)","id":"ITEM-1","issue":"6","issued":{"date-parts":[["2019"]]},"page":"1-23","title":"The impact of social media on learning behavior for sustainable education: Evidence of students from selected universities in Pakistan","type":"article-journal","volume":"11"},"uris":["http://www.mendeley.com/documents/?uuid=34c1c983-36fb-4c00-b24b-8ef6d2248efb"]},{"id":"ITEM-2","itemData":{"ISSN":"10521372","PMID":"25083128","author":[{"dropping-particle":"","family":"Lee Ventola","given":"C.","non-dropping-particle":"","parse-names":false,"suffix":""}],"container-title":"P and T","id":"ITEM-2","issue":"7","issued":{"date-parts":[["2014"]]},"page":"491-500","title":"Social media and health care professionals: Benefits, risks, and best practices","type":"article-journal","volume":"39"},"uris":["http://www.mendeley.com/documents/?uuid=342170d7-1964-4f57-bf5a-61f5760358ce"]}],"mendeley":{"formattedCitation":"[5,6]","plainTextFormattedCitation":"[5,6]","previouslyFormattedCitation":"[5,6]"},"properties":{"noteIndex":0},"schema":"https://github.com/citation-style-language/schema/raw/master/csl-citation.json"}</w:instrText>
      </w:r>
      <w:r w:rsidR="000542F5">
        <w:rPr>
          <w:b w:val="0"/>
          <w:bCs/>
        </w:rPr>
        <w:fldChar w:fldCharType="separate"/>
      </w:r>
      <w:r w:rsidR="000542F5" w:rsidRPr="000542F5">
        <w:rPr>
          <w:b w:val="0"/>
          <w:bCs/>
          <w:noProof/>
        </w:rPr>
        <w:t>[5,6]</w:t>
      </w:r>
      <w:r w:rsidR="000542F5">
        <w:rPr>
          <w:b w:val="0"/>
          <w:bCs/>
        </w:rPr>
        <w:fldChar w:fldCharType="end"/>
      </w:r>
      <w:r w:rsidRPr="00AE6A5D">
        <w:rPr>
          <w:b w:val="0"/>
          <w:bCs/>
        </w:rPr>
        <w:t>.</w:t>
      </w:r>
    </w:p>
    <w:p w14:paraId="3E330FDF" w14:textId="09135F22" w:rsidR="00AE6A5D" w:rsidRPr="00AE6A5D" w:rsidRDefault="00AE6A5D" w:rsidP="008A162D">
      <w:pPr>
        <w:pStyle w:val="Section"/>
        <w:numPr>
          <w:ilvl w:val="0"/>
          <w:numId w:val="0"/>
        </w:numPr>
        <w:spacing w:before="0"/>
        <w:jc w:val="both"/>
        <w:rPr>
          <w:b w:val="0"/>
          <w:bCs/>
        </w:rPr>
      </w:pPr>
      <w:r w:rsidRPr="00AE6A5D">
        <w:rPr>
          <w:b w:val="0"/>
          <w:bCs/>
        </w:rPr>
        <w:t xml:space="preserve">Instagram is currently one of the most popular social media. Instagram is ranked third in the “Most Active Social Media Platforms” category with a percentage of 38%. According to the “Profile of Instagram Users” category, users with 18 – 24 years of age dominate the total of Instagram users with a total of 246 million users </w:t>
      </w:r>
      <w:r w:rsidR="00FA4076">
        <w:rPr>
          <w:b w:val="0"/>
          <w:bCs/>
        </w:rPr>
        <w:fldChar w:fldCharType="begin" w:fldLock="1"/>
      </w:r>
      <w:r w:rsidR="00FA4076">
        <w:rPr>
          <w:b w:val="0"/>
          <w:bCs/>
        </w:rPr>
        <w:instrText>ADDIN CSL_CITATION {"citationItems":[{"id":"ITEM-1","itemData":{"author":[{"dropping-particle":"","family":"We Are Social","given":"","non-dropping-particle":"","parse-names":false,"suffix":""}],"container-title":"We Are Social","id":"ITEM-1","issued":{"date-parts":[["2019"]]},"title":"Trends shaping social in 2019","type":"article-journal"},"uris":["http://www.mendeley.com/documents/?uuid=4a41e26b-403d-439e-849d-c44c2763fa77"]}],"mendeley":{"formattedCitation":"[7]","plainTextFormattedCitation":"[7]","previouslyFormattedCitation":"[7]"},"properties":{"noteIndex":0},"schema":"https://github.com/citation-style-language/schema/raw/master/csl-citation.json"}</w:instrText>
      </w:r>
      <w:r w:rsidR="00FA4076">
        <w:rPr>
          <w:b w:val="0"/>
          <w:bCs/>
        </w:rPr>
        <w:fldChar w:fldCharType="separate"/>
      </w:r>
      <w:r w:rsidR="00FA4076" w:rsidRPr="00FA4076">
        <w:rPr>
          <w:b w:val="0"/>
          <w:bCs/>
          <w:noProof/>
        </w:rPr>
        <w:t>[7]</w:t>
      </w:r>
      <w:r w:rsidR="00FA4076">
        <w:rPr>
          <w:b w:val="0"/>
          <w:bCs/>
        </w:rPr>
        <w:fldChar w:fldCharType="end"/>
      </w:r>
      <w:r w:rsidRPr="00AE6A5D">
        <w:rPr>
          <w:b w:val="0"/>
          <w:bCs/>
        </w:rPr>
        <w:t xml:space="preserve">. This condition shows an opportunity for social media to promote health education in this millennial era. Instagram has the potential to be one of the education media for implementing a healthy lifestyle to prevent the development of DM2T, especially for the millennial generation. Thus, we conducted this research to provide an educational program of DM disease systematically for the youth group in universities with Instagram users. The result of this study is compared with the result of conventional education methods using lecture and pocket notes as a comparison. This comparison method is a standard method with the purpose to give an explanation or verbal message to a target group to get information about health </w:t>
      </w:r>
      <w:r w:rsidR="00FA4076">
        <w:rPr>
          <w:b w:val="0"/>
          <w:bCs/>
        </w:rPr>
        <w:fldChar w:fldCharType="begin" w:fldLock="1"/>
      </w:r>
      <w:r w:rsidR="0038593F">
        <w:rPr>
          <w:b w:val="0"/>
          <w:bCs/>
        </w:rPr>
        <w:instrText>ADDIN CSL_CITATION {"citationItems":[{"id":"ITEM-1","itemData":{"author":[{"dropping-particle":"","family":"Vahedian","given":"Mostafa","non-dropping-particle":"","parse-names":false,"suffix":""},{"dropping-particle":"","family":"Sadeghi","given":"Roya","non-dropping-particle":"","parse-names":false,"suffix":""},{"dropping-particle":"","family":"Farhadlu","given":"Rohollah","non-dropping-particle":"","parse-names":false,"suffix":""},{"dropping-particle":"","family":"Nazeri","given":"Azamossadat","non-dropping-particle":"","parse-names":false,"suffix":""},{"dropping-particle":"","family":"Dehghan","given":"Azizallah","non-dropping-particle":"","parse-names":false,"suffix":""},{"dropping-particle":"","family":"Barati","given":"Hassan","non-dropping-particle":"","parse-names":false,"suffix":""}],"container-title":"Journal of Community Health Research","id":"ITEM-1","issue":"1","issued":{"date-parts":[["2014"]]},"page":"1-12","title":"Effect of Educational Booklet and Lecture on Nutritional Behavior Knowledge and Attitude on Third-Grade Male Guidance School Students","type":"article-journal","volume":"3"},"uris":["http://www.mendeley.com/documents/?uuid=55db2a7d-9798-4c16-a40a-cf09fac5ae9b"]}],"mendeley":{"formattedCitation":"[8]","plainTextFormattedCitation":"[8]","previouslyFormattedCitation":"[8]"},"properties":{"noteIndex":0},"schema":"https://github.com/citation-style-language/schema/raw/master/csl-citation.json"}</w:instrText>
      </w:r>
      <w:r w:rsidR="00FA4076">
        <w:rPr>
          <w:b w:val="0"/>
          <w:bCs/>
        </w:rPr>
        <w:fldChar w:fldCharType="separate"/>
      </w:r>
      <w:r w:rsidR="00FA4076" w:rsidRPr="00FA4076">
        <w:rPr>
          <w:b w:val="0"/>
          <w:bCs/>
          <w:noProof/>
        </w:rPr>
        <w:t>[8]</w:t>
      </w:r>
      <w:r w:rsidR="00FA4076">
        <w:rPr>
          <w:b w:val="0"/>
          <w:bCs/>
        </w:rPr>
        <w:fldChar w:fldCharType="end"/>
      </w:r>
      <w:r w:rsidRPr="00AE6A5D">
        <w:rPr>
          <w:b w:val="0"/>
          <w:bCs/>
        </w:rPr>
        <w:t>.</w:t>
      </w:r>
    </w:p>
    <w:p w14:paraId="47F4B441" w14:textId="77777777" w:rsidR="00AE6A5D" w:rsidRPr="00AE6A5D" w:rsidRDefault="00AE6A5D" w:rsidP="008A162D">
      <w:pPr>
        <w:pStyle w:val="Section"/>
        <w:numPr>
          <w:ilvl w:val="0"/>
          <w:numId w:val="0"/>
        </w:numPr>
        <w:spacing w:before="0"/>
        <w:jc w:val="both"/>
        <w:rPr>
          <w:b w:val="0"/>
          <w:bCs/>
        </w:rPr>
      </w:pPr>
      <w:r w:rsidRPr="00AE6A5D">
        <w:rPr>
          <w:b w:val="0"/>
          <w:bCs/>
        </w:rPr>
        <w:t xml:space="preserve">The education program provided in this study is expected to increase the public knowledge and give a </w:t>
      </w:r>
      <w:proofErr w:type="spellStart"/>
      <w:r w:rsidRPr="00AE6A5D">
        <w:rPr>
          <w:b w:val="0"/>
          <w:bCs/>
        </w:rPr>
        <w:t>behavior</w:t>
      </w:r>
      <w:proofErr w:type="spellEnd"/>
      <w:r w:rsidRPr="00AE6A5D">
        <w:rPr>
          <w:b w:val="0"/>
          <w:bCs/>
        </w:rPr>
        <w:t xml:space="preserve"> change effect, namely physical activities and nutrition types as the primary factors of diabetes prevention and </w:t>
      </w:r>
      <w:proofErr w:type="spellStart"/>
      <w:r w:rsidRPr="00AE6A5D">
        <w:rPr>
          <w:b w:val="0"/>
          <w:bCs/>
        </w:rPr>
        <w:t>glycemic</w:t>
      </w:r>
      <w:proofErr w:type="spellEnd"/>
      <w:r w:rsidRPr="00AE6A5D">
        <w:rPr>
          <w:b w:val="0"/>
          <w:bCs/>
        </w:rPr>
        <w:t xml:space="preserve"> control. This study also measures any changes of public knowledge, implementation of a healthy lifestyle, and physical activity after the education program is given with both the conventional methods namely lecture and pocket </w:t>
      </w:r>
      <w:proofErr w:type="gramStart"/>
      <w:r w:rsidRPr="00AE6A5D">
        <w:rPr>
          <w:b w:val="0"/>
          <w:bCs/>
        </w:rPr>
        <w:t>notes, and</w:t>
      </w:r>
      <w:proofErr w:type="gramEnd"/>
      <w:r w:rsidRPr="00AE6A5D">
        <w:rPr>
          <w:b w:val="0"/>
          <w:bCs/>
        </w:rPr>
        <w:t xml:space="preserve"> using the social media method using Instagram as the primary education platform. This study has the purpose of obtaining valid proof to develop an effective and efficient education model to reduce the number of DM2T occurrences, especially in the millennial generation.</w:t>
      </w:r>
    </w:p>
    <w:p w14:paraId="76493AD9" w14:textId="77777777" w:rsidR="00AE6A5D" w:rsidRPr="00AE6A5D" w:rsidRDefault="00AE6A5D" w:rsidP="00AE6A5D">
      <w:pPr>
        <w:pStyle w:val="Bodytext"/>
        <w:rPr>
          <w:lang w:val="en-GB"/>
        </w:rPr>
      </w:pPr>
    </w:p>
    <w:p w14:paraId="79B9FB8E" w14:textId="4006FAE4" w:rsidR="00AE6A5D" w:rsidRDefault="00AE6A5D" w:rsidP="008A162D">
      <w:pPr>
        <w:pStyle w:val="Section"/>
      </w:pPr>
      <w:commentRangeStart w:id="3"/>
      <w:r>
        <w:t>Material an</w:t>
      </w:r>
      <w:r w:rsidR="00CD4623">
        <w:t xml:space="preserve">d </w:t>
      </w:r>
      <w:r>
        <w:t>Methods</w:t>
      </w:r>
      <w:commentRangeEnd w:id="3"/>
      <w:r w:rsidR="00150FAE">
        <w:rPr>
          <w:rStyle w:val="CommentReference"/>
          <w:rFonts w:asciiTheme="minorHAnsi" w:eastAsiaTheme="minorHAnsi" w:hAnsiTheme="minorHAnsi" w:cstheme="minorBidi"/>
          <w:b w:val="0"/>
          <w:iCs w:val="0"/>
          <w:color w:val="auto"/>
          <w:lang w:val="en-US"/>
        </w:rPr>
        <w:commentReference w:id="3"/>
      </w:r>
    </w:p>
    <w:p w14:paraId="66D3DA09" w14:textId="30B5BF22" w:rsidR="00CD4623" w:rsidRPr="00D925FA" w:rsidRDefault="00CD4623" w:rsidP="00CD4623">
      <w:pPr>
        <w:pStyle w:val="Bodytext"/>
        <w:rPr>
          <w:i/>
          <w:iCs w:val="0"/>
          <w:lang w:val="en-GB"/>
        </w:rPr>
      </w:pPr>
      <w:r w:rsidRPr="00D925FA">
        <w:rPr>
          <w:i/>
          <w:iCs w:val="0"/>
          <w:lang w:val="en-GB"/>
        </w:rPr>
        <w:t>2.1 Design Study</w:t>
      </w:r>
    </w:p>
    <w:p w14:paraId="07DCC7C6" w14:textId="7627599A" w:rsidR="003F7BFD" w:rsidRDefault="003F7BFD" w:rsidP="003F7BFD">
      <w:pPr>
        <w:pStyle w:val="Bodytext"/>
        <w:rPr>
          <w:rFonts w:asciiTheme="majorBidi" w:hAnsiTheme="majorBidi" w:cstheme="majorBidi"/>
        </w:rPr>
      </w:pPr>
      <w:r w:rsidRPr="00371518">
        <w:rPr>
          <w:rFonts w:asciiTheme="majorBidi" w:hAnsiTheme="majorBidi" w:cstheme="majorBidi"/>
        </w:rPr>
        <w:t xml:space="preserve">The quasi-experimental design layout is used by comparing different education methods in form of a combination of lecture and pocket notes, and social media Instagram. This study hypothesizes that social media, especially Instagram can increase public knowledge, physical activities, and help in understanding the frequency of food types to prevent DM2T. This study was conducted from January until June 2019 at </w:t>
      </w:r>
      <w:proofErr w:type="spellStart"/>
      <w:r w:rsidRPr="00371518">
        <w:rPr>
          <w:rFonts w:asciiTheme="majorBidi" w:hAnsiTheme="majorBidi" w:cstheme="majorBidi"/>
        </w:rPr>
        <w:t>Universitas</w:t>
      </w:r>
      <w:proofErr w:type="spellEnd"/>
      <w:r w:rsidRPr="00371518">
        <w:rPr>
          <w:rFonts w:asciiTheme="majorBidi" w:hAnsiTheme="majorBidi" w:cstheme="majorBidi"/>
        </w:rPr>
        <w:t xml:space="preserve"> Ma Chung</w:t>
      </w:r>
    </w:p>
    <w:p w14:paraId="44AB2E98" w14:textId="77777777" w:rsidR="002A18DD" w:rsidRPr="002A18DD" w:rsidRDefault="002A18DD" w:rsidP="002A18DD">
      <w:pPr>
        <w:pStyle w:val="BodytextIndented"/>
      </w:pPr>
    </w:p>
    <w:p w14:paraId="5749BAB7" w14:textId="3FE329C0" w:rsidR="002A18DD" w:rsidRPr="00D925FA" w:rsidRDefault="002A18DD" w:rsidP="002A18DD">
      <w:pPr>
        <w:pStyle w:val="BodytextIndented"/>
        <w:ind w:firstLine="0"/>
        <w:rPr>
          <w:i/>
          <w:iCs w:val="0"/>
        </w:rPr>
      </w:pPr>
      <w:r w:rsidRPr="00D925FA">
        <w:rPr>
          <w:i/>
          <w:iCs w:val="0"/>
        </w:rPr>
        <w:t xml:space="preserve">2.2 </w:t>
      </w:r>
      <w:r w:rsidR="00822492" w:rsidRPr="00D925FA">
        <w:rPr>
          <w:i/>
          <w:iCs w:val="0"/>
        </w:rPr>
        <w:t>Diabetes Education</w:t>
      </w:r>
    </w:p>
    <w:p w14:paraId="5207614E" w14:textId="77777777" w:rsidR="000F5717" w:rsidRPr="00371518" w:rsidRDefault="000F5717" w:rsidP="000F5717">
      <w:pPr>
        <w:jc w:val="both"/>
        <w:rPr>
          <w:rFonts w:asciiTheme="majorBidi" w:hAnsiTheme="majorBidi" w:cstheme="majorBidi"/>
          <w:szCs w:val="22"/>
        </w:rPr>
      </w:pPr>
      <w:r w:rsidRPr="00371518">
        <w:rPr>
          <w:rFonts w:asciiTheme="majorBidi" w:hAnsiTheme="majorBidi" w:cstheme="majorBidi"/>
          <w:szCs w:val="22"/>
        </w:rPr>
        <w:t xml:space="preserve">Diabetes education by combining lectures from health experts and pocket notes was given to the respondents. Learning materials such as </w:t>
      </w:r>
      <w:proofErr w:type="spellStart"/>
      <w:r w:rsidRPr="00371518">
        <w:rPr>
          <w:rFonts w:asciiTheme="majorBidi" w:hAnsiTheme="majorBidi" w:cstheme="majorBidi"/>
          <w:szCs w:val="22"/>
        </w:rPr>
        <w:t>etiology</w:t>
      </w:r>
      <w:proofErr w:type="spellEnd"/>
      <w:r w:rsidRPr="00371518">
        <w:rPr>
          <w:rFonts w:asciiTheme="majorBidi" w:hAnsiTheme="majorBidi" w:cstheme="majorBidi"/>
          <w:szCs w:val="22"/>
        </w:rPr>
        <w:t>, pathophysiology and manifestation, diagnosis, prevention acts through dietary arrangements, and the importance of physical activities. The next step includes handing out pocket notes to the respondents to take note of dietary arrangements and physical activities for everyday routine. This pocket note also acts as a self-reminder for the respondents to have a healthy diet and lifestyle every day.</w:t>
      </w:r>
    </w:p>
    <w:p w14:paraId="594BF51E" w14:textId="002CCC46" w:rsidR="000F5717" w:rsidRPr="000F5717" w:rsidRDefault="000F5717" w:rsidP="000F5717">
      <w:pPr>
        <w:pStyle w:val="BodytextIndented"/>
        <w:ind w:firstLine="0"/>
        <w:rPr>
          <w:lang w:val="en-GB"/>
        </w:rPr>
      </w:pPr>
      <w:r w:rsidRPr="00371518">
        <w:rPr>
          <w:rFonts w:asciiTheme="majorBidi" w:hAnsiTheme="majorBidi" w:cstheme="majorBidi"/>
        </w:rPr>
        <w:t>The other diabetes education method was implemented on a different target group via Instagram social media. Respondents were asked to follow an Instagram account created by the researcher. This account contains summaries of information about diabetes redesigned with animated pictures to make them more understandable and interesting to look at. This Instagram account regularly posts animated educational content with similar content as the ones explained through direct lecture. The attendance of the group members was observed by the number of likes in each Instagram post. Besides, all respondents from this group were asked to send pictures of their daily meals to this account via direct message.</w:t>
      </w:r>
    </w:p>
    <w:p w14:paraId="7FBFFBD9" w14:textId="3C7D74B6" w:rsidR="008500FA" w:rsidRPr="00D925FA" w:rsidRDefault="0098119C" w:rsidP="002A18DD">
      <w:pPr>
        <w:pStyle w:val="Section"/>
        <w:numPr>
          <w:ilvl w:val="1"/>
          <w:numId w:val="5"/>
        </w:numPr>
        <w:rPr>
          <w:b w:val="0"/>
          <w:bCs/>
          <w:i/>
          <w:iCs w:val="0"/>
        </w:rPr>
      </w:pPr>
      <w:r w:rsidRPr="00D925FA">
        <w:rPr>
          <w:b w:val="0"/>
          <w:bCs/>
          <w:i/>
          <w:iCs w:val="0"/>
        </w:rPr>
        <w:t>Participants</w:t>
      </w:r>
    </w:p>
    <w:p w14:paraId="4B137BA0" w14:textId="77777777" w:rsidR="00BF2948" w:rsidRPr="00BF2948" w:rsidRDefault="00BF2948" w:rsidP="00BF2948">
      <w:pPr>
        <w:pStyle w:val="Section"/>
        <w:numPr>
          <w:ilvl w:val="0"/>
          <w:numId w:val="0"/>
        </w:numPr>
        <w:spacing w:before="0"/>
        <w:jc w:val="both"/>
        <w:rPr>
          <w:b w:val="0"/>
          <w:bCs/>
        </w:rPr>
      </w:pPr>
      <w:r w:rsidRPr="00BF2948">
        <w:rPr>
          <w:b w:val="0"/>
          <w:bCs/>
        </w:rPr>
        <w:lastRenderedPageBreak/>
        <w:t xml:space="preserve">The population of this study is the active students of </w:t>
      </w:r>
      <w:proofErr w:type="spellStart"/>
      <w:r w:rsidRPr="00BF2948">
        <w:rPr>
          <w:b w:val="0"/>
          <w:bCs/>
        </w:rPr>
        <w:t>Universitas</w:t>
      </w:r>
      <w:proofErr w:type="spellEnd"/>
      <w:r w:rsidRPr="00BF2948">
        <w:rPr>
          <w:b w:val="0"/>
          <w:bCs/>
        </w:rPr>
        <w:t xml:space="preserve"> Ma Chung with a total of 1215. The sampling process through a purposive sampling technique with the minimum sample and calculation using the </w:t>
      </w:r>
      <w:proofErr w:type="spellStart"/>
      <w:r w:rsidRPr="00BF2948">
        <w:rPr>
          <w:b w:val="0"/>
          <w:bCs/>
        </w:rPr>
        <w:t>Slovin</w:t>
      </w:r>
      <w:proofErr w:type="spellEnd"/>
      <w:r w:rsidRPr="00BF2948">
        <w:rPr>
          <w:b w:val="0"/>
          <w:bCs/>
        </w:rPr>
        <w:t xml:space="preserve"> formula (margin of error 0.1) is 93 respondents. The initial sample acquisition includes 100 respondents and until the end of the study 8 respondents were excluded for not following the whole activities in the layout. Respondents were divided evenly into two groups; one group that receives the combination of lecture and pocket notes and the other is the Instagram group.</w:t>
      </w:r>
    </w:p>
    <w:p w14:paraId="4D081B7D" w14:textId="457A9492" w:rsidR="00BF2948" w:rsidRPr="00BF2948" w:rsidRDefault="00BF2948" w:rsidP="00BF2948">
      <w:pPr>
        <w:pStyle w:val="Section"/>
        <w:numPr>
          <w:ilvl w:val="0"/>
          <w:numId w:val="0"/>
        </w:numPr>
        <w:spacing w:before="0"/>
        <w:jc w:val="both"/>
        <w:rPr>
          <w:b w:val="0"/>
          <w:bCs/>
        </w:rPr>
      </w:pPr>
      <w:r w:rsidRPr="00BF2948">
        <w:rPr>
          <w:b w:val="0"/>
          <w:bCs/>
        </w:rPr>
        <w:t xml:space="preserve">The inclusion criteria for this study are: [1] the active students of </w:t>
      </w:r>
      <w:proofErr w:type="spellStart"/>
      <w:r w:rsidRPr="00BF2948">
        <w:rPr>
          <w:b w:val="0"/>
          <w:bCs/>
        </w:rPr>
        <w:t>Universitas</w:t>
      </w:r>
      <w:proofErr w:type="spellEnd"/>
      <w:r w:rsidRPr="00BF2948">
        <w:rPr>
          <w:b w:val="0"/>
          <w:bCs/>
        </w:rPr>
        <w:t xml:space="preserve"> Ma Chung Malang; [2] respondents must have an attendance percentage of at least 60%; [3] respondents must not be under the treatment of steroid-class medications or weight loss program for the last three months. The exclusion criteria for this study are [1] hospitalized; [2] pregnancy; [3] resignation from the study. All respondents included in this study must sign informed consent as an agreement with the terms for this study.</w:t>
      </w:r>
    </w:p>
    <w:p w14:paraId="58AD4978" w14:textId="002AA954" w:rsidR="008500FA" w:rsidRPr="00D925FA" w:rsidRDefault="008500FA" w:rsidP="00822492">
      <w:pPr>
        <w:pStyle w:val="Section"/>
        <w:numPr>
          <w:ilvl w:val="1"/>
          <w:numId w:val="5"/>
        </w:numPr>
        <w:rPr>
          <w:rFonts w:asciiTheme="majorBidi" w:hAnsiTheme="majorBidi" w:cstheme="majorBidi"/>
          <w:b w:val="0"/>
          <w:bCs/>
          <w:i/>
          <w:iCs w:val="0"/>
        </w:rPr>
      </w:pPr>
      <w:r w:rsidRPr="00D925FA">
        <w:rPr>
          <w:rFonts w:asciiTheme="majorBidi" w:hAnsiTheme="majorBidi" w:cstheme="majorBidi"/>
          <w:b w:val="0"/>
          <w:bCs/>
          <w:i/>
          <w:iCs w:val="0"/>
        </w:rPr>
        <w:t>Variables</w:t>
      </w:r>
      <w:r w:rsidR="004C2A51">
        <w:rPr>
          <w:rFonts w:asciiTheme="majorBidi" w:hAnsiTheme="majorBidi" w:cstheme="majorBidi"/>
          <w:b w:val="0"/>
          <w:bCs/>
          <w:i/>
          <w:iCs w:val="0"/>
        </w:rPr>
        <w:t xml:space="preserve"> and Instrument</w:t>
      </w:r>
    </w:p>
    <w:p w14:paraId="42F02F94" w14:textId="78CE0E79" w:rsidR="00154CE3" w:rsidRPr="00154CE3" w:rsidRDefault="00B54E99" w:rsidP="00154CE3">
      <w:pPr>
        <w:pStyle w:val="Bodytext"/>
        <w:rPr>
          <w:lang w:val="en-GB"/>
        </w:rPr>
      </w:pPr>
      <w:r w:rsidRPr="00371518">
        <w:rPr>
          <w:rFonts w:asciiTheme="majorBidi" w:hAnsiTheme="majorBidi" w:cstheme="majorBidi"/>
        </w:rPr>
        <w:t>The instrument for this study is the DM knowledge questionnaire that consists of 14 questions with the Alpha Cronbach value of 0.66. Physical activities are measured using the global physical activity questionnaire (GPAQ) by observing the value of the metabolic equivalent of task (MET). All physical activities are reclassified into light activity (MET&lt;600), medium activity (MET 600 – 3000), and heavy activity (MET &gt;3000). Food types are measured using the food frequency questionnaire (FFQ). Food frequency is divided into more than once a day, once a day, 4 until 6 times per week, 2 until 3 times per week, once a week, 1 until 3 times per month, and never. Furthermore, FFQ is classified into carbohydrates, vegetables, eggs and meats, seeds and nuts, milk and cheese, oil and fat, snacks, and fruits.</w:t>
      </w:r>
    </w:p>
    <w:p w14:paraId="2282BC78" w14:textId="4F48DD1A" w:rsidR="00F32B7D" w:rsidRPr="00D925FA" w:rsidRDefault="009949CD" w:rsidP="00E00EB5">
      <w:pPr>
        <w:pStyle w:val="Section"/>
        <w:numPr>
          <w:ilvl w:val="1"/>
          <w:numId w:val="5"/>
        </w:numPr>
        <w:rPr>
          <w:b w:val="0"/>
          <w:bCs/>
          <w:i/>
          <w:iCs w:val="0"/>
        </w:rPr>
      </w:pPr>
      <w:r w:rsidRPr="00D925FA">
        <w:rPr>
          <w:b w:val="0"/>
          <w:bCs/>
          <w:i/>
          <w:iCs w:val="0"/>
        </w:rPr>
        <w:t>Data Collection</w:t>
      </w:r>
    </w:p>
    <w:p w14:paraId="656CCA07" w14:textId="2594978E" w:rsidR="00F32B7D" w:rsidRPr="00F32B7D" w:rsidRDefault="00F32B7D" w:rsidP="00F32B7D">
      <w:pPr>
        <w:pStyle w:val="Bodytext"/>
        <w:rPr>
          <w:lang w:val="en-GB"/>
        </w:rPr>
      </w:pPr>
      <w:r w:rsidRPr="00371518">
        <w:rPr>
          <w:rFonts w:asciiTheme="majorBidi" w:hAnsiTheme="majorBidi" w:cstheme="majorBidi"/>
        </w:rPr>
        <w:t xml:space="preserve">Acquired data in this study includes the characteristics of respondents, physical activity data using the GPAQ questionnaire, and food frequency using the FFQ questionnaire. Respondents characteristics data includes gender, age, body mass index (BMI), </w:t>
      </w:r>
      <w:r w:rsidR="00512A4D">
        <w:rPr>
          <w:rFonts w:asciiTheme="majorBidi" w:hAnsiTheme="majorBidi" w:cstheme="majorBidi"/>
        </w:rPr>
        <w:t>house</w:t>
      </w:r>
      <w:r w:rsidRPr="00371518">
        <w:rPr>
          <w:rFonts w:asciiTheme="majorBidi" w:hAnsiTheme="majorBidi" w:cstheme="majorBidi"/>
        </w:rPr>
        <w:t>mate(s), participation in students’ activity unit (UKM), a family member with a history of DM, smoking habit, and the sleep duration within a day. Physical activity data is obtained with the GPAQ questionnaire and the calculation of the MET value from the questionnaire. Food frequency is divided into more than once a day, once a day, 4 until 6 times per week, 2 until 3 times per week, once a week, 1 until 3 times per month, and never. Furthermore, FFQ is classified into carbohydrates, vegetables, eggs and meats, seeds and nuts, milk and cheese, oil and fat, snacks, and fruits.</w:t>
      </w:r>
    </w:p>
    <w:p w14:paraId="7007ED28" w14:textId="66CA16E3" w:rsidR="0005181C" w:rsidRPr="00D925FA" w:rsidRDefault="00E00EB5" w:rsidP="00D925FA">
      <w:pPr>
        <w:pStyle w:val="Section"/>
        <w:numPr>
          <w:ilvl w:val="1"/>
          <w:numId w:val="5"/>
        </w:numPr>
        <w:rPr>
          <w:rFonts w:asciiTheme="majorBidi" w:hAnsiTheme="majorBidi" w:cstheme="majorBidi"/>
          <w:b w:val="0"/>
          <w:bCs/>
          <w:i/>
          <w:iCs w:val="0"/>
        </w:rPr>
      </w:pPr>
      <w:r w:rsidRPr="00D925FA">
        <w:rPr>
          <w:rFonts w:asciiTheme="majorBidi" w:hAnsiTheme="majorBidi" w:cstheme="majorBidi"/>
          <w:b w:val="0"/>
          <w:bCs/>
          <w:i/>
          <w:iCs w:val="0"/>
        </w:rPr>
        <w:t>Statistical Analyses</w:t>
      </w:r>
    </w:p>
    <w:p w14:paraId="564FBBD9" w14:textId="50C715E2" w:rsidR="0005181C" w:rsidRDefault="0005181C" w:rsidP="0005181C">
      <w:pPr>
        <w:pStyle w:val="Section"/>
        <w:numPr>
          <w:ilvl w:val="0"/>
          <w:numId w:val="0"/>
        </w:numPr>
        <w:spacing w:before="0"/>
        <w:jc w:val="both"/>
        <w:rPr>
          <w:rFonts w:ascii="Times New Roman" w:hAnsi="Times New Roman"/>
          <w:b w:val="0"/>
          <w:bCs/>
        </w:rPr>
      </w:pPr>
      <w:r w:rsidRPr="0005181C">
        <w:rPr>
          <w:rFonts w:ascii="Times New Roman" w:hAnsi="Times New Roman"/>
          <w:b w:val="0"/>
          <w:bCs/>
        </w:rPr>
        <w:t>Propensity score matching is the analysis technique used to ensure the balance between both groups. To observe the impact of the difference on the outcome, a difference-in-difference (</w:t>
      </w:r>
      <w:proofErr w:type="spellStart"/>
      <w:r w:rsidRPr="0005181C">
        <w:rPr>
          <w:rFonts w:ascii="Times New Roman" w:hAnsi="Times New Roman"/>
          <w:b w:val="0"/>
          <w:bCs/>
        </w:rPr>
        <w:t>DiD</w:t>
      </w:r>
      <w:proofErr w:type="spellEnd"/>
      <w:r w:rsidRPr="0005181C">
        <w:rPr>
          <w:rFonts w:ascii="Times New Roman" w:hAnsi="Times New Roman"/>
          <w:b w:val="0"/>
          <w:bCs/>
        </w:rPr>
        <w:t>) calculation was applied on both outcome results with this formula:</w:t>
      </w:r>
    </w:p>
    <w:p w14:paraId="009F642F" w14:textId="77777777" w:rsidR="00CD35FC" w:rsidRPr="00CD35FC" w:rsidRDefault="00CD35FC" w:rsidP="00CD35FC">
      <w:pPr>
        <w:pStyle w:val="Bodytext"/>
        <w:rPr>
          <w:lang w:val="en-GB"/>
        </w:rPr>
      </w:pPr>
    </w:p>
    <w:tbl>
      <w:tblPr>
        <w:tblStyle w:val="TableGrid"/>
        <w:tblW w:w="9468" w:type="dxa"/>
        <w:tblInd w:w="-27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838"/>
        <w:gridCol w:w="630"/>
      </w:tblGrid>
      <w:tr w:rsidR="00CD35FC" w14:paraId="1B2AB74F" w14:textId="77777777" w:rsidTr="00CD35FC">
        <w:tc>
          <w:tcPr>
            <w:tcW w:w="8838" w:type="dxa"/>
          </w:tcPr>
          <w:p w14:paraId="09025694" w14:textId="77777777" w:rsidR="00CD35FC" w:rsidRPr="00CD35FC" w:rsidRDefault="000510CA" w:rsidP="000510CA">
            <w:pPr>
              <w:spacing w:line="360" w:lineRule="auto"/>
              <w:ind w:left="-270" w:right="857" w:firstLine="990"/>
              <w:jc w:val="center"/>
              <w:rPr>
                <w:rFonts w:ascii="Times New Roman" w:eastAsia="Times New Roman" w:hAnsi="Times New Roman" w:cs="Times New Roman"/>
                <w:szCs w:val="22"/>
              </w:rPr>
            </w:pPr>
            <m:oMathPara>
              <m:oMathParaPr>
                <m:jc m:val="center"/>
              </m:oMathParaPr>
              <m:oMath>
                <m:bar>
                  <m:barPr>
                    <m:pos m:val="top"/>
                    <m:ctrlPr>
                      <w:rPr>
                        <w:rFonts w:ascii="Cambria Math" w:eastAsia="Times New Roman" w:hAnsi="Cambria Math" w:cs="Times New Roman"/>
                        <w:i/>
                        <w:szCs w:val="22"/>
                      </w:rPr>
                    </m:ctrlPr>
                  </m:barPr>
                  <m:e>
                    <m:r>
                      <w:rPr>
                        <w:rFonts w:ascii="Cambria Math" w:eastAsia="Times New Roman" w:hAnsi="Cambria Math" w:cs="Times New Roman"/>
                        <w:szCs w:val="22"/>
                      </w:rPr>
                      <m:t>y</m:t>
                    </m:r>
                  </m:e>
                </m:bar>
                <m:r>
                  <w:rPr>
                    <w:rFonts w:ascii="Cambria Math" w:eastAsia="Times New Roman" w:hAnsi="Cambria Math" w:cs="Times New Roman"/>
                    <w:szCs w:val="22"/>
                  </w:rPr>
                  <m:t>=</m:t>
                </m:r>
                <m:d>
                  <m:dPr>
                    <m:ctrlPr>
                      <w:rPr>
                        <w:rFonts w:ascii="Cambria Math" w:eastAsia="Times New Roman" w:hAnsi="Cambria Math" w:cs="Times New Roman"/>
                        <w:i/>
                        <w:szCs w:val="22"/>
                      </w:rPr>
                    </m:ctrlPr>
                  </m:dPr>
                  <m:e>
                    <m:sSub>
                      <m:sSubPr>
                        <m:ctrlPr>
                          <w:rPr>
                            <w:rFonts w:ascii="Cambria Math" w:eastAsia="Times New Roman" w:hAnsi="Cambria Math" w:cs="Times New Roman"/>
                            <w:szCs w:val="22"/>
                          </w:rPr>
                        </m:ctrlPr>
                      </m:sSubPr>
                      <m:e>
                        <m:bar>
                          <m:barPr>
                            <m:pos m:val="top"/>
                            <m:ctrlPr>
                              <w:rPr>
                                <w:rFonts w:ascii="Cambria Math" w:eastAsia="Times New Roman" w:hAnsi="Cambria Math" w:cs="Times New Roman"/>
                                <w:i/>
                                <w:szCs w:val="22"/>
                              </w:rPr>
                            </m:ctrlPr>
                          </m:barPr>
                          <m:e>
                            <m:r>
                              <w:rPr>
                                <w:rFonts w:ascii="Cambria Math" w:eastAsia="Times New Roman" w:hAnsi="Cambria Math" w:cs="Times New Roman"/>
                                <w:szCs w:val="22"/>
                              </w:rPr>
                              <m:t>y</m:t>
                            </m:r>
                          </m:e>
                        </m:bar>
                      </m:e>
                      <m:sub>
                        <m:r>
                          <m:rPr>
                            <m:sty m:val="p"/>
                          </m:rPr>
                          <w:rPr>
                            <w:rFonts w:ascii="Cambria Math" w:eastAsia="Times New Roman" w:hAnsi="Cambria Math" w:cs="Times New Roman"/>
                            <w:szCs w:val="22"/>
                          </w:rPr>
                          <m:t>1</m:t>
                        </m:r>
                        <m:r>
                          <w:rPr>
                            <w:rFonts w:ascii="Cambria Math" w:eastAsia="Times New Roman" w:hAnsi="Cambria Math" w:cs="Times New Roman"/>
                            <w:szCs w:val="22"/>
                          </w:rPr>
                          <m:t>1</m:t>
                        </m:r>
                      </m:sub>
                    </m:sSub>
                    <m:r>
                      <w:rPr>
                        <w:rFonts w:ascii="Cambria Math" w:eastAsia="Times New Roman" w:hAnsi="Cambria Math" w:cs="Times New Roman"/>
                        <w:szCs w:val="22"/>
                      </w:rPr>
                      <m:t>-</m:t>
                    </m:r>
                    <m:sSub>
                      <m:sSubPr>
                        <m:ctrlPr>
                          <w:rPr>
                            <w:rFonts w:ascii="Cambria Math" w:eastAsia="Times New Roman" w:hAnsi="Cambria Math" w:cs="Times New Roman"/>
                            <w:szCs w:val="22"/>
                          </w:rPr>
                        </m:ctrlPr>
                      </m:sSubPr>
                      <m:e>
                        <m:bar>
                          <m:barPr>
                            <m:pos m:val="top"/>
                            <m:ctrlPr>
                              <w:rPr>
                                <w:rFonts w:ascii="Cambria Math" w:eastAsia="Times New Roman" w:hAnsi="Cambria Math" w:cs="Times New Roman"/>
                                <w:i/>
                                <w:szCs w:val="22"/>
                              </w:rPr>
                            </m:ctrlPr>
                          </m:barPr>
                          <m:e>
                            <m:r>
                              <w:rPr>
                                <w:rFonts w:ascii="Cambria Math" w:eastAsia="Times New Roman" w:hAnsi="Cambria Math" w:cs="Times New Roman"/>
                                <w:szCs w:val="22"/>
                              </w:rPr>
                              <m:t>y</m:t>
                            </m:r>
                          </m:e>
                        </m:bar>
                      </m:e>
                      <m:sub>
                        <m:r>
                          <m:rPr>
                            <m:sty m:val="p"/>
                          </m:rPr>
                          <w:rPr>
                            <w:rFonts w:ascii="Cambria Math" w:eastAsia="Times New Roman" w:hAnsi="Cambria Math" w:cs="Times New Roman"/>
                            <w:szCs w:val="22"/>
                          </w:rPr>
                          <m:t>1</m:t>
                        </m:r>
                        <m:r>
                          <w:rPr>
                            <w:rFonts w:ascii="Cambria Math" w:eastAsia="Times New Roman" w:hAnsi="Cambria Math" w:cs="Times New Roman"/>
                            <w:szCs w:val="22"/>
                          </w:rPr>
                          <m:t>2</m:t>
                        </m:r>
                      </m:sub>
                    </m:sSub>
                  </m:e>
                </m:d>
                <m:r>
                  <w:rPr>
                    <w:rFonts w:ascii="Cambria Math" w:eastAsia="Times New Roman" w:hAnsi="Cambria Math" w:cs="Times New Roman"/>
                    <w:szCs w:val="22"/>
                  </w:rPr>
                  <m:t>-</m:t>
                </m:r>
                <m:d>
                  <m:dPr>
                    <m:ctrlPr>
                      <w:rPr>
                        <w:rFonts w:ascii="Cambria Math" w:eastAsia="Times New Roman" w:hAnsi="Cambria Math" w:cs="Times New Roman"/>
                        <w:i/>
                        <w:szCs w:val="22"/>
                      </w:rPr>
                    </m:ctrlPr>
                  </m:dPr>
                  <m:e>
                    <m:sSub>
                      <m:sSubPr>
                        <m:ctrlPr>
                          <w:rPr>
                            <w:rFonts w:ascii="Cambria Math" w:eastAsia="Times New Roman" w:hAnsi="Cambria Math" w:cs="Times New Roman"/>
                            <w:szCs w:val="22"/>
                          </w:rPr>
                        </m:ctrlPr>
                      </m:sSubPr>
                      <m:e>
                        <m:bar>
                          <m:barPr>
                            <m:pos m:val="top"/>
                            <m:ctrlPr>
                              <w:rPr>
                                <w:rFonts w:ascii="Cambria Math" w:eastAsia="Times New Roman" w:hAnsi="Cambria Math" w:cs="Times New Roman"/>
                                <w:i/>
                                <w:szCs w:val="22"/>
                              </w:rPr>
                            </m:ctrlPr>
                          </m:barPr>
                          <m:e>
                            <m:r>
                              <w:rPr>
                                <w:rFonts w:ascii="Cambria Math" w:eastAsia="Times New Roman" w:hAnsi="Cambria Math" w:cs="Times New Roman"/>
                                <w:szCs w:val="22"/>
                              </w:rPr>
                              <m:t>y</m:t>
                            </m:r>
                          </m:e>
                        </m:bar>
                      </m:e>
                      <m:sub>
                        <m:r>
                          <w:rPr>
                            <w:rFonts w:ascii="Cambria Math" w:eastAsia="Times New Roman" w:hAnsi="Cambria Math" w:cs="Times New Roman"/>
                            <w:szCs w:val="22"/>
                          </w:rPr>
                          <m:t>21</m:t>
                        </m:r>
                      </m:sub>
                    </m:sSub>
                    <m:r>
                      <w:rPr>
                        <w:rFonts w:ascii="Cambria Math" w:eastAsia="Times New Roman" w:hAnsi="Cambria Math" w:cs="Times New Roman"/>
                        <w:szCs w:val="22"/>
                      </w:rPr>
                      <m:t>-</m:t>
                    </m:r>
                    <m:sSub>
                      <m:sSubPr>
                        <m:ctrlPr>
                          <w:rPr>
                            <w:rFonts w:ascii="Cambria Math" w:eastAsia="Times New Roman" w:hAnsi="Cambria Math" w:cs="Times New Roman"/>
                            <w:szCs w:val="22"/>
                          </w:rPr>
                        </m:ctrlPr>
                      </m:sSubPr>
                      <m:e>
                        <m:bar>
                          <m:barPr>
                            <m:pos m:val="top"/>
                            <m:ctrlPr>
                              <w:rPr>
                                <w:rFonts w:ascii="Cambria Math" w:eastAsia="Times New Roman" w:hAnsi="Cambria Math" w:cs="Times New Roman"/>
                                <w:i/>
                                <w:szCs w:val="22"/>
                              </w:rPr>
                            </m:ctrlPr>
                          </m:barPr>
                          <m:e>
                            <m:r>
                              <w:rPr>
                                <w:rFonts w:ascii="Cambria Math" w:eastAsia="Times New Roman" w:hAnsi="Cambria Math" w:cs="Times New Roman"/>
                                <w:szCs w:val="22"/>
                              </w:rPr>
                              <m:t>y</m:t>
                            </m:r>
                          </m:e>
                        </m:bar>
                      </m:e>
                      <m:sub>
                        <m:r>
                          <w:rPr>
                            <w:rFonts w:ascii="Cambria Math" w:eastAsia="Times New Roman" w:hAnsi="Cambria Math" w:cs="Times New Roman"/>
                            <w:szCs w:val="22"/>
                          </w:rPr>
                          <m:t>22</m:t>
                        </m:r>
                      </m:sub>
                    </m:sSub>
                  </m:e>
                </m:d>
              </m:oMath>
            </m:oMathPara>
          </w:p>
        </w:tc>
        <w:tc>
          <w:tcPr>
            <w:tcW w:w="630" w:type="dxa"/>
          </w:tcPr>
          <w:p w14:paraId="39C023D0" w14:textId="25AC5AB3" w:rsidR="00CD35FC" w:rsidRPr="003A1607" w:rsidRDefault="00CD35FC" w:rsidP="000510CA">
            <w:pPr>
              <w:spacing w:line="360" w:lineRule="auto"/>
              <w:jc w:val="right"/>
              <w:rPr>
                <w:rFonts w:ascii="Times New Roman" w:eastAsia="Times New Roman" w:hAnsi="Times New Roman" w:cs="Times New Roman"/>
                <w:szCs w:val="22"/>
              </w:rPr>
            </w:pPr>
            <w:r w:rsidRPr="003A1607">
              <w:rPr>
                <w:rFonts w:ascii="Times New Roman" w:eastAsia="Times New Roman" w:hAnsi="Times New Roman" w:cs="Times New Roman"/>
                <w:szCs w:val="22"/>
              </w:rPr>
              <w:t>(1)</w:t>
            </w:r>
          </w:p>
        </w:tc>
      </w:tr>
    </w:tbl>
    <w:p w14:paraId="17B4AA9F" w14:textId="77777777" w:rsidR="00CD35FC" w:rsidRPr="00CD35FC" w:rsidRDefault="00CD35FC" w:rsidP="00CD35FC">
      <w:pPr>
        <w:pStyle w:val="Bodytext"/>
        <w:rPr>
          <w:lang w:val="en-GB"/>
        </w:rPr>
      </w:pPr>
    </w:p>
    <w:p w14:paraId="5E1067B7" w14:textId="149D4DD5" w:rsidR="0005181C" w:rsidRDefault="000510CA" w:rsidP="00FD4B79">
      <w:pPr>
        <w:pStyle w:val="Section"/>
        <w:numPr>
          <w:ilvl w:val="0"/>
          <w:numId w:val="0"/>
        </w:numPr>
        <w:spacing w:before="0"/>
        <w:jc w:val="both"/>
        <w:rPr>
          <w:rFonts w:ascii="Times New Roman" w:hAnsi="Times New Roman"/>
          <w:b w:val="0"/>
          <w:bCs/>
        </w:rPr>
      </w:pPr>
      <m:oMath>
        <m:bar>
          <m:barPr>
            <m:pos m:val="top"/>
            <m:ctrlPr>
              <w:rPr>
                <w:rFonts w:ascii="Cambria Math" w:hAnsi="Cambria Math"/>
                <w:i/>
                <w:lang w:val="en-US"/>
              </w:rPr>
            </m:ctrlPr>
          </m:barPr>
          <m:e>
            <m:r>
              <m:rPr>
                <m:sty m:val="bi"/>
              </m:rPr>
              <w:rPr>
                <w:rFonts w:ascii="Cambria Math" w:hAnsi="Cambria Math"/>
                <w:lang w:val="en-US"/>
              </w:rPr>
              <m:t>y</m:t>
            </m:r>
          </m:e>
        </m:bar>
      </m:oMath>
      <w:r w:rsidR="0005181C" w:rsidRPr="0005181C">
        <w:rPr>
          <w:rFonts w:ascii="Times New Roman" w:hAnsi="Times New Roman"/>
          <w:b w:val="0"/>
          <w:bCs/>
        </w:rPr>
        <w:t xml:space="preserve"> is the DiD that measures the difference of average results on intervening groups before </w:t>
      </w:r>
      <m:oMath>
        <m:sSub>
          <m:sSubPr>
            <m:ctrlPr>
              <w:rPr>
                <w:rFonts w:ascii="Cambria Math" w:hAnsi="Cambria Math"/>
                <w:lang w:val="en-US"/>
              </w:rPr>
            </m:ctrlPr>
          </m:sSubPr>
          <m:e>
            <m:bar>
              <m:barPr>
                <m:pos m:val="top"/>
                <m:ctrlPr>
                  <w:rPr>
                    <w:rFonts w:ascii="Cambria Math" w:hAnsi="Cambria Math"/>
                    <w:i/>
                    <w:lang w:val="en-US"/>
                  </w:rPr>
                </m:ctrlPr>
              </m:barPr>
              <m:e>
                <m:r>
                  <m:rPr>
                    <m:sty m:val="bi"/>
                  </m:rPr>
                  <w:rPr>
                    <w:rFonts w:ascii="Cambria Math" w:hAnsi="Cambria Math"/>
                    <w:lang w:val="en-US"/>
                  </w:rPr>
                  <m:t>y</m:t>
                </m:r>
              </m:e>
            </m:bar>
          </m:e>
          <m:sub>
            <m:r>
              <m:rPr>
                <m:sty m:val="b"/>
              </m:rPr>
              <w:rPr>
                <w:rFonts w:ascii="Cambria Math" w:hAnsi="Cambria Math"/>
                <w:lang w:val="en-US"/>
              </w:rPr>
              <m:t>1</m:t>
            </m:r>
            <m:r>
              <m:rPr>
                <m:sty m:val="bi"/>
              </m:rPr>
              <w:rPr>
                <w:rFonts w:ascii="Cambria Math" w:hAnsi="Cambria Math"/>
                <w:lang w:val="en-US"/>
              </w:rPr>
              <m:t>1</m:t>
            </m:r>
          </m:sub>
        </m:sSub>
      </m:oMath>
      <w:r w:rsidR="008063E9">
        <w:rPr>
          <w:rFonts w:ascii="Times New Roman" w:hAnsi="Times New Roman"/>
          <w:lang w:val="en-US"/>
        </w:rPr>
        <w:t xml:space="preserve"> </w:t>
      </w:r>
      <w:r w:rsidR="0005181C" w:rsidRPr="0005181C">
        <w:rPr>
          <w:rFonts w:ascii="Times New Roman" w:hAnsi="Times New Roman"/>
          <w:b w:val="0"/>
          <w:bCs/>
        </w:rPr>
        <w:t>and after</w:t>
      </w:r>
      <w:r w:rsidR="00FD4B79">
        <w:rPr>
          <w:rFonts w:ascii="Times New Roman" w:hAnsi="Times New Roman"/>
          <w:b w:val="0"/>
          <w:bCs/>
        </w:rPr>
        <w:t xml:space="preserve"> </w:t>
      </w:r>
      <m:oMath>
        <m:sSub>
          <m:sSubPr>
            <m:ctrlPr>
              <w:rPr>
                <w:rFonts w:ascii="Cambria Math" w:hAnsi="Cambria Math"/>
                <w:lang w:val="en-US"/>
              </w:rPr>
            </m:ctrlPr>
          </m:sSubPr>
          <m:e>
            <m:bar>
              <m:barPr>
                <m:pos m:val="top"/>
                <m:ctrlPr>
                  <w:rPr>
                    <w:rFonts w:ascii="Cambria Math" w:hAnsi="Cambria Math"/>
                    <w:i/>
                    <w:lang w:val="en-US"/>
                  </w:rPr>
                </m:ctrlPr>
              </m:barPr>
              <m:e>
                <m:r>
                  <m:rPr>
                    <m:sty m:val="bi"/>
                  </m:rPr>
                  <w:rPr>
                    <w:rFonts w:ascii="Cambria Math" w:hAnsi="Cambria Math"/>
                    <w:lang w:val="en-US"/>
                  </w:rPr>
                  <m:t>y</m:t>
                </m:r>
              </m:e>
            </m:bar>
          </m:e>
          <m:sub>
            <m:r>
              <m:rPr>
                <m:sty m:val="b"/>
              </m:rPr>
              <w:rPr>
                <w:rFonts w:ascii="Cambria Math" w:hAnsi="Cambria Math"/>
                <w:lang w:val="en-US"/>
              </w:rPr>
              <m:t>1</m:t>
            </m:r>
            <m:r>
              <m:rPr>
                <m:sty m:val="bi"/>
              </m:rPr>
              <w:rPr>
                <w:rFonts w:ascii="Cambria Math" w:hAnsi="Cambria Math"/>
                <w:lang w:val="en-US"/>
              </w:rPr>
              <m:t>2</m:t>
            </m:r>
          </m:sub>
        </m:sSub>
      </m:oMath>
      <w:r w:rsidR="0005181C" w:rsidRPr="0005181C">
        <w:rPr>
          <w:rFonts w:ascii="Times New Roman" w:hAnsi="Times New Roman"/>
          <w:b w:val="0"/>
          <w:bCs/>
        </w:rPr>
        <w:t xml:space="preserve"> the treatment, subtracted by the difference in control groups</w:t>
      </w:r>
      <w:r w:rsidR="00FD4B79">
        <w:rPr>
          <w:rFonts w:ascii="Times New Roman" w:hAnsi="Times New Roman"/>
          <w:b w:val="0"/>
          <w:bCs/>
        </w:rPr>
        <w:t xml:space="preserve"> </w:t>
      </w:r>
      <m:oMath>
        <m:sSub>
          <m:sSubPr>
            <m:ctrlPr>
              <w:rPr>
                <w:rFonts w:ascii="Cambria Math" w:hAnsi="Cambria Math"/>
                <w:lang w:val="en-US"/>
              </w:rPr>
            </m:ctrlPr>
          </m:sSubPr>
          <m:e>
            <m:bar>
              <m:barPr>
                <m:pos m:val="top"/>
                <m:ctrlPr>
                  <w:rPr>
                    <w:rFonts w:ascii="Cambria Math" w:hAnsi="Cambria Math"/>
                    <w:i/>
                    <w:lang w:val="en-US"/>
                  </w:rPr>
                </m:ctrlPr>
              </m:barPr>
              <m:e>
                <m:r>
                  <m:rPr>
                    <m:sty m:val="bi"/>
                  </m:rPr>
                  <w:rPr>
                    <w:rFonts w:ascii="Cambria Math" w:hAnsi="Cambria Math"/>
                    <w:lang w:val="en-US"/>
                  </w:rPr>
                  <m:t>y</m:t>
                </m:r>
              </m:e>
            </m:bar>
          </m:e>
          <m:sub>
            <m:r>
              <m:rPr>
                <m:sty m:val="bi"/>
              </m:rPr>
              <w:rPr>
                <w:rFonts w:ascii="Cambria Math" w:hAnsi="Cambria Math"/>
                <w:lang w:val="en-US"/>
              </w:rPr>
              <m:t>21</m:t>
            </m:r>
          </m:sub>
        </m:sSub>
        <m:r>
          <m:rPr>
            <m:sty m:val="bi"/>
          </m:rPr>
          <w:rPr>
            <w:rFonts w:ascii="Cambria Math" w:hAnsi="Cambria Math"/>
            <w:lang w:val="en-US"/>
          </w:rPr>
          <m:t>-</m:t>
        </m:r>
        <m:sSub>
          <m:sSubPr>
            <m:ctrlPr>
              <w:rPr>
                <w:rFonts w:ascii="Cambria Math" w:hAnsi="Cambria Math"/>
                <w:lang w:val="en-US"/>
              </w:rPr>
            </m:ctrlPr>
          </m:sSubPr>
          <m:e>
            <m:bar>
              <m:barPr>
                <m:pos m:val="top"/>
                <m:ctrlPr>
                  <w:rPr>
                    <w:rFonts w:ascii="Cambria Math" w:hAnsi="Cambria Math"/>
                    <w:i/>
                    <w:lang w:val="en-US"/>
                  </w:rPr>
                </m:ctrlPr>
              </m:barPr>
              <m:e>
                <m:r>
                  <m:rPr>
                    <m:sty m:val="bi"/>
                  </m:rPr>
                  <w:rPr>
                    <w:rFonts w:ascii="Cambria Math" w:hAnsi="Cambria Math"/>
                    <w:lang w:val="en-US"/>
                  </w:rPr>
                  <m:t>y</m:t>
                </m:r>
              </m:e>
            </m:bar>
          </m:e>
          <m:sub>
            <m:r>
              <m:rPr>
                <m:sty m:val="bi"/>
              </m:rPr>
              <w:rPr>
                <w:rFonts w:ascii="Cambria Math" w:hAnsi="Cambria Math"/>
                <w:lang w:val="en-US"/>
              </w:rPr>
              <m:t>22</m:t>
            </m:r>
          </m:sub>
        </m:sSub>
      </m:oMath>
      <w:r w:rsidR="0005181C" w:rsidRPr="0005181C">
        <w:rPr>
          <w:rFonts w:ascii="Times New Roman" w:hAnsi="Times New Roman"/>
          <w:b w:val="0"/>
          <w:bCs/>
        </w:rPr>
        <w:t>.</w:t>
      </w:r>
      <w:r w:rsidR="00FD4B79">
        <w:rPr>
          <w:rFonts w:ascii="Times New Roman" w:hAnsi="Times New Roman"/>
          <w:b w:val="0"/>
          <w:bCs/>
        </w:rPr>
        <w:t xml:space="preserve"> </w:t>
      </w:r>
      <w:r w:rsidR="0005181C" w:rsidRPr="0005181C">
        <w:rPr>
          <w:rFonts w:ascii="Times New Roman" w:hAnsi="Times New Roman"/>
          <w:b w:val="0"/>
          <w:bCs/>
        </w:rPr>
        <w:t xml:space="preserve">The correlation between </w:t>
      </w:r>
      <m:oMath>
        <m:bar>
          <m:barPr>
            <m:pos m:val="top"/>
            <m:ctrlPr>
              <w:rPr>
                <w:rFonts w:ascii="Cambria Math" w:hAnsi="Cambria Math"/>
                <w:i/>
                <w:lang w:val="en-US"/>
              </w:rPr>
            </m:ctrlPr>
          </m:barPr>
          <m:e>
            <m:r>
              <m:rPr>
                <m:sty m:val="bi"/>
              </m:rPr>
              <w:rPr>
                <w:rFonts w:ascii="Cambria Math" w:hAnsi="Cambria Math"/>
                <w:lang w:val="en-US"/>
              </w:rPr>
              <m:t>y</m:t>
            </m:r>
          </m:e>
        </m:bar>
      </m:oMath>
      <w:r w:rsidR="0005181C" w:rsidRPr="0005181C">
        <w:rPr>
          <w:rFonts w:ascii="Times New Roman" w:hAnsi="Times New Roman"/>
          <w:b w:val="0"/>
          <w:bCs/>
        </w:rPr>
        <w:t xml:space="preserve"> and the treatment variables, namely the educating methods, which covariates are stated within the multiple linear regression as below:</w:t>
      </w:r>
    </w:p>
    <w:p w14:paraId="71BFA7F6" w14:textId="609B826C" w:rsidR="005B27D0" w:rsidRDefault="005B27D0" w:rsidP="005B27D0">
      <w:pPr>
        <w:pStyle w:val="Bodytext"/>
        <w:rPr>
          <w:lang w:val="en-GB"/>
        </w:rPr>
      </w:pPr>
    </w:p>
    <w:tbl>
      <w:tblPr>
        <w:tblStyle w:val="TableGrid"/>
        <w:tblW w:w="9468" w:type="dxa"/>
        <w:tblInd w:w="-27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8748"/>
        <w:gridCol w:w="720"/>
      </w:tblGrid>
      <w:tr w:rsidR="00174A31" w14:paraId="5895DB01" w14:textId="77777777" w:rsidTr="00174A31">
        <w:tc>
          <w:tcPr>
            <w:tcW w:w="8748" w:type="dxa"/>
          </w:tcPr>
          <w:p w14:paraId="69A0E9DB" w14:textId="77777777" w:rsidR="00174A31" w:rsidRPr="004468AB" w:rsidRDefault="000510CA" w:rsidP="000510CA">
            <w:pPr>
              <w:spacing w:line="360" w:lineRule="auto"/>
              <w:ind w:left="-270" w:right="857" w:firstLine="990"/>
              <w:jc w:val="center"/>
              <w:rPr>
                <w:rFonts w:ascii="Times New Roman" w:eastAsia="Times New Roman" w:hAnsi="Times New Roman" w:cs="Times New Roman"/>
                <w:szCs w:val="22"/>
              </w:rPr>
            </w:pPr>
            <m:oMathPara>
              <m:oMathParaPr>
                <m:jc m:val="center"/>
              </m:oMathParaPr>
              <m:oMath>
                <m:bar>
                  <m:barPr>
                    <m:pos m:val="top"/>
                    <m:ctrlPr>
                      <w:rPr>
                        <w:rFonts w:ascii="Cambria Math" w:eastAsia="Times New Roman" w:hAnsi="Cambria Math" w:cs="Times New Roman"/>
                        <w:i/>
                        <w:szCs w:val="22"/>
                      </w:rPr>
                    </m:ctrlPr>
                  </m:barPr>
                  <m:e>
                    <m:r>
                      <w:rPr>
                        <w:rFonts w:ascii="Cambria Math" w:eastAsia="Times New Roman" w:hAnsi="Cambria Math" w:cs="Times New Roman"/>
                        <w:szCs w:val="22"/>
                      </w:rPr>
                      <m:t>y</m:t>
                    </m:r>
                  </m:e>
                </m:bar>
                <m:r>
                  <w:rPr>
                    <w:rFonts w:ascii="Cambria Math" w:eastAsia="Times New Roman" w:hAnsi="Cambria Math" w:cs="Times New Roman"/>
                    <w:szCs w:val="22"/>
                  </w:rPr>
                  <m:t xml:space="preserve">= </m:t>
                </m:r>
                <m:sSub>
                  <m:sSubPr>
                    <m:ctrlPr>
                      <w:rPr>
                        <w:rFonts w:ascii="Cambria Math" w:eastAsia="Times New Roman" w:hAnsi="Cambria Math" w:cs="Times New Roman"/>
                        <w:i/>
                        <w:szCs w:val="22"/>
                      </w:rPr>
                    </m:ctrlPr>
                  </m:sSubPr>
                  <m:e>
                    <m:r>
                      <w:rPr>
                        <w:rFonts w:ascii="Cambria Math" w:eastAsia="Times New Roman" w:hAnsi="Cambria Math" w:cs="Times New Roman"/>
                        <w:szCs w:val="22"/>
                      </w:rPr>
                      <m:t>β</m:t>
                    </m:r>
                  </m:e>
                  <m:sub>
                    <m:r>
                      <w:rPr>
                        <w:rFonts w:ascii="Cambria Math" w:eastAsia="Times New Roman" w:hAnsi="Cambria Math" w:cs="Times New Roman"/>
                        <w:szCs w:val="22"/>
                      </w:rPr>
                      <m:t>0</m:t>
                    </m:r>
                  </m:sub>
                </m:sSub>
                <m:r>
                  <w:rPr>
                    <w:rFonts w:ascii="Cambria Math" w:eastAsia="Times New Roman" w:hAnsi="Cambria Math" w:cs="Times New Roman"/>
                    <w:szCs w:val="22"/>
                  </w:rPr>
                  <m:t xml:space="preserve">+ </m:t>
                </m:r>
                <m:sSub>
                  <m:sSubPr>
                    <m:ctrlPr>
                      <w:rPr>
                        <w:rFonts w:ascii="Cambria Math" w:eastAsia="Times New Roman" w:hAnsi="Cambria Math" w:cs="Times New Roman"/>
                        <w:i/>
                        <w:szCs w:val="22"/>
                      </w:rPr>
                    </m:ctrlPr>
                  </m:sSubPr>
                  <m:e>
                    <m:r>
                      <w:rPr>
                        <w:rFonts w:ascii="Cambria Math" w:eastAsia="Times New Roman" w:hAnsi="Cambria Math" w:cs="Times New Roman"/>
                        <w:szCs w:val="22"/>
                      </w:rPr>
                      <m:t>β</m:t>
                    </m:r>
                  </m:e>
                  <m:sub>
                    <m:r>
                      <w:rPr>
                        <w:rFonts w:ascii="Cambria Math" w:eastAsia="Times New Roman" w:hAnsi="Cambria Math" w:cs="Times New Roman"/>
                        <w:szCs w:val="22"/>
                      </w:rPr>
                      <m:t>1</m:t>
                    </m:r>
                  </m:sub>
                </m:sSub>
                <m:sSub>
                  <m:sSubPr>
                    <m:ctrlPr>
                      <w:rPr>
                        <w:rFonts w:ascii="Cambria Math" w:eastAsia="Times New Roman" w:hAnsi="Cambria Math" w:cs="Times New Roman"/>
                        <w:i/>
                        <w:szCs w:val="22"/>
                      </w:rPr>
                    </m:ctrlPr>
                  </m:sSubPr>
                  <m:e>
                    <m:r>
                      <w:rPr>
                        <w:rFonts w:ascii="Cambria Math" w:eastAsia="Times New Roman" w:hAnsi="Cambria Math" w:cs="Times New Roman"/>
                        <w:szCs w:val="22"/>
                      </w:rPr>
                      <m:t>χ</m:t>
                    </m:r>
                  </m:e>
                  <m:sub>
                    <m:r>
                      <w:rPr>
                        <w:rFonts w:ascii="Cambria Math" w:eastAsia="Times New Roman" w:hAnsi="Cambria Math" w:cs="Times New Roman"/>
                        <w:szCs w:val="22"/>
                      </w:rPr>
                      <m:t>1</m:t>
                    </m:r>
                  </m:sub>
                </m:sSub>
                <m:r>
                  <w:rPr>
                    <w:rFonts w:ascii="Cambria Math" w:eastAsia="Times New Roman" w:hAnsi="Cambria Math" w:cs="Times New Roman"/>
                    <w:szCs w:val="22"/>
                  </w:rPr>
                  <m:t xml:space="preserve">+ </m:t>
                </m:r>
                <m:sSub>
                  <m:sSubPr>
                    <m:ctrlPr>
                      <w:rPr>
                        <w:rFonts w:ascii="Cambria Math" w:eastAsia="Times New Roman" w:hAnsi="Cambria Math" w:cs="Times New Roman"/>
                        <w:i/>
                        <w:szCs w:val="22"/>
                      </w:rPr>
                    </m:ctrlPr>
                  </m:sSubPr>
                  <m:e>
                    <m:r>
                      <w:rPr>
                        <w:rFonts w:ascii="Cambria Math" w:eastAsia="Times New Roman" w:hAnsi="Cambria Math" w:cs="Times New Roman"/>
                        <w:szCs w:val="22"/>
                      </w:rPr>
                      <m:t>β</m:t>
                    </m:r>
                  </m:e>
                  <m:sub>
                    <m:r>
                      <w:rPr>
                        <w:rFonts w:ascii="Cambria Math" w:eastAsia="Times New Roman" w:hAnsi="Cambria Math" w:cs="Times New Roman"/>
                        <w:szCs w:val="22"/>
                      </w:rPr>
                      <m:t>2</m:t>
                    </m:r>
                  </m:sub>
                </m:sSub>
                <m:sSub>
                  <m:sSubPr>
                    <m:ctrlPr>
                      <w:rPr>
                        <w:rFonts w:ascii="Cambria Math" w:eastAsia="Times New Roman" w:hAnsi="Cambria Math" w:cs="Times New Roman"/>
                        <w:i/>
                        <w:szCs w:val="22"/>
                      </w:rPr>
                    </m:ctrlPr>
                  </m:sSubPr>
                  <m:e>
                    <m:r>
                      <w:rPr>
                        <w:rFonts w:ascii="Cambria Math" w:eastAsia="Times New Roman" w:hAnsi="Cambria Math" w:cs="Times New Roman"/>
                        <w:szCs w:val="22"/>
                      </w:rPr>
                      <m:t>χ</m:t>
                    </m:r>
                  </m:e>
                  <m:sub>
                    <m:r>
                      <w:rPr>
                        <w:rFonts w:ascii="Cambria Math" w:eastAsia="Times New Roman" w:hAnsi="Cambria Math" w:cs="Times New Roman"/>
                        <w:szCs w:val="22"/>
                      </w:rPr>
                      <m:t xml:space="preserve">2 </m:t>
                    </m:r>
                  </m:sub>
                </m:sSub>
                <m:r>
                  <w:rPr>
                    <w:rFonts w:ascii="Cambria Math" w:eastAsia="Times New Roman" w:hAnsi="Cambria Math" w:cs="Times New Roman"/>
                    <w:szCs w:val="22"/>
                  </w:rPr>
                  <m:t xml:space="preserve">+…+ </m:t>
                </m:r>
                <m:sSub>
                  <m:sSubPr>
                    <m:ctrlPr>
                      <w:rPr>
                        <w:rFonts w:ascii="Cambria Math" w:eastAsia="Times New Roman" w:hAnsi="Cambria Math" w:cs="Times New Roman"/>
                        <w:i/>
                        <w:szCs w:val="22"/>
                      </w:rPr>
                    </m:ctrlPr>
                  </m:sSubPr>
                  <m:e>
                    <m:r>
                      <w:rPr>
                        <w:rFonts w:ascii="Cambria Math" w:eastAsia="Times New Roman" w:hAnsi="Cambria Math" w:cs="Times New Roman"/>
                        <w:szCs w:val="22"/>
                      </w:rPr>
                      <m:t>β</m:t>
                    </m:r>
                  </m:e>
                  <m:sub>
                    <m:r>
                      <w:rPr>
                        <w:rFonts w:ascii="Cambria Math" w:eastAsia="Times New Roman" w:hAnsi="Cambria Math" w:cs="Times New Roman"/>
                        <w:szCs w:val="22"/>
                      </w:rPr>
                      <m:t>n</m:t>
                    </m:r>
                  </m:sub>
                </m:sSub>
                <m:sSub>
                  <m:sSubPr>
                    <m:ctrlPr>
                      <w:rPr>
                        <w:rFonts w:ascii="Cambria Math" w:eastAsia="Times New Roman" w:hAnsi="Cambria Math" w:cs="Times New Roman"/>
                        <w:i/>
                        <w:szCs w:val="22"/>
                      </w:rPr>
                    </m:ctrlPr>
                  </m:sSubPr>
                  <m:e>
                    <m:r>
                      <w:rPr>
                        <w:rFonts w:ascii="Cambria Math" w:eastAsia="Times New Roman" w:hAnsi="Cambria Math" w:cs="Times New Roman"/>
                        <w:szCs w:val="22"/>
                      </w:rPr>
                      <m:t>χ</m:t>
                    </m:r>
                  </m:e>
                  <m:sub>
                    <m:r>
                      <w:rPr>
                        <w:rFonts w:ascii="Cambria Math" w:eastAsia="Times New Roman" w:hAnsi="Cambria Math" w:cs="Times New Roman"/>
                        <w:szCs w:val="22"/>
                      </w:rPr>
                      <m:t xml:space="preserve">n </m:t>
                    </m:r>
                  </m:sub>
                </m:sSub>
              </m:oMath>
            </m:oMathPara>
          </w:p>
        </w:tc>
        <w:tc>
          <w:tcPr>
            <w:tcW w:w="720" w:type="dxa"/>
          </w:tcPr>
          <w:p w14:paraId="5D386C0B" w14:textId="6C43BBE9" w:rsidR="00174A31" w:rsidRPr="004468AB" w:rsidRDefault="00174A31" w:rsidP="000510CA">
            <w:pPr>
              <w:spacing w:line="360" w:lineRule="auto"/>
              <w:jc w:val="right"/>
              <w:rPr>
                <w:rFonts w:ascii="Times New Roman" w:eastAsia="Times New Roman" w:hAnsi="Times New Roman" w:cs="Times New Roman"/>
                <w:szCs w:val="22"/>
              </w:rPr>
            </w:pPr>
            <w:r w:rsidRPr="004468AB">
              <w:rPr>
                <w:rFonts w:ascii="Times New Roman" w:eastAsia="Times New Roman" w:hAnsi="Times New Roman" w:cs="Times New Roman"/>
                <w:szCs w:val="22"/>
              </w:rPr>
              <w:t>(2)</w:t>
            </w:r>
          </w:p>
        </w:tc>
      </w:tr>
    </w:tbl>
    <w:p w14:paraId="48E76564" w14:textId="77777777" w:rsidR="005B27D0" w:rsidRPr="005B27D0" w:rsidRDefault="005B27D0" w:rsidP="005B27D0">
      <w:pPr>
        <w:pStyle w:val="BodytextIndented"/>
        <w:rPr>
          <w:lang w:val="en-GB"/>
        </w:rPr>
      </w:pPr>
    </w:p>
    <w:p w14:paraId="2077686E" w14:textId="3100D6F6" w:rsidR="00B94CC4" w:rsidRPr="00B94CC4" w:rsidRDefault="0005181C" w:rsidP="00E5514F">
      <w:pPr>
        <w:pStyle w:val="Section"/>
        <w:numPr>
          <w:ilvl w:val="0"/>
          <w:numId w:val="0"/>
        </w:numPr>
        <w:spacing w:before="0"/>
        <w:jc w:val="both"/>
      </w:pPr>
      <w:proofErr w:type="spellStart"/>
      <w:r w:rsidRPr="0005181C">
        <w:rPr>
          <w:rFonts w:ascii="Times New Roman" w:hAnsi="Times New Roman"/>
          <w:b w:val="0"/>
          <w:bCs/>
        </w:rPr>
        <w:lastRenderedPageBreak/>
        <w:t>DiD</w:t>
      </w:r>
      <w:proofErr w:type="spellEnd"/>
      <w:r w:rsidRPr="0005181C">
        <w:rPr>
          <w:rFonts w:ascii="Times New Roman" w:hAnsi="Times New Roman"/>
          <w:b w:val="0"/>
          <w:bCs/>
        </w:rPr>
        <w:t xml:space="preserve"> coefficient </w:t>
      </w:r>
      <m:oMath>
        <m:sSub>
          <m:sSubPr>
            <m:ctrlPr>
              <w:rPr>
                <w:rFonts w:ascii="Cambria Math" w:hAnsi="Cambria Math"/>
                <w:i/>
                <w:sz w:val="24"/>
                <w:szCs w:val="24"/>
              </w:rPr>
            </m:ctrlPr>
          </m:sSubPr>
          <m:e>
            <m:r>
              <m:rPr>
                <m:sty m:val="bi"/>
              </m:rPr>
              <w:rPr>
                <w:rFonts w:ascii="Cambria Math" w:hAnsi="Cambria Math"/>
                <w:sz w:val="24"/>
                <w:szCs w:val="24"/>
              </w:rPr>
              <m:t>β</m:t>
            </m:r>
          </m:e>
          <m:sub>
            <m:r>
              <m:rPr>
                <m:sty m:val="bi"/>
              </m:rPr>
              <w:rPr>
                <w:rFonts w:ascii="Cambria Math" w:hAnsi="Cambria Math"/>
                <w:sz w:val="24"/>
                <w:szCs w:val="24"/>
              </w:rPr>
              <m:t>1</m:t>
            </m:r>
          </m:sub>
        </m:sSub>
      </m:oMath>
      <w:r w:rsidR="008B51F3">
        <w:rPr>
          <w:rFonts w:ascii="Times New Roman" w:hAnsi="Times New Roman"/>
          <w:sz w:val="24"/>
          <w:szCs w:val="24"/>
        </w:rPr>
        <w:t xml:space="preserve"> </w:t>
      </w:r>
      <w:r w:rsidRPr="0005181C">
        <w:rPr>
          <w:rFonts w:ascii="Times New Roman" w:hAnsi="Times New Roman"/>
          <w:b w:val="0"/>
          <w:bCs/>
        </w:rPr>
        <w:t xml:space="preserve">in this study is the knowledge obtained from both Instagram and the lecture methods, </w:t>
      </w:r>
      <m:oMath>
        <m:sSub>
          <m:sSubPr>
            <m:ctrlPr>
              <w:rPr>
                <w:rFonts w:ascii="Cambria Math" w:hAnsi="Cambria Math"/>
                <w:i/>
              </w:rPr>
            </m:ctrlPr>
          </m:sSubPr>
          <m:e>
            <m:r>
              <m:rPr>
                <m:sty m:val="bi"/>
              </m:rPr>
              <w:rPr>
                <w:rFonts w:ascii="Cambria Math" w:hAnsi="Cambria Math"/>
              </w:rPr>
              <m:t>χ</m:t>
            </m:r>
          </m:e>
          <m:sub>
            <m:r>
              <m:rPr>
                <m:sty m:val="bi"/>
              </m:rPr>
              <w:rPr>
                <w:rFonts w:ascii="Cambria Math" w:hAnsi="Cambria Math"/>
              </w:rPr>
              <m:t>2</m:t>
            </m:r>
          </m:sub>
        </m:sSub>
        <m:sSub>
          <m:sSubPr>
            <m:ctrlPr>
              <w:rPr>
                <w:rFonts w:ascii="Cambria Math" w:hAnsi="Cambria Math"/>
                <w:i/>
              </w:rPr>
            </m:ctrlPr>
          </m:sSubPr>
          <m:e>
            <m:r>
              <m:rPr>
                <m:sty m:val="bi"/>
              </m:rPr>
              <w:rPr>
                <w:rFonts w:ascii="Cambria Math" w:hAnsi="Cambria Math"/>
              </w:rPr>
              <m:t>;χ</m:t>
            </m:r>
          </m:e>
          <m:sub>
            <m:r>
              <m:rPr>
                <m:sty m:val="bi"/>
              </m:rPr>
              <w:rPr>
                <w:rFonts w:ascii="Cambria Math" w:hAnsi="Cambria Math"/>
              </w:rPr>
              <m:t>3</m:t>
            </m:r>
          </m:sub>
        </m:sSub>
        <m:r>
          <m:rPr>
            <m:sty m:val="bi"/>
          </m:rPr>
          <w:rPr>
            <w:rFonts w:ascii="Cambria Math" w:hAnsi="Cambria Math"/>
          </w:rPr>
          <m:t>;…</m:t>
        </m:r>
        <m:sSub>
          <m:sSubPr>
            <m:ctrlPr>
              <w:rPr>
                <w:rFonts w:ascii="Cambria Math" w:hAnsi="Cambria Math"/>
                <w:i/>
              </w:rPr>
            </m:ctrlPr>
          </m:sSubPr>
          <m:e>
            <m:r>
              <m:rPr>
                <m:sty m:val="bi"/>
              </m:rPr>
              <w:rPr>
                <w:rFonts w:ascii="Cambria Math" w:hAnsi="Cambria Math"/>
              </w:rPr>
              <m:t>;χ</m:t>
            </m:r>
          </m:e>
          <m:sub>
            <m:r>
              <m:rPr>
                <m:sty m:val="bi"/>
              </m:rPr>
              <w:rPr>
                <w:rFonts w:ascii="Cambria Math" w:hAnsi="Cambria Math"/>
              </w:rPr>
              <m:t>n</m:t>
            </m:r>
          </m:sub>
        </m:sSub>
      </m:oMath>
      <w:r w:rsidR="004468AB">
        <w:rPr>
          <w:rFonts w:ascii="Times New Roman" w:hAnsi="Times New Roman"/>
          <w:sz w:val="24"/>
          <w:szCs w:val="24"/>
        </w:rPr>
        <w:t xml:space="preserve"> </w:t>
      </w:r>
      <w:r w:rsidRPr="0005181C">
        <w:rPr>
          <w:rFonts w:ascii="Times New Roman" w:hAnsi="Times New Roman"/>
          <w:b w:val="0"/>
          <w:bCs/>
        </w:rPr>
        <w:t xml:space="preserve">is a specific covariate on each individual (Fredriksson &amp; Oliveira, 2019; Schneider, </w:t>
      </w:r>
      <w:proofErr w:type="spellStart"/>
      <w:r w:rsidRPr="0005181C">
        <w:rPr>
          <w:rFonts w:ascii="Times New Roman" w:hAnsi="Times New Roman"/>
          <w:b w:val="0"/>
          <w:bCs/>
        </w:rPr>
        <w:t>Hommel</w:t>
      </w:r>
      <w:proofErr w:type="spellEnd"/>
      <w:r w:rsidRPr="0005181C">
        <w:rPr>
          <w:rFonts w:ascii="Times New Roman" w:hAnsi="Times New Roman"/>
          <w:b w:val="0"/>
          <w:bCs/>
        </w:rPr>
        <w:t xml:space="preserve">, &amp; </w:t>
      </w:r>
      <w:proofErr w:type="spellStart"/>
      <w:r w:rsidRPr="0005181C">
        <w:rPr>
          <w:rFonts w:ascii="Times New Roman" w:hAnsi="Times New Roman"/>
          <w:b w:val="0"/>
          <w:bCs/>
        </w:rPr>
        <w:t>Blettner</w:t>
      </w:r>
      <w:proofErr w:type="spellEnd"/>
      <w:r w:rsidRPr="0005181C">
        <w:rPr>
          <w:rFonts w:ascii="Times New Roman" w:hAnsi="Times New Roman"/>
          <w:b w:val="0"/>
          <w:bCs/>
        </w:rPr>
        <w:t xml:space="preserve">, 2010), </w:t>
      </w:r>
      <w:proofErr w:type="spellStart"/>
      <w:r w:rsidRPr="0005181C">
        <w:rPr>
          <w:rFonts w:ascii="Times New Roman" w:hAnsi="Times New Roman"/>
          <w:b w:val="0"/>
          <w:bCs/>
        </w:rPr>
        <w:t>DiD</w:t>
      </w:r>
      <w:proofErr w:type="spellEnd"/>
      <w:r w:rsidRPr="0005181C">
        <w:rPr>
          <w:rFonts w:ascii="Times New Roman" w:hAnsi="Times New Roman"/>
          <w:b w:val="0"/>
          <w:bCs/>
        </w:rPr>
        <w:t xml:space="preserve"> coefficient </w:t>
      </w:r>
      <m:oMath>
        <m:sSub>
          <m:sSubPr>
            <m:ctrlPr>
              <w:rPr>
                <w:rFonts w:ascii="Cambria Math" w:hAnsi="Cambria Math"/>
                <w:i/>
              </w:rPr>
            </m:ctrlPr>
          </m:sSubPr>
          <m:e>
            <m:r>
              <m:rPr>
                <m:sty m:val="bi"/>
              </m:rPr>
              <w:rPr>
                <w:rFonts w:ascii="Cambria Math" w:hAnsi="Cambria Math"/>
              </w:rPr>
              <m:t>β</m:t>
            </m:r>
          </m:e>
          <m:sub>
            <m:r>
              <m:rPr>
                <m:sty m:val="bi"/>
              </m:rPr>
              <w:rPr>
                <w:rFonts w:ascii="Cambria Math" w:hAnsi="Cambria Math"/>
              </w:rPr>
              <m:t>2</m:t>
            </m:r>
          </m:sub>
        </m:sSub>
      </m:oMath>
      <w:r w:rsidR="007E145A">
        <w:rPr>
          <w:rFonts w:ascii="Times New Roman" w:hAnsi="Times New Roman"/>
        </w:rPr>
        <w:t xml:space="preserve"> </w:t>
      </w:r>
      <w:r w:rsidRPr="0005181C">
        <w:rPr>
          <w:rFonts w:ascii="Times New Roman" w:hAnsi="Times New Roman"/>
          <w:b w:val="0"/>
          <w:bCs/>
        </w:rPr>
        <w:t xml:space="preserve">until </w:t>
      </w:r>
      <m:oMath>
        <m:sSub>
          <m:sSubPr>
            <m:ctrlPr>
              <w:rPr>
                <w:rFonts w:ascii="Cambria Math" w:hAnsi="Cambria Math"/>
                <w:i/>
              </w:rPr>
            </m:ctrlPr>
          </m:sSubPr>
          <m:e>
            <m:r>
              <m:rPr>
                <m:sty m:val="bi"/>
              </m:rPr>
              <w:rPr>
                <w:rFonts w:ascii="Cambria Math" w:hAnsi="Cambria Math"/>
              </w:rPr>
              <m:t>β</m:t>
            </m:r>
          </m:e>
          <m:sub>
            <m:r>
              <m:rPr>
                <m:sty m:val="bi"/>
              </m:rPr>
              <w:rPr>
                <w:rFonts w:ascii="Cambria Math" w:hAnsi="Cambria Math"/>
              </w:rPr>
              <m:t>8</m:t>
            </m:r>
          </m:sub>
        </m:sSub>
      </m:oMath>
      <w:r w:rsidRPr="0005181C">
        <w:rPr>
          <w:rFonts w:ascii="Times New Roman" w:hAnsi="Times New Roman"/>
          <w:b w:val="0"/>
          <w:bCs/>
        </w:rPr>
        <w:t xml:space="preserve"> is the consumed food type, and physical activities</w:t>
      </w:r>
      <w:r w:rsidR="00E252F2" w:rsidRPr="00E252F2">
        <w:rPr>
          <w:rFonts w:ascii="Times New Roman" w:hAnsi="Times New Roman"/>
          <w:b w:val="0"/>
          <w:bCs/>
        </w:rPr>
        <w:t xml:space="preserve"> </w:t>
      </w:r>
      <m:oMath>
        <m:sSub>
          <m:sSubPr>
            <m:ctrlPr>
              <w:rPr>
                <w:rFonts w:ascii="Cambria Math" w:hAnsi="Cambria Math"/>
                <w:i/>
              </w:rPr>
            </m:ctrlPr>
          </m:sSubPr>
          <m:e>
            <m:r>
              <m:rPr>
                <m:sty m:val="bi"/>
              </m:rPr>
              <w:rPr>
                <w:rFonts w:ascii="Cambria Math" w:hAnsi="Cambria Math"/>
              </w:rPr>
              <m:t>β</m:t>
            </m:r>
          </m:e>
          <m:sub>
            <m:r>
              <m:rPr>
                <m:sty m:val="bi"/>
              </m:rPr>
              <w:rPr>
                <w:rFonts w:ascii="Cambria Math" w:hAnsi="Cambria Math"/>
              </w:rPr>
              <m:t>10</m:t>
            </m:r>
          </m:sub>
        </m:sSub>
      </m:oMath>
      <w:r w:rsidRPr="0005181C">
        <w:rPr>
          <w:rFonts w:ascii="Times New Roman" w:hAnsi="Times New Roman"/>
          <w:b w:val="0"/>
          <w:bCs/>
        </w:rPr>
        <w:t xml:space="preserve"> are measured using MET. Statistical measurements are calculated using the open-source software, R (R Core Team, 2012).</w:t>
      </w:r>
    </w:p>
    <w:p w14:paraId="0161C649" w14:textId="3DDE531C" w:rsidR="00BB349A" w:rsidRDefault="00A04F81" w:rsidP="00D925FA">
      <w:pPr>
        <w:pStyle w:val="Section"/>
        <w:numPr>
          <w:ilvl w:val="0"/>
          <w:numId w:val="5"/>
        </w:numPr>
      </w:pPr>
      <w:commentRangeStart w:id="4"/>
      <w:r>
        <w:t>Results</w:t>
      </w:r>
      <w:commentRangeEnd w:id="4"/>
      <w:r w:rsidR="00150FAE">
        <w:rPr>
          <w:rStyle w:val="CommentReference"/>
          <w:rFonts w:asciiTheme="minorHAnsi" w:eastAsiaTheme="minorHAnsi" w:hAnsiTheme="minorHAnsi" w:cstheme="minorBidi"/>
          <w:b w:val="0"/>
          <w:iCs w:val="0"/>
          <w:color w:val="auto"/>
          <w:lang w:val="en-US"/>
        </w:rPr>
        <w:commentReference w:id="4"/>
      </w:r>
    </w:p>
    <w:p w14:paraId="19B7C477" w14:textId="4475CC35" w:rsidR="00DB2CFC" w:rsidRDefault="00DB2CFC" w:rsidP="00FB0DEE">
      <w:pPr>
        <w:pStyle w:val="Section"/>
        <w:numPr>
          <w:ilvl w:val="0"/>
          <w:numId w:val="0"/>
        </w:numPr>
        <w:spacing w:before="0"/>
        <w:jc w:val="both"/>
        <w:rPr>
          <w:b w:val="0"/>
          <w:bCs/>
        </w:rPr>
      </w:pPr>
      <w:r w:rsidRPr="00556F61">
        <w:rPr>
          <w:b w:val="0"/>
          <w:bCs/>
        </w:rPr>
        <w:t>Score distributions on groups educated with Instagram and lecture methods are relatively as good, both before the matching process (unmatched) and after the matching process (matched). This result shows that all data from both groups are balanced and thus matching process (</w:t>
      </w:r>
      <w:r w:rsidR="00FB0DEE">
        <w:rPr>
          <w:b w:val="0"/>
          <w:bCs/>
        </w:rPr>
        <w:t>Figure</w:t>
      </w:r>
      <w:r w:rsidRPr="00556F61">
        <w:rPr>
          <w:b w:val="0"/>
          <w:bCs/>
        </w:rPr>
        <w:t xml:space="preserve"> 1) is no longer required. Respondents’ characteristics are briefly served in Table 1.</w:t>
      </w:r>
    </w:p>
    <w:p w14:paraId="7627F148" w14:textId="77777777" w:rsidR="00157F3D" w:rsidRPr="00157F3D" w:rsidRDefault="00157F3D" w:rsidP="00157F3D">
      <w:pPr>
        <w:pStyle w:val="Bodytext"/>
        <w:rPr>
          <w:lang w:val="en-GB"/>
        </w:rPr>
      </w:pPr>
    </w:p>
    <w:p w14:paraId="484AA4F3" w14:textId="41ABBC28" w:rsidR="00C362A5" w:rsidRDefault="00157F3D" w:rsidP="00B2321E">
      <w:pPr>
        <w:pStyle w:val="Bodytext"/>
        <w:jc w:val="center"/>
        <w:rPr>
          <w:rFonts w:ascii="Times New Roman" w:hAnsi="Times New Roman"/>
          <w:b/>
        </w:rPr>
      </w:pPr>
      <w:proofErr w:type="spellStart"/>
      <w:r w:rsidRPr="00157F3D">
        <w:rPr>
          <w:rFonts w:ascii="Times New Roman" w:hAnsi="Times New Roman"/>
          <w:b/>
        </w:rPr>
        <w:t>Tabel</w:t>
      </w:r>
      <w:proofErr w:type="spellEnd"/>
      <w:r w:rsidRPr="00157F3D">
        <w:rPr>
          <w:rFonts w:ascii="Times New Roman" w:hAnsi="Times New Roman"/>
          <w:b/>
        </w:rPr>
        <w:t xml:space="preserve"> 1. </w:t>
      </w:r>
      <w:r w:rsidRPr="00512A4D">
        <w:rPr>
          <w:rFonts w:ascii="Times New Roman" w:hAnsi="Times New Roman"/>
          <w:bCs/>
        </w:rPr>
        <w:t>Baseline Characteristics of Participants</w:t>
      </w:r>
    </w:p>
    <w:p w14:paraId="745E24D1" w14:textId="77777777" w:rsidR="00D3744B" w:rsidRPr="00D3744B" w:rsidRDefault="00D3744B" w:rsidP="00D3744B">
      <w:pPr>
        <w:pStyle w:val="BodytextIndented"/>
      </w:pPr>
    </w:p>
    <w:tbl>
      <w:tblPr>
        <w:tblW w:w="8535" w:type="dxa"/>
        <w:tblInd w:w="385" w:type="dxa"/>
        <w:tblBorders>
          <w:top w:val="single" w:sz="4" w:space="0" w:color="000000"/>
          <w:bottom w:val="single" w:sz="4" w:space="0" w:color="000000"/>
          <w:insideH w:val="single" w:sz="4" w:space="0" w:color="000000"/>
        </w:tblBorders>
        <w:tblLayout w:type="fixed"/>
        <w:tblCellMar>
          <w:left w:w="115" w:type="dxa"/>
          <w:right w:w="115" w:type="dxa"/>
        </w:tblCellMar>
        <w:tblLook w:val="04A0" w:firstRow="1" w:lastRow="0" w:firstColumn="1" w:lastColumn="0" w:noHBand="0" w:noVBand="1"/>
      </w:tblPr>
      <w:tblGrid>
        <w:gridCol w:w="3090"/>
        <w:gridCol w:w="1695"/>
        <w:gridCol w:w="105"/>
        <w:gridCol w:w="1710"/>
        <w:gridCol w:w="105"/>
        <w:gridCol w:w="1830"/>
      </w:tblGrid>
      <w:tr w:rsidR="00C362A5" w14:paraId="73B9FECB" w14:textId="77777777" w:rsidTr="00C362A5">
        <w:tc>
          <w:tcPr>
            <w:tcW w:w="3090" w:type="dxa"/>
          </w:tcPr>
          <w:p w14:paraId="25AE26A9" w14:textId="7BF016EA" w:rsidR="00C362A5" w:rsidRDefault="00157F3D" w:rsidP="000510CA">
            <w:pPr>
              <w:spacing w:after="40"/>
              <w:jc w:val="center"/>
              <w:rPr>
                <w:rFonts w:ascii="Times New Roman" w:hAnsi="Times New Roman"/>
                <w:b/>
                <w:sz w:val="20"/>
              </w:rPr>
            </w:pPr>
            <w:r>
              <w:rPr>
                <w:rFonts w:ascii="Times New Roman" w:hAnsi="Times New Roman"/>
                <w:b/>
                <w:sz w:val="20"/>
              </w:rPr>
              <w:t>Baseline Characte</w:t>
            </w:r>
            <w:r w:rsidR="003048E8">
              <w:rPr>
                <w:rFonts w:ascii="Times New Roman" w:hAnsi="Times New Roman"/>
                <w:b/>
                <w:sz w:val="20"/>
              </w:rPr>
              <w:t>ristics</w:t>
            </w:r>
          </w:p>
        </w:tc>
        <w:tc>
          <w:tcPr>
            <w:tcW w:w="1800" w:type="dxa"/>
            <w:gridSpan w:val="2"/>
          </w:tcPr>
          <w:p w14:paraId="250DD5EC" w14:textId="4B1BFDCD" w:rsidR="00C362A5" w:rsidRDefault="00F64F12" w:rsidP="000510CA">
            <w:pPr>
              <w:spacing w:after="40"/>
              <w:jc w:val="center"/>
              <w:rPr>
                <w:rFonts w:ascii="Times New Roman" w:hAnsi="Times New Roman"/>
                <w:b/>
                <w:sz w:val="20"/>
              </w:rPr>
            </w:pPr>
            <w:r>
              <w:rPr>
                <w:rFonts w:ascii="Times New Roman" w:hAnsi="Times New Roman"/>
                <w:b/>
                <w:sz w:val="20"/>
              </w:rPr>
              <w:t>Lecture and Pocket Notes</w:t>
            </w:r>
            <w:r w:rsidR="00C362A5">
              <w:rPr>
                <w:rFonts w:ascii="Times New Roman" w:hAnsi="Times New Roman"/>
                <w:b/>
                <w:sz w:val="20"/>
              </w:rPr>
              <w:t xml:space="preserve"> (n=46)</w:t>
            </w:r>
          </w:p>
        </w:tc>
        <w:tc>
          <w:tcPr>
            <w:tcW w:w="1815" w:type="dxa"/>
            <w:gridSpan w:val="2"/>
          </w:tcPr>
          <w:p w14:paraId="1ED47EE0" w14:textId="77777777" w:rsidR="00C362A5" w:rsidRDefault="00C362A5" w:rsidP="000510CA">
            <w:pPr>
              <w:spacing w:after="40"/>
              <w:jc w:val="center"/>
              <w:rPr>
                <w:rFonts w:ascii="Times New Roman" w:hAnsi="Times New Roman"/>
                <w:b/>
                <w:sz w:val="20"/>
              </w:rPr>
            </w:pPr>
            <w:r>
              <w:rPr>
                <w:rFonts w:ascii="Times New Roman" w:hAnsi="Times New Roman"/>
                <w:b/>
                <w:sz w:val="20"/>
              </w:rPr>
              <w:t>Instagram (n=46)</w:t>
            </w:r>
          </w:p>
        </w:tc>
        <w:tc>
          <w:tcPr>
            <w:tcW w:w="1830" w:type="dxa"/>
          </w:tcPr>
          <w:p w14:paraId="59141D6F" w14:textId="77777777" w:rsidR="00C362A5" w:rsidRDefault="00C362A5" w:rsidP="000510CA">
            <w:pPr>
              <w:spacing w:after="160"/>
              <w:jc w:val="center"/>
              <w:rPr>
                <w:rFonts w:ascii="Times New Roman" w:hAnsi="Times New Roman"/>
                <w:b/>
                <w:sz w:val="20"/>
              </w:rPr>
            </w:pPr>
            <w:r>
              <w:rPr>
                <w:rFonts w:ascii="Times New Roman" w:hAnsi="Times New Roman"/>
                <w:b/>
                <w:sz w:val="20"/>
              </w:rPr>
              <w:t xml:space="preserve">Total </w:t>
            </w:r>
          </w:p>
        </w:tc>
      </w:tr>
      <w:tr w:rsidR="00C362A5" w14:paraId="4241AE0B" w14:textId="77777777" w:rsidTr="00C362A5">
        <w:tc>
          <w:tcPr>
            <w:tcW w:w="3090" w:type="dxa"/>
            <w:tcBorders>
              <w:bottom w:val="nil"/>
            </w:tcBorders>
          </w:tcPr>
          <w:p w14:paraId="417098EC" w14:textId="428D3F3C" w:rsidR="00C362A5" w:rsidRDefault="00E02370" w:rsidP="000510CA">
            <w:pPr>
              <w:spacing w:after="40"/>
              <w:rPr>
                <w:rFonts w:ascii="Times New Roman" w:hAnsi="Times New Roman"/>
                <w:b/>
                <w:sz w:val="20"/>
              </w:rPr>
            </w:pPr>
            <w:r>
              <w:rPr>
                <w:rFonts w:ascii="Times New Roman" w:hAnsi="Times New Roman"/>
                <w:b/>
                <w:sz w:val="20"/>
              </w:rPr>
              <w:t>Gender</w:t>
            </w:r>
          </w:p>
        </w:tc>
        <w:tc>
          <w:tcPr>
            <w:tcW w:w="1695" w:type="dxa"/>
            <w:tcBorders>
              <w:bottom w:val="nil"/>
            </w:tcBorders>
          </w:tcPr>
          <w:p w14:paraId="17A77439" w14:textId="77777777" w:rsidR="00C362A5" w:rsidRDefault="00C362A5" w:rsidP="000510CA">
            <w:pPr>
              <w:spacing w:after="40"/>
              <w:jc w:val="center"/>
              <w:rPr>
                <w:rFonts w:ascii="Times New Roman" w:hAnsi="Times New Roman"/>
                <w:b/>
                <w:sz w:val="20"/>
              </w:rPr>
            </w:pPr>
          </w:p>
        </w:tc>
        <w:tc>
          <w:tcPr>
            <w:tcW w:w="1815" w:type="dxa"/>
            <w:gridSpan w:val="2"/>
            <w:tcBorders>
              <w:bottom w:val="nil"/>
            </w:tcBorders>
          </w:tcPr>
          <w:p w14:paraId="0E22640F" w14:textId="77777777" w:rsidR="00C362A5" w:rsidRDefault="00C362A5" w:rsidP="000510CA">
            <w:pPr>
              <w:spacing w:after="40"/>
              <w:jc w:val="center"/>
              <w:rPr>
                <w:rFonts w:ascii="Times New Roman" w:hAnsi="Times New Roman"/>
                <w:b/>
                <w:sz w:val="20"/>
              </w:rPr>
            </w:pPr>
          </w:p>
        </w:tc>
        <w:tc>
          <w:tcPr>
            <w:tcW w:w="1935" w:type="dxa"/>
            <w:gridSpan w:val="2"/>
            <w:tcBorders>
              <w:bottom w:val="nil"/>
            </w:tcBorders>
          </w:tcPr>
          <w:p w14:paraId="58655383" w14:textId="77777777" w:rsidR="00C362A5" w:rsidRDefault="00C362A5" w:rsidP="000510CA">
            <w:pPr>
              <w:spacing w:after="40"/>
              <w:ind w:right="-303"/>
              <w:jc w:val="center"/>
              <w:rPr>
                <w:rFonts w:ascii="Times New Roman" w:hAnsi="Times New Roman"/>
                <w:b/>
                <w:sz w:val="20"/>
              </w:rPr>
            </w:pPr>
          </w:p>
        </w:tc>
      </w:tr>
      <w:tr w:rsidR="00C362A5" w14:paraId="12197F4A" w14:textId="77777777" w:rsidTr="00C362A5">
        <w:tc>
          <w:tcPr>
            <w:tcW w:w="3090" w:type="dxa"/>
            <w:tcBorders>
              <w:top w:val="nil"/>
              <w:bottom w:val="nil"/>
            </w:tcBorders>
          </w:tcPr>
          <w:p w14:paraId="6CBEB396" w14:textId="155094DA" w:rsidR="00C362A5" w:rsidRDefault="00E02370" w:rsidP="000510CA">
            <w:pPr>
              <w:spacing w:after="40"/>
              <w:ind w:left="283"/>
              <w:rPr>
                <w:rFonts w:ascii="Times New Roman" w:hAnsi="Times New Roman"/>
                <w:sz w:val="20"/>
              </w:rPr>
            </w:pPr>
            <w:r>
              <w:rPr>
                <w:rFonts w:ascii="Times New Roman" w:hAnsi="Times New Roman"/>
                <w:sz w:val="20"/>
              </w:rPr>
              <w:t>Male</w:t>
            </w:r>
            <w:r w:rsidR="00C362A5">
              <w:rPr>
                <w:rFonts w:ascii="Times New Roman" w:hAnsi="Times New Roman"/>
                <w:sz w:val="20"/>
              </w:rPr>
              <w:t xml:space="preserve"> </w:t>
            </w:r>
          </w:p>
        </w:tc>
        <w:tc>
          <w:tcPr>
            <w:tcW w:w="1695" w:type="dxa"/>
            <w:tcBorders>
              <w:top w:val="nil"/>
              <w:bottom w:val="nil"/>
            </w:tcBorders>
          </w:tcPr>
          <w:p w14:paraId="6AFC684B" w14:textId="77777777" w:rsidR="00C362A5" w:rsidRDefault="00C362A5" w:rsidP="000510CA">
            <w:pPr>
              <w:spacing w:after="40"/>
              <w:jc w:val="center"/>
              <w:rPr>
                <w:rFonts w:ascii="Times New Roman" w:hAnsi="Times New Roman"/>
                <w:sz w:val="20"/>
              </w:rPr>
            </w:pPr>
            <w:r>
              <w:rPr>
                <w:rFonts w:ascii="Times New Roman" w:hAnsi="Times New Roman"/>
                <w:sz w:val="20"/>
              </w:rPr>
              <w:t>5 (10.87)</w:t>
            </w:r>
          </w:p>
        </w:tc>
        <w:tc>
          <w:tcPr>
            <w:tcW w:w="1815" w:type="dxa"/>
            <w:gridSpan w:val="2"/>
            <w:tcBorders>
              <w:top w:val="nil"/>
              <w:bottom w:val="nil"/>
            </w:tcBorders>
          </w:tcPr>
          <w:p w14:paraId="7039E72D" w14:textId="77777777" w:rsidR="00C362A5" w:rsidRDefault="00C362A5" w:rsidP="000510CA">
            <w:pPr>
              <w:spacing w:after="40"/>
              <w:jc w:val="center"/>
              <w:rPr>
                <w:rFonts w:ascii="Times New Roman" w:hAnsi="Times New Roman"/>
                <w:sz w:val="20"/>
              </w:rPr>
            </w:pPr>
            <w:r>
              <w:rPr>
                <w:rFonts w:ascii="Times New Roman" w:hAnsi="Times New Roman"/>
                <w:sz w:val="20"/>
              </w:rPr>
              <w:t>8 (17,39)</w:t>
            </w:r>
          </w:p>
        </w:tc>
        <w:tc>
          <w:tcPr>
            <w:tcW w:w="1935" w:type="dxa"/>
            <w:gridSpan w:val="2"/>
            <w:tcBorders>
              <w:top w:val="nil"/>
              <w:bottom w:val="nil"/>
            </w:tcBorders>
          </w:tcPr>
          <w:p w14:paraId="786692C5" w14:textId="77777777" w:rsidR="00C362A5" w:rsidRDefault="00C362A5" w:rsidP="000510CA">
            <w:pPr>
              <w:spacing w:after="40"/>
              <w:jc w:val="center"/>
              <w:rPr>
                <w:rFonts w:ascii="Times New Roman" w:hAnsi="Times New Roman"/>
                <w:sz w:val="20"/>
              </w:rPr>
            </w:pPr>
            <w:r>
              <w:rPr>
                <w:rFonts w:ascii="Times New Roman" w:hAnsi="Times New Roman"/>
                <w:sz w:val="20"/>
              </w:rPr>
              <w:t>13 (14,13)</w:t>
            </w:r>
          </w:p>
        </w:tc>
      </w:tr>
      <w:tr w:rsidR="00C362A5" w14:paraId="4CCCE644" w14:textId="77777777" w:rsidTr="00C362A5">
        <w:tc>
          <w:tcPr>
            <w:tcW w:w="3090" w:type="dxa"/>
            <w:tcBorders>
              <w:top w:val="nil"/>
              <w:bottom w:val="nil"/>
            </w:tcBorders>
          </w:tcPr>
          <w:p w14:paraId="7734E6C3" w14:textId="363BBD2C" w:rsidR="00C362A5" w:rsidRDefault="00E02370" w:rsidP="000510CA">
            <w:pPr>
              <w:spacing w:after="40"/>
              <w:ind w:left="283"/>
              <w:rPr>
                <w:rFonts w:ascii="Times New Roman" w:hAnsi="Times New Roman"/>
                <w:sz w:val="20"/>
              </w:rPr>
            </w:pPr>
            <w:r>
              <w:rPr>
                <w:rFonts w:ascii="Times New Roman" w:hAnsi="Times New Roman"/>
                <w:sz w:val="20"/>
              </w:rPr>
              <w:t>Female</w:t>
            </w:r>
          </w:p>
        </w:tc>
        <w:tc>
          <w:tcPr>
            <w:tcW w:w="1695" w:type="dxa"/>
            <w:tcBorders>
              <w:top w:val="nil"/>
              <w:bottom w:val="nil"/>
            </w:tcBorders>
          </w:tcPr>
          <w:p w14:paraId="4385BF79" w14:textId="77777777" w:rsidR="00C362A5" w:rsidRDefault="00C362A5" w:rsidP="000510CA">
            <w:pPr>
              <w:spacing w:after="40"/>
              <w:jc w:val="center"/>
              <w:rPr>
                <w:rFonts w:ascii="Times New Roman" w:hAnsi="Times New Roman"/>
                <w:sz w:val="20"/>
              </w:rPr>
            </w:pPr>
            <w:r>
              <w:rPr>
                <w:rFonts w:ascii="Times New Roman" w:hAnsi="Times New Roman"/>
                <w:sz w:val="20"/>
              </w:rPr>
              <w:t>41 (89,13)</w:t>
            </w:r>
          </w:p>
        </w:tc>
        <w:tc>
          <w:tcPr>
            <w:tcW w:w="1815" w:type="dxa"/>
            <w:gridSpan w:val="2"/>
            <w:tcBorders>
              <w:top w:val="nil"/>
              <w:bottom w:val="nil"/>
            </w:tcBorders>
          </w:tcPr>
          <w:p w14:paraId="7D0F6FE0" w14:textId="77777777" w:rsidR="00C362A5" w:rsidRDefault="00C362A5" w:rsidP="000510CA">
            <w:pPr>
              <w:spacing w:after="40"/>
              <w:jc w:val="center"/>
              <w:rPr>
                <w:rFonts w:ascii="Times New Roman" w:hAnsi="Times New Roman"/>
                <w:sz w:val="20"/>
              </w:rPr>
            </w:pPr>
            <w:r>
              <w:rPr>
                <w:rFonts w:ascii="Times New Roman" w:hAnsi="Times New Roman"/>
                <w:sz w:val="20"/>
              </w:rPr>
              <w:t>38 (82,61)</w:t>
            </w:r>
          </w:p>
        </w:tc>
        <w:tc>
          <w:tcPr>
            <w:tcW w:w="1935" w:type="dxa"/>
            <w:gridSpan w:val="2"/>
            <w:tcBorders>
              <w:top w:val="nil"/>
              <w:bottom w:val="nil"/>
            </w:tcBorders>
          </w:tcPr>
          <w:p w14:paraId="5443EC4B" w14:textId="77777777" w:rsidR="00C362A5" w:rsidRDefault="00C362A5" w:rsidP="000510CA">
            <w:pPr>
              <w:spacing w:after="40"/>
              <w:jc w:val="center"/>
              <w:rPr>
                <w:rFonts w:ascii="Times New Roman" w:hAnsi="Times New Roman"/>
                <w:sz w:val="20"/>
              </w:rPr>
            </w:pPr>
            <w:r>
              <w:rPr>
                <w:rFonts w:ascii="Times New Roman" w:hAnsi="Times New Roman"/>
                <w:sz w:val="20"/>
              </w:rPr>
              <w:t>79 (85,87)</w:t>
            </w:r>
          </w:p>
        </w:tc>
      </w:tr>
      <w:tr w:rsidR="00C362A5" w14:paraId="457CDA50" w14:textId="77777777" w:rsidTr="00C362A5">
        <w:tc>
          <w:tcPr>
            <w:tcW w:w="3090" w:type="dxa"/>
            <w:tcBorders>
              <w:top w:val="nil"/>
              <w:bottom w:val="nil"/>
            </w:tcBorders>
          </w:tcPr>
          <w:p w14:paraId="6BAAA38E" w14:textId="5928AB8B" w:rsidR="00C362A5" w:rsidRDefault="00E02370" w:rsidP="000510CA">
            <w:pPr>
              <w:spacing w:after="40"/>
              <w:rPr>
                <w:rFonts w:ascii="Times New Roman" w:hAnsi="Times New Roman"/>
                <w:b/>
                <w:sz w:val="20"/>
              </w:rPr>
            </w:pPr>
            <w:r>
              <w:rPr>
                <w:rFonts w:ascii="Times New Roman" w:hAnsi="Times New Roman"/>
                <w:b/>
                <w:sz w:val="20"/>
              </w:rPr>
              <w:t>Age</w:t>
            </w:r>
            <w:r w:rsidR="00C362A5">
              <w:rPr>
                <w:rFonts w:ascii="Times New Roman" w:hAnsi="Times New Roman"/>
                <w:b/>
                <w:sz w:val="20"/>
              </w:rPr>
              <w:t xml:space="preserve"> (</w:t>
            </w:r>
            <w:r>
              <w:rPr>
                <w:rFonts w:ascii="Times New Roman" w:hAnsi="Times New Roman"/>
                <w:b/>
                <w:sz w:val="20"/>
              </w:rPr>
              <w:t>year</w:t>
            </w:r>
            <w:r w:rsidR="00C362A5">
              <w:rPr>
                <w:rFonts w:ascii="Times New Roman" w:hAnsi="Times New Roman"/>
                <w:b/>
                <w:sz w:val="20"/>
              </w:rPr>
              <w:t>)</w:t>
            </w:r>
          </w:p>
        </w:tc>
        <w:tc>
          <w:tcPr>
            <w:tcW w:w="1695" w:type="dxa"/>
            <w:tcBorders>
              <w:top w:val="nil"/>
              <w:bottom w:val="nil"/>
            </w:tcBorders>
          </w:tcPr>
          <w:p w14:paraId="0C516B29" w14:textId="77777777" w:rsidR="00C362A5" w:rsidRDefault="00C362A5" w:rsidP="000510CA">
            <w:pPr>
              <w:spacing w:after="40"/>
              <w:jc w:val="center"/>
              <w:rPr>
                <w:rFonts w:ascii="Times New Roman" w:hAnsi="Times New Roman"/>
                <w:b/>
                <w:sz w:val="20"/>
              </w:rPr>
            </w:pPr>
          </w:p>
        </w:tc>
        <w:tc>
          <w:tcPr>
            <w:tcW w:w="1815" w:type="dxa"/>
            <w:gridSpan w:val="2"/>
            <w:tcBorders>
              <w:top w:val="nil"/>
              <w:bottom w:val="nil"/>
            </w:tcBorders>
          </w:tcPr>
          <w:p w14:paraId="2A88BF04" w14:textId="77777777" w:rsidR="00C362A5" w:rsidRDefault="00C362A5" w:rsidP="000510CA">
            <w:pPr>
              <w:spacing w:after="40"/>
              <w:jc w:val="center"/>
              <w:rPr>
                <w:rFonts w:ascii="Times New Roman" w:hAnsi="Times New Roman"/>
                <w:b/>
                <w:sz w:val="20"/>
              </w:rPr>
            </w:pPr>
          </w:p>
        </w:tc>
        <w:tc>
          <w:tcPr>
            <w:tcW w:w="1935" w:type="dxa"/>
            <w:gridSpan w:val="2"/>
            <w:tcBorders>
              <w:top w:val="nil"/>
              <w:bottom w:val="nil"/>
            </w:tcBorders>
          </w:tcPr>
          <w:p w14:paraId="5B14BBFE" w14:textId="77777777" w:rsidR="00C362A5" w:rsidRDefault="00C362A5" w:rsidP="000510CA">
            <w:pPr>
              <w:spacing w:after="40"/>
              <w:jc w:val="center"/>
              <w:rPr>
                <w:rFonts w:ascii="Times New Roman" w:hAnsi="Times New Roman"/>
                <w:b/>
                <w:sz w:val="20"/>
              </w:rPr>
            </w:pPr>
          </w:p>
        </w:tc>
      </w:tr>
      <w:tr w:rsidR="00C362A5" w14:paraId="567C865B" w14:textId="77777777" w:rsidTr="00C362A5">
        <w:tc>
          <w:tcPr>
            <w:tcW w:w="3090" w:type="dxa"/>
            <w:tcBorders>
              <w:top w:val="nil"/>
              <w:bottom w:val="nil"/>
            </w:tcBorders>
          </w:tcPr>
          <w:p w14:paraId="61CFFD23" w14:textId="77777777" w:rsidR="00C362A5" w:rsidRDefault="00C362A5" w:rsidP="000510CA">
            <w:pPr>
              <w:spacing w:after="40"/>
              <w:ind w:left="283"/>
              <w:rPr>
                <w:rFonts w:ascii="Times New Roman" w:hAnsi="Times New Roman"/>
                <w:sz w:val="20"/>
              </w:rPr>
            </w:pPr>
            <w:r>
              <w:rPr>
                <w:rFonts w:ascii="Times New Roman" w:hAnsi="Times New Roman"/>
                <w:sz w:val="20"/>
              </w:rPr>
              <w:t>17-19</w:t>
            </w:r>
          </w:p>
        </w:tc>
        <w:tc>
          <w:tcPr>
            <w:tcW w:w="1695" w:type="dxa"/>
            <w:tcBorders>
              <w:top w:val="nil"/>
              <w:bottom w:val="nil"/>
            </w:tcBorders>
          </w:tcPr>
          <w:p w14:paraId="032F0BE6" w14:textId="77777777" w:rsidR="00C362A5" w:rsidRDefault="00C362A5" w:rsidP="000510CA">
            <w:pPr>
              <w:spacing w:after="40"/>
              <w:jc w:val="center"/>
              <w:rPr>
                <w:rFonts w:ascii="Times New Roman" w:hAnsi="Times New Roman"/>
                <w:sz w:val="20"/>
              </w:rPr>
            </w:pPr>
            <w:r>
              <w:rPr>
                <w:rFonts w:ascii="Times New Roman" w:hAnsi="Times New Roman"/>
                <w:sz w:val="20"/>
              </w:rPr>
              <w:t>18 (39,11)</w:t>
            </w:r>
          </w:p>
        </w:tc>
        <w:tc>
          <w:tcPr>
            <w:tcW w:w="1815" w:type="dxa"/>
            <w:gridSpan w:val="2"/>
            <w:tcBorders>
              <w:top w:val="nil"/>
              <w:bottom w:val="nil"/>
            </w:tcBorders>
          </w:tcPr>
          <w:p w14:paraId="3EE82469" w14:textId="77777777" w:rsidR="00C362A5" w:rsidRDefault="00C362A5" w:rsidP="000510CA">
            <w:pPr>
              <w:spacing w:after="40"/>
              <w:jc w:val="center"/>
              <w:rPr>
                <w:rFonts w:ascii="Times New Roman" w:hAnsi="Times New Roman"/>
                <w:sz w:val="20"/>
              </w:rPr>
            </w:pPr>
            <w:r>
              <w:rPr>
                <w:rFonts w:ascii="Times New Roman" w:hAnsi="Times New Roman"/>
                <w:sz w:val="20"/>
              </w:rPr>
              <w:t>17 (35,42)</w:t>
            </w:r>
          </w:p>
        </w:tc>
        <w:tc>
          <w:tcPr>
            <w:tcW w:w="1935" w:type="dxa"/>
            <w:gridSpan w:val="2"/>
            <w:tcBorders>
              <w:top w:val="nil"/>
              <w:bottom w:val="nil"/>
            </w:tcBorders>
          </w:tcPr>
          <w:p w14:paraId="6AC9B047" w14:textId="77777777" w:rsidR="00C362A5" w:rsidRDefault="00C362A5" w:rsidP="000510CA">
            <w:pPr>
              <w:spacing w:after="40"/>
              <w:jc w:val="center"/>
              <w:rPr>
                <w:rFonts w:ascii="Times New Roman" w:hAnsi="Times New Roman"/>
                <w:sz w:val="20"/>
              </w:rPr>
            </w:pPr>
            <w:r>
              <w:rPr>
                <w:rFonts w:ascii="Times New Roman" w:hAnsi="Times New Roman"/>
                <w:sz w:val="20"/>
              </w:rPr>
              <w:t>37 (40,22)</w:t>
            </w:r>
          </w:p>
        </w:tc>
      </w:tr>
      <w:tr w:rsidR="00C362A5" w14:paraId="5311FAC6" w14:textId="77777777" w:rsidTr="00C362A5">
        <w:tc>
          <w:tcPr>
            <w:tcW w:w="3090" w:type="dxa"/>
            <w:tcBorders>
              <w:top w:val="nil"/>
              <w:bottom w:val="nil"/>
            </w:tcBorders>
          </w:tcPr>
          <w:p w14:paraId="023B46ED" w14:textId="77777777" w:rsidR="00C362A5" w:rsidRDefault="00C362A5" w:rsidP="000510CA">
            <w:pPr>
              <w:spacing w:after="40"/>
              <w:ind w:left="283"/>
              <w:rPr>
                <w:rFonts w:ascii="Times New Roman" w:hAnsi="Times New Roman"/>
                <w:sz w:val="20"/>
              </w:rPr>
            </w:pPr>
            <w:r>
              <w:rPr>
                <w:rFonts w:ascii="Times New Roman" w:hAnsi="Times New Roman"/>
                <w:sz w:val="20"/>
              </w:rPr>
              <w:t>20-21</w:t>
            </w:r>
          </w:p>
        </w:tc>
        <w:tc>
          <w:tcPr>
            <w:tcW w:w="1695" w:type="dxa"/>
            <w:tcBorders>
              <w:top w:val="nil"/>
              <w:bottom w:val="nil"/>
            </w:tcBorders>
          </w:tcPr>
          <w:p w14:paraId="371C9ADC" w14:textId="77777777" w:rsidR="00C362A5" w:rsidRDefault="00C362A5" w:rsidP="000510CA">
            <w:pPr>
              <w:spacing w:after="40"/>
              <w:jc w:val="center"/>
              <w:rPr>
                <w:rFonts w:ascii="Times New Roman" w:hAnsi="Times New Roman"/>
                <w:sz w:val="20"/>
              </w:rPr>
            </w:pPr>
            <w:r>
              <w:rPr>
                <w:rFonts w:ascii="Times New Roman" w:hAnsi="Times New Roman"/>
                <w:sz w:val="20"/>
              </w:rPr>
              <w:t>24 (52,17)</w:t>
            </w:r>
          </w:p>
        </w:tc>
        <w:tc>
          <w:tcPr>
            <w:tcW w:w="1815" w:type="dxa"/>
            <w:gridSpan w:val="2"/>
            <w:tcBorders>
              <w:top w:val="nil"/>
              <w:bottom w:val="nil"/>
            </w:tcBorders>
          </w:tcPr>
          <w:p w14:paraId="5F6DBC92" w14:textId="77777777" w:rsidR="00C362A5" w:rsidRDefault="00C362A5" w:rsidP="000510CA">
            <w:pPr>
              <w:spacing w:after="40"/>
              <w:jc w:val="center"/>
              <w:rPr>
                <w:rFonts w:ascii="Times New Roman" w:hAnsi="Times New Roman"/>
                <w:sz w:val="20"/>
              </w:rPr>
            </w:pPr>
            <w:r>
              <w:rPr>
                <w:rFonts w:ascii="Times New Roman" w:hAnsi="Times New Roman"/>
                <w:sz w:val="20"/>
              </w:rPr>
              <w:t>19 (39,58)</w:t>
            </w:r>
          </w:p>
        </w:tc>
        <w:tc>
          <w:tcPr>
            <w:tcW w:w="1935" w:type="dxa"/>
            <w:gridSpan w:val="2"/>
            <w:tcBorders>
              <w:top w:val="nil"/>
              <w:bottom w:val="nil"/>
            </w:tcBorders>
          </w:tcPr>
          <w:p w14:paraId="0FE804EF" w14:textId="77777777" w:rsidR="00C362A5" w:rsidRDefault="00C362A5" w:rsidP="000510CA">
            <w:pPr>
              <w:spacing w:after="40"/>
              <w:jc w:val="center"/>
              <w:rPr>
                <w:rFonts w:ascii="Times New Roman" w:hAnsi="Times New Roman"/>
                <w:sz w:val="20"/>
              </w:rPr>
            </w:pPr>
            <w:r>
              <w:rPr>
                <w:rFonts w:ascii="Times New Roman" w:hAnsi="Times New Roman"/>
                <w:sz w:val="20"/>
              </w:rPr>
              <w:t>45 (48,91)</w:t>
            </w:r>
          </w:p>
        </w:tc>
      </w:tr>
      <w:tr w:rsidR="00C362A5" w14:paraId="7A68D3FB" w14:textId="77777777" w:rsidTr="00C362A5">
        <w:tc>
          <w:tcPr>
            <w:tcW w:w="3090" w:type="dxa"/>
            <w:tcBorders>
              <w:top w:val="nil"/>
              <w:bottom w:val="nil"/>
            </w:tcBorders>
          </w:tcPr>
          <w:p w14:paraId="73CE4F60" w14:textId="77777777" w:rsidR="00C362A5" w:rsidRDefault="00C362A5" w:rsidP="000510CA">
            <w:pPr>
              <w:spacing w:after="40"/>
              <w:ind w:left="283"/>
              <w:rPr>
                <w:rFonts w:ascii="Times New Roman" w:hAnsi="Times New Roman"/>
                <w:sz w:val="20"/>
              </w:rPr>
            </w:pPr>
            <w:r>
              <w:rPr>
                <w:rFonts w:ascii="Times New Roman" w:hAnsi="Times New Roman"/>
                <w:sz w:val="20"/>
              </w:rPr>
              <w:t>22-23</w:t>
            </w:r>
          </w:p>
        </w:tc>
        <w:tc>
          <w:tcPr>
            <w:tcW w:w="1695" w:type="dxa"/>
            <w:tcBorders>
              <w:top w:val="nil"/>
              <w:bottom w:val="nil"/>
            </w:tcBorders>
          </w:tcPr>
          <w:p w14:paraId="4CC800B9" w14:textId="77777777" w:rsidR="00C362A5" w:rsidRDefault="00C362A5" w:rsidP="000510CA">
            <w:pPr>
              <w:spacing w:after="40"/>
              <w:jc w:val="center"/>
              <w:rPr>
                <w:rFonts w:ascii="Times New Roman" w:hAnsi="Times New Roman"/>
                <w:sz w:val="20"/>
              </w:rPr>
            </w:pPr>
            <w:r>
              <w:rPr>
                <w:rFonts w:ascii="Times New Roman" w:hAnsi="Times New Roman"/>
                <w:sz w:val="20"/>
              </w:rPr>
              <w:t>4 (8,70)</w:t>
            </w:r>
          </w:p>
        </w:tc>
        <w:tc>
          <w:tcPr>
            <w:tcW w:w="1815" w:type="dxa"/>
            <w:gridSpan w:val="2"/>
            <w:tcBorders>
              <w:top w:val="nil"/>
              <w:bottom w:val="nil"/>
            </w:tcBorders>
          </w:tcPr>
          <w:p w14:paraId="2FD093F2" w14:textId="77777777" w:rsidR="00C362A5" w:rsidRDefault="00C362A5" w:rsidP="000510CA">
            <w:pPr>
              <w:spacing w:after="40"/>
              <w:jc w:val="center"/>
              <w:rPr>
                <w:rFonts w:ascii="Times New Roman" w:hAnsi="Times New Roman"/>
                <w:sz w:val="20"/>
              </w:rPr>
            </w:pPr>
            <w:r>
              <w:rPr>
                <w:rFonts w:ascii="Times New Roman" w:hAnsi="Times New Roman"/>
                <w:sz w:val="20"/>
              </w:rPr>
              <w:t>12 (25)</w:t>
            </w:r>
          </w:p>
        </w:tc>
        <w:tc>
          <w:tcPr>
            <w:tcW w:w="1935" w:type="dxa"/>
            <w:gridSpan w:val="2"/>
            <w:tcBorders>
              <w:top w:val="nil"/>
              <w:bottom w:val="nil"/>
            </w:tcBorders>
          </w:tcPr>
          <w:p w14:paraId="6FC8837A" w14:textId="77777777" w:rsidR="00C362A5" w:rsidRDefault="00C362A5" w:rsidP="000510CA">
            <w:pPr>
              <w:spacing w:after="40"/>
              <w:jc w:val="center"/>
              <w:rPr>
                <w:rFonts w:ascii="Times New Roman" w:hAnsi="Times New Roman"/>
                <w:sz w:val="20"/>
              </w:rPr>
            </w:pPr>
            <w:r>
              <w:rPr>
                <w:rFonts w:ascii="Times New Roman" w:hAnsi="Times New Roman"/>
                <w:sz w:val="20"/>
              </w:rPr>
              <w:t>16 (17,39)</w:t>
            </w:r>
          </w:p>
        </w:tc>
      </w:tr>
      <w:tr w:rsidR="00C362A5" w14:paraId="2416340B" w14:textId="77777777" w:rsidTr="00C362A5">
        <w:tc>
          <w:tcPr>
            <w:tcW w:w="3090" w:type="dxa"/>
            <w:tcBorders>
              <w:top w:val="nil"/>
              <w:bottom w:val="nil"/>
            </w:tcBorders>
          </w:tcPr>
          <w:p w14:paraId="22993D58" w14:textId="4808BDB1" w:rsidR="00C362A5" w:rsidRDefault="00AB5758" w:rsidP="000510CA">
            <w:pPr>
              <w:spacing w:after="40"/>
              <w:rPr>
                <w:rFonts w:ascii="Times New Roman" w:hAnsi="Times New Roman"/>
                <w:b/>
                <w:sz w:val="20"/>
              </w:rPr>
            </w:pPr>
            <w:r>
              <w:rPr>
                <w:rFonts w:ascii="Times New Roman" w:hAnsi="Times New Roman"/>
                <w:b/>
                <w:sz w:val="20"/>
              </w:rPr>
              <w:t>Body Mass Index</w:t>
            </w:r>
          </w:p>
        </w:tc>
        <w:tc>
          <w:tcPr>
            <w:tcW w:w="1695" w:type="dxa"/>
            <w:tcBorders>
              <w:top w:val="nil"/>
              <w:bottom w:val="nil"/>
            </w:tcBorders>
          </w:tcPr>
          <w:p w14:paraId="6BD327DE" w14:textId="77777777" w:rsidR="00C362A5" w:rsidRDefault="00C362A5" w:rsidP="000510CA">
            <w:pPr>
              <w:spacing w:after="40"/>
              <w:jc w:val="center"/>
              <w:rPr>
                <w:rFonts w:ascii="Times New Roman" w:hAnsi="Times New Roman"/>
                <w:sz w:val="20"/>
              </w:rPr>
            </w:pPr>
          </w:p>
        </w:tc>
        <w:tc>
          <w:tcPr>
            <w:tcW w:w="1815" w:type="dxa"/>
            <w:gridSpan w:val="2"/>
            <w:tcBorders>
              <w:top w:val="nil"/>
              <w:bottom w:val="nil"/>
            </w:tcBorders>
          </w:tcPr>
          <w:p w14:paraId="1EAD53C1" w14:textId="77777777" w:rsidR="00C362A5" w:rsidRDefault="00C362A5" w:rsidP="000510CA">
            <w:pPr>
              <w:spacing w:after="40"/>
              <w:jc w:val="center"/>
              <w:rPr>
                <w:rFonts w:ascii="Times New Roman" w:hAnsi="Times New Roman"/>
                <w:sz w:val="20"/>
              </w:rPr>
            </w:pPr>
          </w:p>
        </w:tc>
        <w:tc>
          <w:tcPr>
            <w:tcW w:w="1935" w:type="dxa"/>
            <w:gridSpan w:val="2"/>
            <w:tcBorders>
              <w:top w:val="nil"/>
              <w:bottom w:val="nil"/>
            </w:tcBorders>
          </w:tcPr>
          <w:p w14:paraId="7A72E05C" w14:textId="77777777" w:rsidR="00C362A5" w:rsidRDefault="00C362A5" w:rsidP="000510CA">
            <w:pPr>
              <w:spacing w:after="40"/>
              <w:jc w:val="center"/>
              <w:rPr>
                <w:rFonts w:ascii="Times New Roman" w:hAnsi="Times New Roman"/>
                <w:sz w:val="20"/>
              </w:rPr>
            </w:pPr>
          </w:p>
        </w:tc>
      </w:tr>
      <w:tr w:rsidR="00C362A5" w14:paraId="576C7929" w14:textId="77777777" w:rsidTr="00C362A5">
        <w:tc>
          <w:tcPr>
            <w:tcW w:w="3090" w:type="dxa"/>
            <w:tcBorders>
              <w:top w:val="nil"/>
              <w:bottom w:val="nil"/>
            </w:tcBorders>
          </w:tcPr>
          <w:p w14:paraId="02D73EF9" w14:textId="77777777" w:rsidR="00C362A5" w:rsidRDefault="00C362A5" w:rsidP="000510CA">
            <w:pPr>
              <w:spacing w:after="40"/>
              <w:ind w:left="283"/>
              <w:rPr>
                <w:rFonts w:ascii="Times New Roman" w:hAnsi="Times New Roman"/>
                <w:sz w:val="20"/>
              </w:rPr>
            </w:pPr>
            <w:r>
              <w:rPr>
                <w:rFonts w:ascii="Times New Roman" w:hAnsi="Times New Roman"/>
                <w:sz w:val="20"/>
              </w:rPr>
              <w:t xml:space="preserve">Underweight </w:t>
            </w:r>
          </w:p>
        </w:tc>
        <w:tc>
          <w:tcPr>
            <w:tcW w:w="1695" w:type="dxa"/>
            <w:tcBorders>
              <w:top w:val="nil"/>
              <w:bottom w:val="nil"/>
            </w:tcBorders>
          </w:tcPr>
          <w:p w14:paraId="16979A0C" w14:textId="77777777" w:rsidR="00C362A5" w:rsidRDefault="00C362A5" w:rsidP="000510CA">
            <w:pPr>
              <w:spacing w:after="40"/>
              <w:jc w:val="center"/>
              <w:rPr>
                <w:rFonts w:ascii="Times New Roman" w:hAnsi="Times New Roman"/>
                <w:sz w:val="20"/>
              </w:rPr>
            </w:pPr>
            <w:r>
              <w:rPr>
                <w:rFonts w:ascii="Times New Roman" w:hAnsi="Times New Roman"/>
                <w:sz w:val="20"/>
              </w:rPr>
              <w:t>7 (15,22)</w:t>
            </w:r>
          </w:p>
        </w:tc>
        <w:tc>
          <w:tcPr>
            <w:tcW w:w="1815" w:type="dxa"/>
            <w:gridSpan w:val="2"/>
            <w:tcBorders>
              <w:top w:val="nil"/>
              <w:bottom w:val="nil"/>
            </w:tcBorders>
          </w:tcPr>
          <w:p w14:paraId="50FD6BB1" w14:textId="77777777" w:rsidR="00C362A5" w:rsidRDefault="00C362A5" w:rsidP="000510CA">
            <w:pPr>
              <w:spacing w:after="40"/>
              <w:jc w:val="center"/>
              <w:rPr>
                <w:rFonts w:ascii="Times New Roman" w:hAnsi="Times New Roman"/>
                <w:sz w:val="20"/>
              </w:rPr>
            </w:pPr>
            <w:r>
              <w:rPr>
                <w:rFonts w:ascii="Times New Roman" w:hAnsi="Times New Roman"/>
                <w:sz w:val="20"/>
              </w:rPr>
              <w:t>11 (22,92)</w:t>
            </w:r>
          </w:p>
        </w:tc>
        <w:tc>
          <w:tcPr>
            <w:tcW w:w="1935" w:type="dxa"/>
            <w:gridSpan w:val="2"/>
            <w:tcBorders>
              <w:top w:val="nil"/>
              <w:bottom w:val="nil"/>
            </w:tcBorders>
          </w:tcPr>
          <w:p w14:paraId="25195206" w14:textId="77777777" w:rsidR="00C362A5" w:rsidRDefault="00C362A5" w:rsidP="000510CA">
            <w:pPr>
              <w:spacing w:after="40"/>
              <w:jc w:val="center"/>
              <w:rPr>
                <w:rFonts w:ascii="Times New Roman" w:hAnsi="Times New Roman"/>
                <w:sz w:val="20"/>
              </w:rPr>
            </w:pPr>
            <w:r>
              <w:rPr>
                <w:rFonts w:ascii="Times New Roman" w:hAnsi="Times New Roman"/>
                <w:sz w:val="20"/>
              </w:rPr>
              <w:t>18 (19,57)</w:t>
            </w:r>
          </w:p>
        </w:tc>
      </w:tr>
      <w:tr w:rsidR="00C362A5" w14:paraId="74B899D5" w14:textId="77777777" w:rsidTr="00C362A5">
        <w:tc>
          <w:tcPr>
            <w:tcW w:w="3090" w:type="dxa"/>
            <w:tcBorders>
              <w:top w:val="nil"/>
              <w:bottom w:val="nil"/>
            </w:tcBorders>
          </w:tcPr>
          <w:p w14:paraId="7770F095" w14:textId="77777777" w:rsidR="00C362A5" w:rsidRDefault="00C362A5" w:rsidP="000510CA">
            <w:pPr>
              <w:spacing w:after="40"/>
              <w:ind w:left="283"/>
              <w:rPr>
                <w:rFonts w:ascii="Times New Roman" w:hAnsi="Times New Roman"/>
                <w:sz w:val="20"/>
              </w:rPr>
            </w:pPr>
            <w:r>
              <w:rPr>
                <w:rFonts w:ascii="Times New Roman" w:hAnsi="Times New Roman"/>
                <w:sz w:val="20"/>
              </w:rPr>
              <w:t>Normal</w:t>
            </w:r>
          </w:p>
        </w:tc>
        <w:tc>
          <w:tcPr>
            <w:tcW w:w="1695" w:type="dxa"/>
            <w:tcBorders>
              <w:top w:val="nil"/>
              <w:bottom w:val="nil"/>
            </w:tcBorders>
          </w:tcPr>
          <w:p w14:paraId="42CA8A67" w14:textId="77777777" w:rsidR="00C362A5" w:rsidRDefault="00C362A5" w:rsidP="000510CA">
            <w:pPr>
              <w:spacing w:after="40"/>
              <w:jc w:val="center"/>
              <w:rPr>
                <w:rFonts w:ascii="Times New Roman" w:hAnsi="Times New Roman"/>
                <w:sz w:val="20"/>
              </w:rPr>
            </w:pPr>
            <w:r>
              <w:rPr>
                <w:rFonts w:ascii="Times New Roman" w:hAnsi="Times New Roman"/>
                <w:sz w:val="20"/>
              </w:rPr>
              <w:t>32 (69,57)</w:t>
            </w:r>
          </w:p>
        </w:tc>
        <w:tc>
          <w:tcPr>
            <w:tcW w:w="1815" w:type="dxa"/>
            <w:gridSpan w:val="2"/>
            <w:tcBorders>
              <w:top w:val="nil"/>
              <w:bottom w:val="nil"/>
            </w:tcBorders>
          </w:tcPr>
          <w:p w14:paraId="6F2C5813" w14:textId="77777777" w:rsidR="00C362A5" w:rsidRDefault="00C362A5" w:rsidP="000510CA">
            <w:pPr>
              <w:spacing w:after="40"/>
              <w:jc w:val="center"/>
              <w:rPr>
                <w:rFonts w:ascii="Times New Roman" w:hAnsi="Times New Roman"/>
                <w:sz w:val="20"/>
              </w:rPr>
            </w:pPr>
            <w:r>
              <w:rPr>
                <w:rFonts w:ascii="Times New Roman" w:hAnsi="Times New Roman"/>
                <w:sz w:val="20"/>
              </w:rPr>
              <w:t>31 (64,58)</w:t>
            </w:r>
          </w:p>
        </w:tc>
        <w:tc>
          <w:tcPr>
            <w:tcW w:w="1935" w:type="dxa"/>
            <w:gridSpan w:val="2"/>
            <w:tcBorders>
              <w:top w:val="nil"/>
              <w:bottom w:val="nil"/>
            </w:tcBorders>
          </w:tcPr>
          <w:p w14:paraId="133BB5C2" w14:textId="77777777" w:rsidR="00C362A5" w:rsidRDefault="00C362A5" w:rsidP="000510CA">
            <w:pPr>
              <w:spacing w:after="40"/>
              <w:jc w:val="center"/>
              <w:rPr>
                <w:rFonts w:ascii="Times New Roman" w:hAnsi="Times New Roman"/>
                <w:sz w:val="20"/>
              </w:rPr>
            </w:pPr>
            <w:r>
              <w:rPr>
                <w:rFonts w:ascii="Times New Roman" w:hAnsi="Times New Roman"/>
                <w:sz w:val="20"/>
              </w:rPr>
              <w:t>63 (68,48)</w:t>
            </w:r>
          </w:p>
        </w:tc>
      </w:tr>
      <w:tr w:rsidR="00C362A5" w14:paraId="686691B9" w14:textId="77777777" w:rsidTr="00C362A5">
        <w:tc>
          <w:tcPr>
            <w:tcW w:w="3090" w:type="dxa"/>
            <w:tcBorders>
              <w:top w:val="nil"/>
              <w:bottom w:val="nil"/>
            </w:tcBorders>
          </w:tcPr>
          <w:p w14:paraId="68F26FB8" w14:textId="77777777" w:rsidR="00C362A5" w:rsidRDefault="00C362A5" w:rsidP="000510CA">
            <w:pPr>
              <w:spacing w:after="40"/>
              <w:ind w:left="283"/>
              <w:rPr>
                <w:rFonts w:ascii="Times New Roman" w:hAnsi="Times New Roman"/>
                <w:sz w:val="20"/>
              </w:rPr>
            </w:pPr>
            <w:r>
              <w:rPr>
                <w:rFonts w:ascii="Times New Roman" w:hAnsi="Times New Roman"/>
                <w:sz w:val="20"/>
              </w:rPr>
              <w:t>Overweight</w:t>
            </w:r>
          </w:p>
        </w:tc>
        <w:tc>
          <w:tcPr>
            <w:tcW w:w="1695" w:type="dxa"/>
            <w:tcBorders>
              <w:top w:val="nil"/>
              <w:bottom w:val="nil"/>
            </w:tcBorders>
          </w:tcPr>
          <w:p w14:paraId="37B4E30D" w14:textId="77777777" w:rsidR="00C362A5" w:rsidRDefault="00C362A5" w:rsidP="000510CA">
            <w:pPr>
              <w:spacing w:after="40"/>
              <w:jc w:val="center"/>
              <w:rPr>
                <w:rFonts w:ascii="Times New Roman" w:hAnsi="Times New Roman"/>
                <w:sz w:val="20"/>
              </w:rPr>
            </w:pPr>
            <w:r>
              <w:rPr>
                <w:rFonts w:ascii="Times New Roman" w:hAnsi="Times New Roman"/>
                <w:sz w:val="20"/>
              </w:rPr>
              <w:t>6 (13,04)</w:t>
            </w:r>
          </w:p>
        </w:tc>
        <w:tc>
          <w:tcPr>
            <w:tcW w:w="1815" w:type="dxa"/>
            <w:gridSpan w:val="2"/>
            <w:tcBorders>
              <w:top w:val="nil"/>
              <w:bottom w:val="nil"/>
            </w:tcBorders>
          </w:tcPr>
          <w:p w14:paraId="31773135" w14:textId="77777777" w:rsidR="00C362A5" w:rsidRDefault="00C362A5" w:rsidP="000510CA">
            <w:pPr>
              <w:spacing w:after="40"/>
              <w:jc w:val="center"/>
              <w:rPr>
                <w:rFonts w:ascii="Times New Roman" w:hAnsi="Times New Roman"/>
                <w:sz w:val="20"/>
              </w:rPr>
            </w:pPr>
            <w:r>
              <w:rPr>
                <w:rFonts w:ascii="Times New Roman" w:hAnsi="Times New Roman"/>
                <w:sz w:val="20"/>
              </w:rPr>
              <w:t>4 (8,33)</w:t>
            </w:r>
          </w:p>
        </w:tc>
        <w:tc>
          <w:tcPr>
            <w:tcW w:w="1935" w:type="dxa"/>
            <w:gridSpan w:val="2"/>
            <w:tcBorders>
              <w:top w:val="nil"/>
              <w:bottom w:val="nil"/>
            </w:tcBorders>
          </w:tcPr>
          <w:p w14:paraId="44A77CAB" w14:textId="77777777" w:rsidR="00C362A5" w:rsidRDefault="00C362A5" w:rsidP="000510CA">
            <w:pPr>
              <w:spacing w:after="40"/>
              <w:jc w:val="center"/>
              <w:rPr>
                <w:rFonts w:ascii="Times New Roman" w:hAnsi="Times New Roman"/>
                <w:sz w:val="20"/>
              </w:rPr>
            </w:pPr>
            <w:r>
              <w:rPr>
                <w:rFonts w:ascii="Times New Roman" w:hAnsi="Times New Roman"/>
                <w:sz w:val="20"/>
              </w:rPr>
              <w:t>10 (10,87)</w:t>
            </w:r>
          </w:p>
        </w:tc>
      </w:tr>
      <w:tr w:rsidR="00C362A5" w14:paraId="3891AA0F" w14:textId="77777777" w:rsidTr="00C362A5">
        <w:tc>
          <w:tcPr>
            <w:tcW w:w="3090" w:type="dxa"/>
            <w:tcBorders>
              <w:top w:val="nil"/>
              <w:bottom w:val="nil"/>
            </w:tcBorders>
          </w:tcPr>
          <w:p w14:paraId="41F14BBC" w14:textId="77777777" w:rsidR="00C362A5" w:rsidRDefault="00C362A5" w:rsidP="000510CA">
            <w:pPr>
              <w:spacing w:after="40"/>
              <w:ind w:left="283"/>
              <w:rPr>
                <w:rFonts w:ascii="Times New Roman" w:hAnsi="Times New Roman"/>
                <w:sz w:val="20"/>
              </w:rPr>
            </w:pPr>
            <w:proofErr w:type="spellStart"/>
            <w:r>
              <w:rPr>
                <w:rFonts w:ascii="Times New Roman" w:hAnsi="Times New Roman"/>
                <w:sz w:val="20"/>
              </w:rPr>
              <w:t>Obesitas</w:t>
            </w:r>
            <w:proofErr w:type="spellEnd"/>
            <w:r>
              <w:rPr>
                <w:rFonts w:ascii="Times New Roman" w:hAnsi="Times New Roman"/>
                <w:sz w:val="20"/>
              </w:rPr>
              <w:t xml:space="preserve"> </w:t>
            </w:r>
          </w:p>
        </w:tc>
        <w:tc>
          <w:tcPr>
            <w:tcW w:w="1695" w:type="dxa"/>
            <w:tcBorders>
              <w:top w:val="nil"/>
              <w:bottom w:val="nil"/>
            </w:tcBorders>
          </w:tcPr>
          <w:p w14:paraId="60F349DB" w14:textId="77777777" w:rsidR="00C362A5" w:rsidRDefault="00C362A5" w:rsidP="000510CA">
            <w:pPr>
              <w:spacing w:after="40"/>
              <w:jc w:val="center"/>
              <w:rPr>
                <w:rFonts w:ascii="Times New Roman" w:hAnsi="Times New Roman"/>
                <w:sz w:val="20"/>
              </w:rPr>
            </w:pPr>
            <w:r>
              <w:rPr>
                <w:rFonts w:ascii="Times New Roman" w:hAnsi="Times New Roman"/>
                <w:sz w:val="20"/>
              </w:rPr>
              <w:t>1 (2,17)</w:t>
            </w:r>
          </w:p>
        </w:tc>
        <w:tc>
          <w:tcPr>
            <w:tcW w:w="1815" w:type="dxa"/>
            <w:gridSpan w:val="2"/>
            <w:tcBorders>
              <w:top w:val="nil"/>
              <w:bottom w:val="nil"/>
            </w:tcBorders>
          </w:tcPr>
          <w:p w14:paraId="7065393D" w14:textId="77777777" w:rsidR="00C362A5" w:rsidRDefault="00C362A5" w:rsidP="000510CA">
            <w:pPr>
              <w:spacing w:after="40"/>
              <w:jc w:val="center"/>
              <w:rPr>
                <w:rFonts w:ascii="Times New Roman" w:hAnsi="Times New Roman"/>
                <w:sz w:val="20"/>
              </w:rPr>
            </w:pPr>
            <w:r>
              <w:rPr>
                <w:rFonts w:ascii="Times New Roman" w:hAnsi="Times New Roman"/>
                <w:sz w:val="20"/>
              </w:rPr>
              <w:t>4 (8,33)</w:t>
            </w:r>
          </w:p>
        </w:tc>
        <w:tc>
          <w:tcPr>
            <w:tcW w:w="1935" w:type="dxa"/>
            <w:gridSpan w:val="2"/>
            <w:tcBorders>
              <w:top w:val="nil"/>
              <w:bottom w:val="nil"/>
            </w:tcBorders>
          </w:tcPr>
          <w:p w14:paraId="7651BB77" w14:textId="77777777" w:rsidR="00C362A5" w:rsidRDefault="00C362A5" w:rsidP="000510CA">
            <w:pPr>
              <w:spacing w:after="40"/>
              <w:jc w:val="center"/>
              <w:rPr>
                <w:rFonts w:ascii="Times New Roman" w:hAnsi="Times New Roman"/>
                <w:sz w:val="20"/>
              </w:rPr>
            </w:pPr>
            <w:r>
              <w:rPr>
                <w:rFonts w:ascii="Times New Roman" w:hAnsi="Times New Roman"/>
                <w:sz w:val="20"/>
              </w:rPr>
              <w:t>5 (5,43)</w:t>
            </w:r>
          </w:p>
        </w:tc>
      </w:tr>
      <w:tr w:rsidR="00C362A5" w14:paraId="750A0BF0" w14:textId="77777777" w:rsidTr="00C362A5">
        <w:tc>
          <w:tcPr>
            <w:tcW w:w="3090" w:type="dxa"/>
            <w:tcBorders>
              <w:top w:val="nil"/>
              <w:bottom w:val="nil"/>
            </w:tcBorders>
          </w:tcPr>
          <w:p w14:paraId="4735D598" w14:textId="3757F030" w:rsidR="00C362A5" w:rsidRDefault="00C93A4C" w:rsidP="000510CA">
            <w:pPr>
              <w:spacing w:after="40"/>
              <w:rPr>
                <w:rFonts w:ascii="Times New Roman" w:hAnsi="Times New Roman"/>
                <w:b/>
                <w:sz w:val="20"/>
              </w:rPr>
            </w:pPr>
            <w:r>
              <w:rPr>
                <w:rFonts w:ascii="Times New Roman" w:hAnsi="Times New Roman"/>
                <w:b/>
                <w:sz w:val="20"/>
              </w:rPr>
              <w:t>Housemate</w:t>
            </w:r>
            <w:r w:rsidR="00C362A5">
              <w:rPr>
                <w:rFonts w:ascii="Times New Roman" w:hAnsi="Times New Roman"/>
                <w:b/>
                <w:sz w:val="20"/>
              </w:rPr>
              <w:t xml:space="preserve"> </w:t>
            </w:r>
          </w:p>
        </w:tc>
        <w:tc>
          <w:tcPr>
            <w:tcW w:w="1695" w:type="dxa"/>
            <w:tcBorders>
              <w:top w:val="nil"/>
              <w:bottom w:val="nil"/>
            </w:tcBorders>
          </w:tcPr>
          <w:p w14:paraId="77500161" w14:textId="77777777" w:rsidR="00C362A5" w:rsidRDefault="00C362A5" w:rsidP="000510CA">
            <w:pPr>
              <w:spacing w:after="40"/>
              <w:jc w:val="center"/>
              <w:rPr>
                <w:rFonts w:ascii="Times New Roman" w:hAnsi="Times New Roman"/>
                <w:sz w:val="20"/>
              </w:rPr>
            </w:pPr>
          </w:p>
        </w:tc>
        <w:tc>
          <w:tcPr>
            <w:tcW w:w="1815" w:type="dxa"/>
            <w:gridSpan w:val="2"/>
            <w:tcBorders>
              <w:top w:val="nil"/>
              <w:bottom w:val="nil"/>
            </w:tcBorders>
          </w:tcPr>
          <w:p w14:paraId="5351EC49" w14:textId="77777777" w:rsidR="00C362A5" w:rsidRDefault="00C362A5" w:rsidP="000510CA">
            <w:pPr>
              <w:spacing w:after="40"/>
              <w:jc w:val="center"/>
              <w:rPr>
                <w:rFonts w:ascii="Times New Roman" w:hAnsi="Times New Roman"/>
                <w:sz w:val="20"/>
              </w:rPr>
            </w:pPr>
          </w:p>
        </w:tc>
        <w:tc>
          <w:tcPr>
            <w:tcW w:w="1935" w:type="dxa"/>
            <w:gridSpan w:val="2"/>
            <w:tcBorders>
              <w:top w:val="nil"/>
              <w:bottom w:val="nil"/>
            </w:tcBorders>
          </w:tcPr>
          <w:p w14:paraId="08E284B7" w14:textId="77777777" w:rsidR="00C362A5" w:rsidRDefault="00C362A5" w:rsidP="000510CA">
            <w:pPr>
              <w:spacing w:after="40"/>
              <w:jc w:val="center"/>
              <w:rPr>
                <w:rFonts w:ascii="Times New Roman" w:hAnsi="Times New Roman"/>
                <w:sz w:val="20"/>
              </w:rPr>
            </w:pPr>
          </w:p>
        </w:tc>
      </w:tr>
      <w:tr w:rsidR="00C362A5" w14:paraId="246CB409" w14:textId="77777777" w:rsidTr="00C362A5">
        <w:tc>
          <w:tcPr>
            <w:tcW w:w="3090" w:type="dxa"/>
            <w:tcBorders>
              <w:top w:val="nil"/>
              <w:bottom w:val="nil"/>
            </w:tcBorders>
          </w:tcPr>
          <w:p w14:paraId="1D78DD84" w14:textId="6D89CC86" w:rsidR="00C362A5" w:rsidRDefault="00C93A4C" w:rsidP="000510CA">
            <w:pPr>
              <w:spacing w:after="40"/>
              <w:ind w:left="283"/>
              <w:rPr>
                <w:rFonts w:ascii="Times New Roman" w:hAnsi="Times New Roman"/>
                <w:sz w:val="20"/>
              </w:rPr>
            </w:pPr>
            <w:r>
              <w:rPr>
                <w:rFonts w:ascii="Times New Roman" w:hAnsi="Times New Roman"/>
                <w:sz w:val="20"/>
              </w:rPr>
              <w:t>Family</w:t>
            </w:r>
            <w:r w:rsidR="00C362A5">
              <w:rPr>
                <w:rFonts w:ascii="Times New Roman" w:hAnsi="Times New Roman"/>
                <w:sz w:val="20"/>
              </w:rPr>
              <w:t xml:space="preserve"> </w:t>
            </w:r>
          </w:p>
        </w:tc>
        <w:tc>
          <w:tcPr>
            <w:tcW w:w="1695" w:type="dxa"/>
            <w:tcBorders>
              <w:top w:val="nil"/>
              <w:bottom w:val="nil"/>
            </w:tcBorders>
          </w:tcPr>
          <w:p w14:paraId="40D6D703" w14:textId="77777777" w:rsidR="00C362A5" w:rsidRDefault="00C362A5" w:rsidP="000510CA">
            <w:pPr>
              <w:spacing w:after="40"/>
              <w:jc w:val="center"/>
              <w:rPr>
                <w:rFonts w:ascii="Times New Roman" w:hAnsi="Times New Roman"/>
                <w:sz w:val="20"/>
              </w:rPr>
            </w:pPr>
            <w:r>
              <w:rPr>
                <w:rFonts w:ascii="Times New Roman" w:hAnsi="Times New Roman"/>
                <w:sz w:val="20"/>
              </w:rPr>
              <w:t>28 (60,87)</w:t>
            </w:r>
          </w:p>
        </w:tc>
        <w:tc>
          <w:tcPr>
            <w:tcW w:w="1815" w:type="dxa"/>
            <w:gridSpan w:val="2"/>
            <w:tcBorders>
              <w:top w:val="nil"/>
              <w:bottom w:val="nil"/>
            </w:tcBorders>
          </w:tcPr>
          <w:p w14:paraId="0D036190" w14:textId="77777777" w:rsidR="00C362A5" w:rsidRDefault="00C362A5" w:rsidP="000510CA">
            <w:pPr>
              <w:spacing w:after="40"/>
              <w:jc w:val="center"/>
              <w:rPr>
                <w:rFonts w:ascii="Times New Roman" w:hAnsi="Times New Roman"/>
                <w:sz w:val="20"/>
              </w:rPr>
            </w:pPr>
            <w:r>
              <w:rPr>
                <w:rFonts w:ascii="Times New Roman" w:hAnsi="Times New Roman"/>
                <w:sz w:val="20"/>
              </w:rPr>
              <w:t>28 (58,33)</w:t>
            </w:r>
          </w:p>
        </w:tc>
        <w:tc>
          <w:tcPr>
            <w:tcW w:w="1935" w:type="dxa"/>
            <w:gridSpan w:val="2"/>
            <w:tcBorders>
              <w:top w:val="nil"/>
              <w:bottom w:val="nil"/>
            </w:tcBorders>
          </w:tcPr>
          <w:p w14:paraId="55C29220" w14:textId="77777777" w:rsidR="00C362A5" w:rsidRDefault="00C362A5" w:rsidP="000510CA">
            <w:pPr>
              <w:spacing w:after="40"/>
              <w:jc w:val="center"/>
              <w:rPr>
                <w:rFonts w:ascii="Times New Roman" w:hAnsi="Times New Roman"/>
                <w:sz w:val="20"/>
              </w:rPr>
            </w:pPr>
            <w:r>
              <w:rPr>
                <w:rFonts w:ascii="Times New Roman" w:hAnsi="Times New Roman"/>
                <w:sz w:val="20"/>
              </w:rPr>
              <w:t>56 (60,87)</w:t>
            </w:r>
          </w:p>
        </w:tc>
      </w:tr>
      <w:tr w:rsidR="00C362A5" w14:paraId="7DA28F65" w14:textId="77777777" w:rsidTr="00C362A5">
        <w:tc>
          <w:tcPr>
            <w:tcW w:w="3090" w:type="dxa"/>
            <w:tcBorders>
              <w:top w:val="nil"/>
              <w:bottom w:val="nil"/>
            </w:tcBorders>
          </w:tcPr>
          <w:p w14:paraId="79439203" w14:textId="36471634" w:rsidR="00C362A5" w:rsidRDefault="004B5867" w:rsidP="000510CA">
            <w:pPr>
              <w:spacing w:after="40"/>
              <w:ind w:left="283"/>
              <w:rPr>
                <w:rFonts w:ascii="Times New Roman" w:hAnsi="Times New Roman"/>
                <w:sz w:val="20"/>
              </w:rPr>
            </w:pPr>
            <w:r>
              <w:rPr>
                <w:rFonts w:ascii="Times New Roman" w:hAnsi="Times New Roman"/>
                <w:sz w:val="20"/>
              </w:rPr>
              <w:t>Dormitory</w:t>
            </w:r>
          </w:p>
        </w:tc>
        <w:tc>
          <w:tcPr>
            <w:tcW w:w="1695" w:type="dxa"/>
            <w:tcBorders>
              <w:top w:val="nil"/>
              <w:bottom w:val="nil"/>
            </w:tcBorders>
          </w:tcPr>
          <w:p w14:paraId="304567A4" w14:textId="77777777" w:rsidR="00C362A5" w:rsidRDefault="00C362A5" w:rsidP="000510CA">
            <w:pPr>
              <w:spacing w:after="40"/>
              <w:jc w:val="center"/>
              <w:rPr>
                <w:rFonts w:ascii="Times New Roman" w:hAnsi="Times New Roman"/>
                <w:sz w:val="20"/>
              </w:rPr>
            </w:pPr>
            <w:r>
              <w:rPr>
                <w:rFonts w:ascii="Times New Roman" w:hAnsi="Times New Roman"/>
                <w:sz w:val="20"/>
              </w:rPr>
              <w:t>18 (39,13)</w:t>
            </w:r>
          </w:p>
        </w:tc>
        <w:tc>
          <w:tcPr>
            <w:tcW w:w="1815" w:type="dxa"/>
            <w:gridSpan w:val="2"/>
            <w:tcBorders>
              <w:top w:val="nil"/>
              <w:bottom w:val="nil"/>
            </w:tcBorders>
          </w:tcPr>
          <w:p w14:paraId="71A5BD71" w14:textId="77777777" w:rsidR="00C362A5" w:rsidRDefault="00C362A5" w:rsidP="000510CA">
            <w:pPr>
              <w:spacing w:after="40"/>
              <w:jc w:val="center"/>
              <w:rPr>
                <w:rFonts w:ascii="Times New Roman" w:hAnsi="Times New Roman"/>
                <w:sz w:val="20"/>
              </w:rPr>
            </w:pPr>
            <w:r>
              <w:rPr>
                <w:rFonts w:ascii="Times New Roman" w:hAnsi="Times New Roman"/>
                <w:sz w:val="20"/>
              </w:rPr>
              <w:t>13 (27,08)</w:t>
            </w:r>
          </w:p>
        </w:tc>
        <w:tc>
          <w:tcPr>
            <w:tcW w:w="1935" w:type="dxa"/>
            <w:gridSpan w:val="2"/>
            <w:tcBorders>
              <w:top w:val="nil"/>
              <w:bottom w:val="nil"/>
            </w:tcBorders>
          </w:tcPr>
          <w:p w14:paraId="7E618119" w14:textId="77777777" w:rsidR="00C362A5" w:rsidRDefault="00C362A5" w:rsidP="000510CA">
            <w:pPr>
              <w:spacing w:after="40"/>
              <w:jc w:val="center"/>
              <w:rPr>
                <w:rFonts w:ascii="Times New Roman" w:hAnsi="Times New Roman"/>
                <w:sz w:val="20"/>
              </w:rPr>
            </w:pPr>
            <w:r>
              <w:rPr>
                <w:rFonts w:ascii="Times New Roman" w:hAnsi="Times New Roman"/>
                <w:sz w:val="20"/>
              </w:rPr>
              <w:t>31 (33,70)</w:t>
            </w:r>
          </w:p>
        </w:tc>
      </w:tr>
      <w:tr w:rsidR="00C362A5" w14:paraId="3F8833FE" w14:textId="77777777" w:rsidTr="00C362A5">
        <w:tc>
          <w:tcPr>
            <w:tcW w:w="3090" w:type="dxa"/>
            <w:tcBorders>
              <w:top w:val="nil"/>
              <w:bottom w:val="nil"/>
            </w:tcBorders>
          </w:tcPr>
          <w:p w14:paraId="60640482" w14:textId="06145CD8" w:rsidR="00C362A5" w:rsidRDefault="004B5867" w:rsidP="000510CA">
            <w:pPr>
              <w:spacing w:after="40"/>
              <w:ind w:left="283"/>
              <w:rPr>
                <w:rFonts w:ascii="Times New Roman" w:hAnsi="Times New Roman"/>
                <w:sz w:val="20"/>
              </w:rPr>
            </w:pPr>
            <w:r>
              <w:rPr>
                <w:rFonts w:ascii="Times New Roman" w:hAnsi="Times New Roman"/>
                <w:sz w:val="20"/>
              </w:rPr>
              <w:t>Live in a rent house</w:t>
            </w:r>
            <w:r w:rsidR="00C362A5">
              <w:rPr>
                <w:rFonts w:ascii="Times New Roman" w:hAnsi="Times New Roman"/>
                <w:sz w:val="20"/>
              </w:rPr>
              <w:t xml:space="preserve"> </w:t>
            </w:r>
          </w:p>
        </w:tc>
        <w:tc>
          <w:tcPr>
            <w:tcW w:w="1695" w:type="dxa"/>
            <w:tcBorders>
              <w:top w:val="nil"/>
              <w:bottom w:val="nil"/>
            </w:tcBorders>
          </w:tcPr>
          <w:p w14:paraId="780DE1F0" w14:textId="77777777" w:rsidR="00C362A5" w:rsidRDefault="00C362A5" w:rsidP="000510CA">
            <w:pPr>
              <w:spacing w:after="40"/>
              <w:jc w:val="center"/>
              <w:rPr>
                <w:rFonts w:ascii="Times New Roman" w:hAnsi="Times New Roman"/>
                <w:sz w:val="20"/>
              </w:rPr>
            </w:pPr>
            <w:r>
              <w:rPr>
                <w:rFonts w:ascii="Times New Roman" w:hAnsi="Times New Roman"/>
                <w:sz w:val="20"/>
              </w:rPr>
              <w:t>0 (0)</w:t>
            </w:r>
          </w:p>
        </w:tc>
        <w:tc>
          <w:tcPr>
            <w:tcW w:w="1815" w:type="dxa"/>
            <w:gridSpan w:val="2"/>
            <w:tcBorders>
              <w:top w:val="nil"/>
              <w:bottom w:val="nil"/>
            </w:tcBorders>
          </w:tcPr>
          <w:p w14:paraId="47A1B7E9" w14:textId="77777777" w:rsidR="00C362A5" w:rsidRDefault="00C362A5" w:rsidP="000510CA">
            <w:pPr>
              <w:spacing w:after="40"/>
              <w:jc w:val="center"/>
              <w:rPr>
                <w:rFonts w:ascii="Times New Roman" w:hAnsi="Times New Roman"/>
                <w:sz w:val="20"/>
              </w:rPr>
            </w:pPr>
            <w:r>
              <w:rPr>
                <w:rFonts w:ascii="Times New Roman" w:hAnsi="Times New Roman"/>
                <w:sz w:val="20"/>
              </w:rPr>
              <w:t>5 (10,42)</w:t>
            </w:r>
          </w:p>
        </w:tc>
        <w:tc>
          <w:tcPr>
            <w:tcW w:w="1935" w:type="dxa"/>
            <w:gridSpan w:val="2"/>
            <w:tcBorders>
              <w:top w:val="nil"/>
              <w:bottom w:val="nil"/>
            </w:tcBorders>
          </w:tcPr>
          <w:p w14:paraId="22194C13" w14:textId="77777777" w:rsidR="00C362A5" w:rsidRDefault="00C362A5" w:rsidP="000510CA">
            <w:pPr>
              <w:spacing w:after="40"/>
              <w:jc w:val="center"/>
              <w:rPr>
                <w:rFonts w:ascii="Times New Roman" w:hAnsi="Times New Roman"/>
                <w:sz w:val="20"/>
              </w:rPr>
            </w:pPr>
            <w:r>
              <w:rPr>
                <w:rFonts w:ascii="Times New Roman" w:hAnsi="Times New Roman"/>
                <w:sz w:val="20"/>
              </w:rPr>
              <w:t>5 (5,43)</w:t>
            </w:r>
          </w:p>
        </w:tc>
      </w:tr>
      <w:tr w:rsidR="00C362A5" w:rsidRPr="00713EDA" w14:paraId="14E9154F" w14:textId="77777777" w:rsidTr="00C362A5">
        <w:tc>
          <w:tcPr>
            <w:tcW w:w="3090" w:type="dxa"/>
            <w:tcBorders>
              <w:top w:val="nil"/>
              <w:bottom w:val="nil"/>
            </w:tcBorders>
          </w:tcPr>
          <w:p w14:paraId="673F6EDD" w14:textId="7A043D98" w:rsidR="00C362A5" w:rsidRPr="00713EDA" w:rsidRDefault="00713EDA" w:rsidP="000510CA">
            <w:pPr>
              <w:spacing w:after="40"/>
              <w:rPr>
                <w:rFonts w:ascii="Times New Roman" w:hAnsi="Times New Roman"/>
                <w:b/>
                <w:sz w:val="20"/>
                <w:lang w:val="en-US"/>
              </w:rPr>
            </w:pPr>
            <w:r w:rsidRPr="00713EDA">
              <w:rPr>
                <w:rFonts w:ascii="Times New Roman" w:hAnsi="Times New Roman"/>
                <w:b/>
                <w:sz w:val="20"/>
                <w:lang w:val="en-US"/>
              </w:rPr>
              <w:t>Member of Student Activity Un</w:t>
            </w:r>
            <w:r>
              <w:rPr>
                <w:rFonts w:ascii="Times New Roman" w:hAnsi="Times New Roman"/>
                <w:b/>
                <w:sz w:val="20"/>
                <w:lang w:val="en-US"/>
              </w:rPr>
              <w:t>it</w:t>
            </w:r>
          </w:p>
        </w:tc>
        <w:tc>
          <w:tcPr>
            <w:tcW w:w="1695" w:type="dxa"/>
            <w:tcBorders>
              <w:top w:val="nil"/>
              <w:bottom w:val="nil"/>
            </w:tcBorders>
          </w:tcPr>
          <w:p w14:paraId="078CFB17" w14:textId="77777777" w:rsidR="00C362A5" w:rsidRPr="00713EDA" w:rsidRDefault="00C362A5" w:rsidP="000510CA">
            <w:pPr>
              <w:spacing w:after="40"/>
              <w:jc w:val="center"/>
              <w:rPr>
                <w:rFonts w:ascii="Times New Roman" w:hAnsi="Times New Roman"/>
                <w:sz w:val="20"/>
                <w:lang w:val="en-US"/>
              </w:rPr>
            </w:pPr>
          </w:p>
        </w:tc>
        <w:tc>
          <w:tcPr>
            <w:tcW w:w="1815" w:type="dxa"/>
            <w:gridSpan w:val="2"/>
            <w:tcBorders>
              <w:top w:val="nil"/>
              <w:bottom w:val="nil"/>
            </w:tcBorders>
          </w:tcPr>
          <w:p w14:paraId="46895CEC" w14:textId="77777777" w:rsidR="00C362A5" w:rsidRPr="00713EDA" w:rsidRDefault="00C362A5" w:rsidP="000510CA">
            <w:pPr>
              <w:spacing w:after="40"/>
              <w:jc w:val="center"/>
              <w:rPr>
                <w:rFonts w:ascii="Times New Roman" w:hAnsi="Times New Roman"/>
                <w:sz w:val="20"/>
                <w:lang w:val="en-US"/>
              </w:rPr>
            </w:pPr>
          </w:p>
        </w:tc>
        <w:tc>
          <w:tcPr>
            <w:tcW w:w="1935" w:type="dxa"/>
            <w:gridSpan w:val="2"/>
            <w:tcBorders>
              <w:top w:val="nil"/>
              <w:bottom w:val="nil"/>
            </w:tcBorders>
          </w:tcPr>
          <w:p w14:paraId="1EBEB316" w14:textId="77777777" w:rsidR="00C362A5" w:rsidRPr="00713EDA" w:rsidRDefault="00C362A5" w:rsidP="000510CA">
            <w:pPr>
              <w:spacing w:after="40"/>
              <w:jc w:val="center"/>
              <w:rPr>
                <w:rFonts w:ascii="Times New Roman" w:hAnsi="Times New Roman"/>
                <w:sz w:val="20"/>
                <w:lang w:val="en-US"/>
              </w:rPr>
            </w:pPr>
          </w:p>
        </w:tc>
      </w:tr>
      <w:tr w:rsidR="00C362A5" w14:paraId="367ED193" w14:textId="77777777" w:rsidTr="00C362A5">
        <w:tc>
          <w:tcPr>
            <w:tcW w:w="3090" w:type="dxa"/>
            <w:tcBorders>
              <w:top w:val="nil"/>
              <w:bottom w:val="nil"/>
            </w:tcBorders>
          </w:tcPr>
          <w:p w14:paraId="4CE321A9" w14:textId="6A995BBA" w:rsidR="00C362A5" w:rsidRDefault="00DE0143" w:rsidP="000510CA">
            <w:pPr>
              <w:spacing w:after="40"/>
              <w:ind w:left="283"/>
              <w:rPr>
                <w:rFonts w:ascii="Times New Roman" w:hAnsi="Times New Roman"/>
                <w:sz w:val="20"/>
              </w:rPr>
            </w:pPr>
            <w:r>
              <w:rPr>
                <w:rFonts w:ascii="Times New Roman" w:hAnsi="Times New Roman"/>
                <w:sz w:val="20"/>
              </w:rPr>
              <w:t>Sports</w:t>
            </w:r>
            <w:r w:rsidR="00C362A5">
              <w:rPr>
                <w:rFonts w:ascii="Times New Roman" w:hAnsi="Times New Roman"/>
                <w:sz w:val="20"/>
              </w:rPr>
              <w:t xml:space="preserve"> </w:t>
            </w:r>
          </w:p>
        </w:tc>
        <w:tc>
          <w:tcPr>
            <w:tcW w:w="1695" w:type="dxa"/>
            <w:tcBorders>
              <w:top w:val="nil"/>
              <w:bottom w:val="nil"/>
            </w:tcBorders>
          </w:tcPr>
          <w:p w14:paraId="408F1F72" w14:textId="77777777" w:rsidR="00C362A5" w:rsidRDefault="00C362A5" w:rsidP="000510CA">
            <w:pPr>
              <w:spacing w:after="40"/>
              <w:jc w:val="center"/>
              <w:rPr>
                <w:rFonts w:ascii="Times New Roman" w:hAnsi="Times New Roman"/>
                <w:sz w:val="20"/>
              </w:rPr>
            </w:pPr>
            <w:r>
              <w:rPr>
                <w:rFonts w:ascii="Times New Roman" w:hAnsi="Times New Roman"/>
                <w:sz w:val="20"/>
              </w:rPr>
              <w:t>20 (43,48)</w:t>
            </w:r>
          </w:p>
        </w:tc>
        <w:tc>
          <w:tcPr>
            <w:tcW w:w="1815" w:type="dxa"/>
            <w:gridSpan w:val="2"/>
            <w:tcBorders>
              <w:top w:val="nil"/>
              <w:bottom w:val="nil"/>
            </w:tcBorders>
          </w:tcPr>
          <w:p w14:paraId="4DB62417" w14:textId="77777777" w:rsidR="00C362A5" w:rsidRDefault="00C362A5" w:rsidP="000510CA">
            <w:pPr>
              <w:spacing w:after="40"/>
              <w:jc w:val="center"/>
              <w:rPr>
                <w:rFonts w:ascii="Times New Roman" w:hAnsi="Times New Roman"/>
                <w:sz w:val="20"/>
              </w:rPr>
            </w:pPr>
            <w:r>
              <w:rPr>
                <w:rFonts w:ascii="Times New Roman" w:hAnsi="Times New Roman"/>
                <w:sz w:val="20"/>
              </w:rPr>
              <w:t>7 (14,58)</w:t>
            </w:r>
          </w:p>
        </w:tc>
        <w:tc>
          <w:tcPr>
            <w:tcW w:w="1935" w:type="dxa"/>
            <w:gridSpan w:val="2"/>
            <w:tcBorders>
              <w:top w:val="nil"/>
              <w:bottom w:val="nil"/>
            </w:tcBorders>
          </w:tcPr>
          <w:p w14:paraId="5F9371BA" w14:textId="77777777" w:rsidR="00C362A5" w:rsidRDefault="00C362A5" w:rsidP="000510CA">
            <w:pPr>
              <w:spacing w:after="40"/>
              <w:jc w:val="center"/>
              <w:rPr>
                <w:rFonts w:ascii="Times New Roman" w:hAnsi="Times New Roman"/>
                <w:sz w:val="20"/>
              </w:rPr>
            </w:pPr>
            <w:r>
              <w:rPr>
                <w:rFonts w:ascii="Times New Roman" w:hAnsi="Times New Roman"/>
                <w:sz w:val="20"/>
              </w:rPr>
              <w:t>27 (29,35)</w:t>
            </w:r>
          </w:p>
        </w:tc>
      </w:tr>
      <w:tr w:rsidR="00C362A5" w14:paraId="12549125" w14:textId="77777777" w:rsidTr="00C362A5">
        <w:tc>
          <w:tcPr>
            <w:tcW w:w="3090" w:type="dxa"/>
            <w:tcBorders>
              <w:top w:val="nil"/>
              <w:bottom w:val="nil"/>
            </w:tcBorders>
          </w:tcPr>
          <w:p w14:paraId="3A3AC88C" w14:textId="47DD8FB1" w:rsidR="00C362A5" w:rsidRDefault="00F34AA8" w:rsidP="000510CA">
            <w:pPr>
              <w:spacing w:after="40"/>
              <w:ind w:left="283"/>
              <w:rPr>
                <w:rFonts w:ascii="Times New Roman" w:hAnsi="Times New Roman"/>
                <w:sz w:val="20"/>
              </w:rPr>
            </w:pPr>
            <w:r>
              <w:rPr>
                <w:rFonts w:ascii="Times New Roman" w:hAnsi="Times New Roman"/>
                <w:sz w:val="20"/>
              </w:rPr>
              <w:t>Non</w:t>
            </w:r>
            <w:r w:rsidR="00AD298A">
              <w:rPr>
                <w:rFonts w:ascii="Times New Roman" w:hAnsi="Times New Roman"/>
                <w:sz w:val="20"/>
              </w:rPr>
              <w:t>-s</w:t>
            </w:r>
            <w:r>
              <w:rPr>
                <w:rFonts w:ascii="Times New Roman" w:hAnsi="Times New Roman"/>
                <w:sz w:val="20"/>
              </w:rPr>
              <w:t>port</w:t>
            </w:r>
          </w:p>
        </w:tc>
        <w:tc>
          <w:tcPr>
            <w:tcW w:w="1695" w:type="dxa"/>
            <w:tcBorders>
              <w:top w:val="nil"/>
              <w:bottom w:val="nil"/>
            </w:tcBorders>
          </w:tcPr>
          <w:p w14:paraId="7C2C7C05" w14:textId="77777777" w:rsidR="00C362A5" w:rsidRDefault="00C362A5" w:rsidP="000510CA">
            <w:pPr>
              <w:spacing w:after="40"/>
              <w:jc w:val="center"/>
              <w:rPr>
                <w:rFonts w:ascii="Times New Roman" w:hAnsi="Times New Roman"/>
                <w:sz w:val="20"/>
              </w:rPr>
            </w:pPr>
            <w:r>
              <w:rPr>
                <w:rFonts w:ascii="Times New Roman" w:hAnsi="Times New Roman"/>
                <w:sz w:val="20"/>
              </w:rPr>
              <w:t>10 (21,74)</w:t>
            </w:r>
          </w:p>
        </w:tc>
        <w:tc>
          <w:tcPr>
            <w:tcW w:w="1815" w:type="dxa"/>
            <w:gridSpan w:val="2"/>
            <w:tcBorders>
              <w:top w:val="nil"/>
              <w:bottom w:val="nil"/>
            </w:tcBorders>
          </w:tcPr>
          <w:p w14:paraId="519ED1DD" w14:textId="77777777" w:rsidR="00C362A5" w:rsidRDefault="00C362A5" w:rsidP="000510CA">
            <w:pPr>
              <w:spacing w:after="40"/>
              <w:jc w:val="center"/>
              <w:rPr>
                <w:rFonts w:ascii="Times New Roman" w:hAnsi="Times New Roman"/>
                <w:sz w:val="20"/>
              </w:rPr>
            </w:pPr>
            <w:r>
              <w:rPr>
                <w:rFonts w:ascii="Times New Roman" w:hAnsi="Times New Roman"/>
                <w:sz w:val="20"/>
              </w:rPr>
              <w:t>15 (31,25)</w:t>
            </w:r>
          </w:p>
        </w:tc>
        <w:tc>
          <w:tcPr>
            <w:tcW w:w="1935" w:type="dxa"/>
            <w:gridSpan w:val="2"/>
            <w:tcBorders>
              <w:top w:val="nil"/>
              <w:bottom w:val="nil"/>
            </w:tcBorders>
          </w:tcPr>
          <w:p w14:paraId="54E5E37A" w14:textId="77777777" w:rsidR="00C362A5" w:rsidRDefault="00C362A5" w:rsidP="000510CA">
            <w:pPr>
              <w:spacing w:after="40"/>
              <w:jc w:val="center"/>
              <w:rPr>
                <w:rFonts w:ascii="Times New Roman" w:hAnsi="Times New Roman"/>
                <w:sz w:val="20"/>
              </w:rPr>
            </w:pPr>
            <w:r>
              <w:rPr>
                <w:rFonts w:ascii="Times New Roman" w:hAnsi="Times New Roman"/>
                <w:sz w:val="20"/>
              </w:rPr>
              <w:t>25 (27,17)</w:t>
            </w:r>
          </w:p>
        </w:tc>
      </w:tr>
      <w:tr w:rsidR="00C362A5" w14:paraId="3647E4F9" w14:textId="77777777" w:rsidTr="00C362A5">
        <w:tc>
          <w:tcPr>
            <w:tcW w:w="3090" w:type="dxa"/>
            <w:tcBorders>
              <w:top w:val="nil"/>
              <w:bottom w:val="nil"/>
            </w:tcBorders>
          </w:tcPr>
          <w:p w14:paraId="5150F967" w14:textId="5DC9B45D" w:rsidR="00C362A5" w:rsidRDefault="00F34AA8" w:rsidP="000510CA">
            <w:pPr>
              <w:spacing w:after="40"/>
              <w:ind w:left="283"/>
              <w:rPr>
                <w:rFonts w:ascii="Times New Roman" w:hAnsi="Times New Roman"/>
                <w:sz w:val="20"/>
              </w:rPr>
            </w:pPr>
            <w:r>
              <w:rPr>
                <w:rFonts w:ascii="Times New Roman" w:hAnsi="Times New Roman"/>
                <w:sz w:val="20"/>
              </w:rPr>
              <w:t>Doesn</w:t>
            </w:r>
            <w:r w:rsidR="007C2A58">
              <w:rPr>
                <w:rFonts w:ascii="Times New Roman" w:hAnsi="Times New Roman"/>
                <w:sz w:val="20"/>
              </w:rPr>
              <w:t xml:space="preserve">’t </w:t>
            </w:r>
            <w:r w:rsidR="008A3ECB">
              <w:rPr>
                <w:rFonts w:ascii="Times New Roman" w:hAnsi="Times New Roman"/>
                <w:sz w:val="20"/>
              </w:rPr>
              <w:t>J</w:t>
            </w:r>
            <w:r w:rsidR="007C2A58">
              <w:rPr>
                <w:rFonts w:ascii="Times New Roman" w:hAnsi="Times New Roman"/>
                <w:sz w:val="20"/>
              </w:rPr>
              <w:t>oin</w:t>
            </w:r>
          </w:p>
        </w:tc>
        <w:tc>
          <w:tcPr>
            <w:tcW w:w="1695" w:type="dxa"/>
            <w:tcBorders>
              <w:top w:val="nil"/>
              <w:bottom w:val="nil"/>
            </w:tcBorders>
          </w:tcPr>
          <w:p w14:paraId="2A7CD0C4" w14:textId="77777777" w:rsidR="00C362A5" w:rsidRDefault="00C362A5" w:rsidP="000510CA">
            <w:pPr>
              <w:spacing w:after="40"/>
              <w:jc w:val="center"/>
              <w:rPr>
                <w:rFonts w:ascii="Times New Roman" w:hAnsi="Times New Roman"/>
                <w:sz w:val="20"/>
              </w:rPr>
            </w:pPr>
            <w:r>
              <w:rPr>
                <w:rFonts w:ascii="Times New Roman" w:hAnsi="Times New Roman"/>
                <w:sz w:val="20"/>
              </w:rPr>
              <w:t>16 (34,78)</w:t>
            </w:r>
          </w:p>
        </w:tc>
        <w:tc>
          <w:tcPr>
            <w:tcW w:w="1815" w:type="dxa"/>
            <w:gridSpan w:val="2"/>
            <w:tcBorders>
              <w:top w:val="nil"/>
              <w:bottom w:val="nil"/>
            </w:tcBorders>
          </w:tcPr>
          <w:p w14:paraId="1161BBB5" w14:textId="77777777" w:rsidR="00C362A5" w:rsidRDefault="00C362A5" w:rsidP="000510CA">
            <w:pPr>
              <w:spacing w:after="40"/>
              <w:jc w:val="center"/>
              <w:rPr>
                <w:rFonts w:ascii="Times New Roman" w:hAnsi="Times New Roman"/>
                <w:sz w:val="20"/>
              </w:rPr>
            </w:pPr>
            <w:r>
              <w:rPr>
                <w:rFonts w:ascii="Times New Roman" w:hAnsi="Times New Roman"/>
                <w:sz w:val="20"/>
              </w:rPr>
              <w:t>24 (50)</w:t>
            </w:r>
          </w:p>
        </w:tc>
        <w:tc>
          <w:tcPr>
            <w:tcW w:w="1935" w:type="dxa"/>
            <w:gridSpan w:val="2"/>
            <w:tcBorders>
              <w:top w:val="nil"/>
              <w:bottom w:val="nil"/>
            </w:tcBorders>
          </w:tcPr>
          <w:p w14:paraId="6D6AD3AF" w14:textId="77777777" w:rsidR="00C362A5" w:rsidRDefault="00C362A5" w:rsidP="000510CA">
            <w:pPr>
              <w:spacing w:after="40"/>
              <w:jc w:val="center"/>
              <w:rPr>
                <w:rFonts w:ascii="Times New Roman" w:hAnsi="Times New Roman"/>
                <w:sz w:val="20"/>
              </w:rPr>
            </w:pPr>
            <w:r>
              <w:rPr>
                <w:rFonts w:ascii="Times New Roman" w:hAnsi="Times New Roman"/>
                <w:sz w:val="20"/>
              </w:rPr>
              <w:t>40 (43,48)</w:t>
            </w:r>
          </w:p>
        </w:tc>
      </w:tr>
      <w:tr w:rsidR="00C362A5" w14:paraId="6EC77F25" w14:textId="77777777" w:rsidTr="00C362A5">
        <w:tc>
          <w:tcPr>
            <w:tcW w:w="3090" w:type="dxa"/>
            <w:tcBorders>
              <w:top w:val="nil"/>
              <w:bottom w:val="nil"/>
            </w:tcBorders>
          </w:tcPr>
          <w:p w14:paraId="7F27FCCB" w14:textId="2A043335" w:rsidR="00C362A5" w:rsidRPr="00254A95" w:rsidRDefault="00254A95" w:rsidP="000510CA">
            <w:pPr>
              <w:spacing w:after="40"/>
              <w:rPr>
                <w:rFonts w:ascii="Times New Roman" w:hAnsi="Times New Roman"/>
                <w:b/>
                <w:sz w:val="20"/>
              </w:rPr>
            </w:pPr>
            <w:r w:rsidRPr="00254A95">
              <w:rPr>
                <w:b/>
              </w:rPr>
              <w:t xml:space="preserve">Families with a </w:t>
            </w:r>
            <w:r>
              <w:rPr>
                <w:b/>
              </w:rPr>
              <w:t>H</w:t>
            </w:r>
            <w:r w:rsidRPr="00254A95">
              <w:rPr>
                <w:b/>
              </w:rPr>
              <w:t>istory of DM</w:t>
            </w:r>
            <w:r w:rsidR="00C362A5" w:rsidRPr="00254A95">
              <w:rPr>
                <w:rFonts w:ascii="Times New Roman" w:hAnsi="Times New Roman"/>
                <w:b/>
                <w:sz w:val="20"/>
              </w:rPr>
              <w:t xml:space="preserve"> </w:t>
            </w:r>
          </w:p>
        </w:tc>
        <w:tc>
          <w:tcPr>
            <w:tcW w:w="1695" w:type="dxa"/>
            <w:tcBorders>
              <w:top w:val="nil"/>
              <w:bottom w:val="nil"/>
            </w:tcBorders>
          </w:tcPr>
          <w:p w14:paraId="3C19FDDE" w14:textId="77777777" w:rsidR="00C362A5" w:rsidRDefault="00C362A5" w:rsidP="000510CA">
            <w:pPr>
              <w:spacing w:after="40"/>
              <w:jc w:val="center"/>
              <w:rPr>
                <w:rFonts w:ascii="Times New Roman" w:hAnsi="Times New Roman"/>
                <w:sz w:val="20"/>
              </w:rPr>
            </w:pPr>
          </w:p>
        </w:tc>
        <w:tc>
          <w:tcPr>
            <w:tcW w:w="1815" w:type="dxa"/>
            <w:gridSpan w:val="2"/>
            <w:tcBorders>
              <w:top w:val="nil"/>
              <w:bottom w:val="nil"/>
            </w:tcBorders>
          </w:tcPr>
          <w:p w14:paraId="4C2D0CE2" w14:textId="77777777" w:rsidR="00C362A5" w:rsidRDefault="00C362A5" w:rsidP="000510CA">
            <w:pPr>
              <w:spacing w:after="40"/>
              <w:jc w:val="center"/>
              <w:rPr>
                <w:rFonts w:ascii="Times New Roman" w:hAnsi="Times New Roman"/>
                <w:sz w:val="20"/>
              </w:rPr>
            </w:pPr>
          </w:p>
        </w:tc>
        <w:tc>
          <w:tcPr>
            <w:tcW w:w="1935" w:type="dxa"/>
            <w:gridSpan w:val="2"/>
            <w:tcBorders>
              <w:top w:val="nil"/>
              <w:bottom w:val="nil"/>
            </w:tcBorders>
          </w:tcPr>
          <w:p w14:paraId="77540EC4" w14:textId="77777777" w:rsidR="00C362A5" w:rsidRDefault="00C362A5" w:rsidP="000510CA">
            <w:pPr>
              <w:spacing w:after="40"/>
              <w:jc w:val="center"/>
              <w:rPr>
                <w:rFonts w:ascii="Times New Roman" w:hAnsi="Times New Roman"/>
                <w:sz w:val="20"/>
              </w:rPr>
            </w:pPr>
          </w:p>
        </w:tc>
      </w:tr>
      <w:tr w:rsidR="00C362A5" w14:paraId="570D9196" w14:textId="77777777" w:rsidTr="00C362A5">
        <w:tc>
          <w:tcPr>
            <w:tcW w:w="3090" w:type="dxa"/>
            <w:tcBorders>
              <w:top w:val="nil"/>
              <w:bottom w:val="nil"/>
            </w:tcBorders>
          </w:tcPr>
          <w:p w14:paraId="766597B6" w14:textId="6967483A" w:rsidR="00C362A5" w:rsidRDefault="008A3ECB" w:rsidP="000510CA">
            <w:pPr>
              <w:spacing w:after="40"/>
              <w:ind w:left="283"/>
              <w:rPr>
                <w:rFonts w:ascii="Times New Roman" w:hAnsi="Times New Roman"/>
                <w:sz w:val="20"/>
              </w:rPr>
            </w:pPr>
            <w:r>
              <w:rPr>
                <w:rFonts w:ascii="Times New Roman" w:hAnsi="Times New Roman"/>
                <w:sz w:val="20"/>
              </w:rPr>
              <w:t>Yes</w:t>
            </w:r>
          </w:p>
        </w:tc>
        <w:tc>
          <w:tcPr>
            <w:tcW w:w="1695" w:type="dxa"/>
            <w:tcBorders>
              <w:top w:val="nil"/>
              <w:bottom w:val="nil"/>
            </w:tcBorders>
          </w:tcPr>
          <w:p w14:paraId="327A2943" w14:textId="77777777" w:rsidR="00C362A5" w:rsidRDefault="00C362A5" w:rsidP="000510CA">
            <w:pPr>
              <w:spacing w:after="40"/>
              <w:jc w:val="center"/>
              <w:rPr>
                <w:rFonts w:ascii="Times New Roman" w:hAnsi="Times New Roman"/>
                <w:sz w:val="20"/>
              </w:rPr>
            </w:pPr>
            <w:r>
              <w:rPr>
                <w:rFonts w:ascii="Times New Roman" w:hAnsi="Times New Roman"/>
                <w:sz w:val="20"/>
              </w:rPr>
              <w:t>21 (45,65)</w:t>
            </w:r>
          </w:p>
        </w:tc>
        <w:tc>
          <w:tcPr>
            <w:tcW w:w="1815" w:type="dxa"/>
            <w:gridSpan w:val="2"/>
            <w:tcBorders>
              <w:top w:val="nil"/>
              <w:bottom w:val="nil"/>
            </w:tcBorders>
          </w:tcPr>
          <w:p w14:paraId="138DCAD5" w14:textId="77777777" w:rsidR="00C362A5" w:rsidRDefault="00C362A5" w:rsidP="000510CA">
            <w:pPr>
              <w:spacing w:after="40"/>
              <w:jc w:val="center"/>
              <w:rPr>
                <w:rFonts w:ascii="Times New Roman" w:hAnsi="Times New Roman"/>
                <w:sz w:val="20"/>
              </w:rPr>
            </w:pPr>
            <w:r>
              <w:rPr>
                <w:rFonts w:ascii="Times New Roman" w:hAnsi="Times New Roman"/>
                <w:sz w:val="20"/>
              </w:rPr>
              <w:t>18 (37,50)</w:t>
            </w:r>
          </w:p>
        </w:tc>
        <w:tc>
          <w:tcPr>
            <w:tcW w:w="1935" w:type="dxa"/>
            <w:gridSpan w:val="2"/>
            <w:tcBorders>
              <w:top w:val="nil"/>
              <w:bottom w:val="nil"/>
            </w:tcBorders>
          </w:tcPr>
          <w:p w14:paraId="41AAF88A" w14:textId="77777777" w:rsidR="00C362A5" w:rsidRDefault="00C362A5" w:rsidP="000510CA">
            <w:pPr>
              <w:spacing w:after="40"/>
              <w:jc w:val="center"/>
              <w:rPr>
                <w:rFonts w:ascii="Times New Roman" w:hAnsi="Times New Roman"/>
                <w:sz w:val="20"/>
              </w:rPr>
            </w:pPr>
            <w:r>
              <w:rPr>
                <w:rFonts w:ascii="Times New Roman" w:hAnsi="Times New Roman"/>
                <w:sz w:val="20"/>
              </w:rPr>
              <w:t>39 (42,39)</w:t>
            </w:r>
          </w:p>
        </w:tc>
      </w:tr>
      <w:tr w:rsidR="00C362A5" w14:paraId="1DFFBC7D" w14:textId="77777777" w:rsidTr="00C362A5">
        <w:tc>
          <w:tcPr>
            <w:tcW w:w="3090" w:type="dxa"/>
            <w:tcBorders>
              <w:top w:val="nil"/>
              <w:bottom w:val="nil"/>
            </w:tcBorders>
          </w:tcPr>
          <w:p w14:paraId="3E96FDF6" w14:textId="5CAB2DAB" w:rsidR="00C362A5" w:rsidRDefault="008A3ECB" w:rsidP="000510CA">
            <w:pPr>
              <w:spacing w:after="40"/>
              <w:ind w:left="283"/>
              <w:rPr>
                <w:rFonts w:ascii="Times New Roman" w:hAnsi="Times New Roman"/>
                <w:sz w:val="20"/>
              </w:rPr>
            </w:pPr>
            <w:r>
              <w:rPr>
                <w:rFonts w:ascii="Times New Roman" w:hAnsi="Times New Roman"/>
                <w:sz w:val="20"/>
              </w:rPr>
              <w:t>No</w:t>
            </w:r>
          </w:p>
        </w:tc>
        <w:tc>
          <w:tcPr>
            <w:tcW w:w="1695" w:type="dxa"/>
            <w:tcBorders>
              <w:top w:val="nil"/>
              <w:bottom w:val="nil"/>
            </w:tcBorders>
          </w:tcPr>
          <w:p w14:paraId="4199915F" w14:textId="77777777" w:rsidR="00C362A5" w:rsidRDefault="00C362A5" w:rsidP="000510CA">
            <w:pPr>
              <w:spacing w:after="40"/>
              <w:jc w:val="center"/>
              <w:rPr>
                <w:rFonts w:ascii="Times New Roman" w:hAnsi="Times New Roman"/>
                <w:sz w:val="20"/>
              </w:rPr>
            </w:pPr>
            <w:r>
              <w:rPr>
                <w:rFonts w:ascii="Times New Roman" w:hAnsi="Times New Roman"/>
                <w:sz w:val="20"/>
              </w:rPr>
              <w:t>18 (54,35)</w:t>
            </w:r>
          </w:p>
        </w:tc>
        <w:tc>
          <w:tcPr>
            <w:tcW w:w="1815" w:type="dxa"/>
            <w:gridSpan w:val="2"/>
            <w:tcBorders>
              <w:top w:val="nil"/>
              <w:bottom w:val="nil"/>
            </w:tcBorders>
          </w:tcPr>
          <w:p w14:paraId="3B6ABC88" w14:textId="77777777" w:rsidR="00C362A5" w:rsidRDefault="00C362A5" w:rsidP="000510CA">
            <w:pPr>
              <w:spacing w:after="40"/>
              <w:jc w:val="center"/>
              <w:rPr>
                <w:rFonts w:ascii="Times New Roman" w:hAnsi="Times New Roman"/>
                <w:sz w:val="20"/>
              </w:rPr>
            </w:pPr>
            <w:r>
              <w:rPr>
                <w:rFonts w:ascii="Times New Roman" w:hAnsi="Times New Roman"/>
                <w:sz w:val="20"/>
              </w:rPr>
              <w:t>28 (58,33)</w:t>
            </w:r>
          </w:p>
        </w:tc>
        <w:tc>
          <w:tcPr>
            <w:tcW w:w="1935" w:type="dxa"/>
            <w:gridSpan w:val="2"/>
            <w:tcBorders>
              <w:top w:val="nil"/>
              <w:bottom w:val="nil"/>
            </w:tcBorders>
          </w:tcPr>
          <w:p w14:paraId="08CF9124" w14:textId="77777777" w:rsidR="00C362A5" w:rsidRDefault="00C362A5" w:rsidP="000510CA">
            <w:pPr>
              <w:spacing w:after="40"/>
              <w:jc w:val="center"/>
              <w:rPr>
                <w:rFonts w:ascii="Times New Roman" w:hAnsi="Times New Roman"/>
                <w:sz w:val="20"/>
              </w:rPr>
            </w:pPr>
            <w:r>
              <w:rPr>
                <w:rFonts w:ascii="Times New Roman" w:hAnsi="Times New Roman"/>
                <w:sz w:val="20"/>
              </w:rPr>
              <w:t>46 (50,00)</w:t>
            </w:r>
          </w:p>
        </w:tc>
      </w:tr>
      <w:tr w:rsidR="00C362A5" w14:paraId="146881CA" w14:textId="77777777" w:rsidTr="00C362A5">
        <w:tc>
          <w:tcPr>
            <w:tcW w:w="3090" w:type="dxa"/>
            <w:tcBorders>
              <w:top w:val="nil"/>
              <w:bottom w:val="nil"/>
            </w:tcBorders>
          </w:tcPr>
          <w:p w14:paraId="76EED9E7" w14:textId="0918A5A5" w:rsidR="00C362A5" w:rsidRDefault="008A3ECB" w:rsidP="000510CA">
            <w:pPr>
              <w:spacing w:after="40"/>
              <w:rPr>
                <w:rFonts w:ascii="Times New Roman" w:hAnsi="Times New Roman"/>
                <w:b/>
                <w:sz w:val="20"/>
              </w:rPr>
            </w:pPr>
            <w:r>
              <w:rPr>
                <w:rFonts w:ascii="Times New Roman" w:hAnsi="Times New Roman"/>
                <w:b/>
                <w:sz w:val="20"/>
              </w:rPr>
              <w:t>Smoking Status</w:t>
            </w:r>
          </w:p>
        </w:tc>
        <w:tc>
          <w:tcPr>
            <w:tcW w:w="1695" w:type="dxa"/>
            <w:tcBorders>
              <w:top w:val="nil"/>
              <w:bottom w:val="nil"/>
            </w:tcBorders>
          </w:tcPr>
          <w:p w14:paraId="442A7299" w14:textId="77777777" w:rsidR="00C362A5" w:rsidRDefault="00C362A5" w:rsidP="000510CA">
            <w:pPr>
              <w:spacing w:after="40"/>
              <w:jc w:val="center"/>
              <w:rPr>
                <w:rFonts w:ascii="Times New Roman" w:hAnsi="Times New Roman"/>
                <w:sz w:val="20"/>
              </w:rPr>
            </w:pPr>
          </w:p>
        </w:tc>
        <w:tc>
          <w:tcPr>
            <w:tcW w:w="1815" w:type="dxa"/>
            <w:gridSpan w:val="2"/>
            <w:tcBorders>
              <w:top w:val="nil"/>
              <w:bottom w:val="nil"/>
            </w:tcBorders>
          </w:tcPr>
          <w:p w14:paraId="2B7B1ED7" w14:textId="77777777" w:rsidR="00C362A5" w:rsidRDefault="00C362A5" w:rsidP="000510CA">
            <w:pPr>
              <w:spacing w:after="40"/>
              <w:jc w:val="center"/>
              <w:rPr>
                <w:rFonts w:ascii="Times New Roman" w:hAnsi="Times New Roman"/>
                <w:sz w:val="20"/>
              </w:rPr>
            </w:pPr>
          </w:p>
        </w:tc>
        <w:tc>
          <w:tcPr>
            <w:tcW w:w="1935" w:type="dxa"/>
            <w:gridSpan w:val="2"/>
            <w:tcBorders>
              <w:top w:val="nil"/>
              <w:bottom w:val="nil"/>
            </w:tcBorders>
          </w:tcPr>
          <w:p w14:paraId="2D5AEDFB" w14:textId="77777777" w:rsidR="00C362A5" w:rsidRDefault="00C362A5" w:rsidP="000510CA">
            <w:pPr>
              <w:spacing w:after="40"/>
              <w:jc w:val="center"/>
              <w:rPr>
                <w:rFonts w:ascii="Times New Roman" w:hAnsi="Times New Roman"/>
                <w:sz w:val="20"/>
              </w:rPr>
            </w:pPr>
          </w:p>
        </w:tc>
      </w:tr>
      <w:tr w:rsidR="00C362A5" w14:paraId="3A1C0A69" w14:textId="77777777" w:rsidTr="00C362A5">
        <w:tc>
          <w:tcPr>
            <w:tcW w:w="3090" w:type="dxa"/>
            <w:tcBorders>
              <w:top w:val="nil"/>
              <w:bottom w:val="nil"/>
            </w:tcBorders>
          </w:tcPr>
          <w:p w14:paraId="0847E06D" w14:textId="66AB48D8" w:rsidR="00C362A5" w:rsidRDefault="00C362A5" w:rsidP="000510CA">
            <w:pPr>
              <w:spacing w:after="40"/>
              <w:ind w:left="283"/>
              <w:rPr>
                <w:rFonts w:ascii="Times New Roman" w:hAnsi="Times New Roman"/>
                <w:sz w:val="20"/>
              </w:rPr>
            </w:pPr>
            <w:r>
              <w:rPr>
                <w:rFonts w:ascii="Times New Roman" w:hAnsi="Times New Roman"/>
                <w:sz w:val="20"/>
              </w:rPr>
              <w:t>Y</w:t>
            </w:r>
            <w:r w:rsidR="00713EDA">
              <w:rPr>
                <w:rFonts w:ascii="Times New Roman" w:hAnsi="Times New Roman"/>
                <w:sz w:val="20"/>
              </w:rPr>
              <w:t>es</w:t>
            </w:r>
          </w:p>
        </w:tc>
        <w:tc>
          <w:tcPr>
            <w:tcW w:w="1695" w:type="dxa"/>
            <w:tcBorders>
              <w:top w:val="nil"/>
              <w:bottom w:val="nil"/>
            </w:tcBorders>
          </w:tcPr>
          <w:p w14:paraId="4879785C" w14:textId="77777777" w:rsidR="00C362A5" w:rsidRDefault="00C362A5" w:rsidP="000510CA">
            <w:pPr>
              <w:spacing w:after="40"/>
              <w:jc w:val="center"/>
              <w:rPr>
                <w:rFonts w:ascii="Times New Roman" w:hAnsi="Times New Roman"/>
                <w:sz w:val="20"/>
              </w:rPr>
            </w:pPr>
            <w:r>
              <w:rPr>
                <w:rFonts w:ascii="Times New Roman" w:hAnsi="Times New Roman"/>
                <w:sz w:val="20"/>
              </w:rPr>
              <w:t>1 (2,17)</w:t>
            </w:r>
          </w:p>
        </w:tc>
        <w:tc>
          <w:tcPr>
            <w:tcW w:w="1815" w:type="dxa"/>
            <w:gridSpan w:val="2"/>
            <w:tcBorders>
              <w:top w:val="nil"/>
              <w:bottom w:val="nil"/>
            </w:tcBorders>
          </w:tcPr>
          <w:p w14:paraId="770B3530" w14:textId="77777777" w:rsidR="00C362A5" w:rsidRDefault="00C362A5" w:rsidP="000510CA">
            <w:pPr>
              <w:spacing w:after="40"/>
              <w:jc w:val="center"/>
              <w:rPr>
                <w:rFonts w:ascii="Times New Roman" w:hAnsi="Times New Roman"/>
                <w:sz w:val="20"/>
              </w:rPr>
            </w:pPr>
            <w:r>
              <w:rPr>
                <w:rFonts w:ascii="Times New Roman" w:hAnsi="Times New Roman"/>
                <w:sz w:val="20"/>
              </w:rPr>
              <w:t>0 (0)</w:t>
            </w:r>
          </w:p>
        </w:tc>
        <w:tc>
          <w:tcPr>
            <w:tcW w:w="1935" w:type="dxa"/>
            <w:gridSpan w:val="2"/>
            <w:tcBorders>
              <w:top w:val="nil"/>
              <w:bottom w:val="nil"/>
            </w:tcBorders>
          </w:tcPr>
          <w:p w14:paraId="0404757E" w14:textId="77777777" w:rsidR="00C362A5" w:rsidRDefault="00C362A5" w:rsidP="000510CA">
            <w:pPr>
              <w:spacing w:after="40"/>
              <w:jc w:val="center"/>
              <w:rPr>
                <w:rFonts w:ascii="Times New Roman" w:hAnsi="Times New Roman"/>
                <w:sz w:val="20"/>
              </w:rPr>
            </w:pPr>
            <w:r>
              <w:rPr>
                <w:rFonts w:ascii="Times New Roman" w:hAnsi="Times New Roman"/>
                <w:sz w:val="20"/>
              </w:rPr>
              <w:t>1 (1,09)</w:t>
            </w:r>
          </w:p>
        </w:tc>
      </w:tr>
      <w:tr w:rsidR="00C362A5" w14:paraId="7A1C02C6" w14:textId="77777777" w:rsidTr="00C362A5">
        <w:tc>
          <w:tcPr>
            <w:tcW w:w="3090" w:type="dxa"/>
            <w:tcBorders>
              <w:top w:val="nil"/>
              <w:bottom w:val="nil"/>
            </w:tcBorders>
          </w:tcPr>
          <w:p w14:paraId="60C83B5B" w14:textId="6B2FFCA6" w:rsidR="00C362A5" w:rsidRDefault="00713EDA" w:rsidP="000510CA">
            <w:pPr>
              <w:spacing w:after="40"/>
              <w:ind w:left="283"/>
              <w:rPr>
                <w:rFonts w:ascii="Times New Roman" w:hAnsi="Times New Roman"/>
                <w:sz w:val="20"/>
              </w:rPr>
            </w:pPr>
            <w:r>
              <w:rPr>
                <w:rFonts w:ascii="Times New Roman" w:hAnsi="Times New Roman"/>
                <w:sz w:val="20"/>
              </w:rPr>
              <w:t>No</w:t>
            </w:r>
          </w:p>
        </w:tc>
        <w:tc>
          <w:tcPr>
            <w:tcW w:w="1695" w:type="dxa"/>
            <w:tcBorders>
              <w:top w:val="nil"/>
              <w:bottom w:val="nil"/>
            </w:tcBorders>
          </w:tcPr>
          <w:p w14:paraId="7C99EA65" w14:textId="77777777" w:rsidR="00C362A5" w:rsidRDefault="00C362A5" w:rsidP="000510CA">
            <w:pPr>
              <w:spacing w:after="40"/>
              <w:jc w:val="center"/>
              <w:rPr>
                <w:rFonts w:ascii="Times New Roman" w:hAnsi="Times New Roman"/>
                <w:sz w:val="20"/>
              </w:rPr>
            </w:pPr>
            <w:r>
              <w:rPr>
                <w:rFonts w:ascii="Times New Roman" w:hAnsi="Times New Roman"/>
                <w:sz w:val="20"/>
              </w:rPr>
              <w:t>45 (97,83)</w:t>
            </w:r>
          </w:p>
        </w:tc>
        <w:tc>
          <w:tcPr>
            <w:tcW w:w="1815" w:type="dxa"/>
            <w:gridSpan w:val="2"/>
            <w:tcBorders>
              <w:top w:val="nil"/>
              <w:bottom w:val="nil"/>
            </w:tcBorders>
          </w:tcPr>
          <w:p w14:paraId="37C22AD0" w14:textId="77777777" w:rsidR="00C362A5" w:rsidRDefault="00C362A5" w:rsidP="000510CA">
            <w:pPr>
              <w:spacing w:after="40"/>
              <w:jc w:val="center"/>
              <w:rPr>
                <w:rFonts w:ascii="Times New Roman" w:hAnsi="Times New Roman"/>
                <w:sz w:val="20"/>
              </w:rPr>
            </w:pPr>
            <w:r>
              <w:rPr>
                <w:rFonts w:ascii="Times New Roman" w:hAnsi="Times New Roman"/>
                <w:sz w:val="20"/>
              </w:rPr>
              <w:t>46 (100)</w:t>
            </w:r>
          </w:p>
        </w:tc>
        <w:tc>
          <w:tcPr>
            <w:tcW w:w="1935" w:type="dxa"/>
            <w:gridSpan w:val="2"/>
            <w:tcBorders>
              <w:top w:val="nil"/>
              <w:bottom w:val="nil"/>
            </w:tcBorders>
          </w:tcPr>
          <w:p w14:paraId="2EF14CCC" w14:textId="77777777" w:rsidR="00C362A5" w:rsidRDefault="00C362A5" w:rsidP="000510CA">
            <w:pPr>
              <w:spacing w:after="40"/>
              <w:jc w:val="center"/>
              <w:rPr>
                <w:rFonts w:ascii="Times New Roman" w:hAnsi="Times New Roman"/>
                <w:sz w:val="20"/>
              </w:rPr>
            </w:pPr>
            <w:r>
              <w:rPr>
                <w:rFonts w:ascii="Times New Roman" w:hAnsi="Times New Roman"/>
                <w:sz w:val="20"/>
              </w:rPr>
              <w:t>91 (98,91)</w:t>
            </w:r>
          </w:p>
        </w:tc>
      </w:tr>
      <w:tr w:rsidR="00C362A5" w14:paraId="190C0CA1" w14:textId="77777777" w:rsidTr="00C362A5">
        <w:tc>
          <w:tcPr>
            <w:tcW w:w="3090" w:type="dxa"/>
            <w:tcBorders>
              <w:top w:val="nil"/>
              <w:bottom w:val="nil"/>
            </w:tcBorders>
          </w:tcPr>
          <w:p w14:paraId="1FA36FE0" w14:textId="1350847C" w:rsidR="00C362A5" w:rsidRDefault="008A3ECB" w:rsidP="000510CA">
            <w:pPr>
              <w:spacing w:after="40"/>
              <w:rPr>
                <w:rFonts w:ascii="Times New Roman" w:hAnsi="Times New Roman"/>
                <w:b/>
                <w:sz w:val="20"/>
              </w:rPr>
            </w:pPr>
            <w:r>
              <w:rPr>
                <w:rFonts w:ascii="Times New Roman" w:hAnsi="Times New Roman"/>
                <w:b/>
                <w:sz w:val="20"/>
              </w:rPr>
              <w:t>Sleeping duration</w:t>
            </w:r>
          </w:p>
        </w:tc>
        <w:tc>
          <w:tcPr>
            <w:tcW w:w="1695" w:type="dxa"/>
            <w:tcBorders>
              <w:top w:val="nil"/>
              <w:bottom w:val="nil"/>
            </w:tcBorders>
          </w:tcPr>
          <w:p w14:paraId="5C07A749" w14:textId="77777777" w:rsidR="00C362A5" w:rsidRDefault="00C362A5" w:rsidP="000510CA">
            <w:pPr>
              <w:spacing w:after="40"/>
              <w:jc w:val="center"/>
              <w:rPr>
                <w:rFonts w:ascii="Times New Roman" w:hAnsi="Times New Roman"/>
                <w:sz w:val="20"/>
              </w:rPr>
            </w:pPr>
          </w:p>
        </w:tc>
        <w:tc>
          <w:tcPr>
            <w:tcW w:w="1815" w:type="dxa"/>
            <w:gridSpan w:val="2"/>
            <w:tcBorders>
              <w:top w:val="nil"/>
              <w:bottom w:val="nil"/>
            </w:tcBorders>
          </w:tcPr>
          <w:p w14:paraId="2CA97D3A" w14:textId="77777777" w:rsidR="00C362A5" w:rsidRDefault="00C362A5" w:rsidP="000510CA">
            <w:pPr>
              <w:spacing w:after="40"/>
              <w:jc w:val="center"/>
              <w:rPr>
                <w:rFonts w:ascii="Times New Roman" w:hAnsi="Times New Roman"/>
                <w:sz w:val="20"/>
              </w:rPr>
            </w:pPr>
          </w:p>
        </w:tc>
        <w:tc>
          <w:tcPr>
            <w:tcW w:w="1935" w:type="dxa"/>
            <w:gridSpan w:val="2"/>
            <w:tcBorders>
              <w:top w:val="nil"/>
              <w:bottom w:val="nil"/>
            </w:tcBorders>
          </w:tcPr>
          <w:p w14:paraId="7D35EE83" w14:textId="77777777" w:rsidR="00C362A5" w:rsidRDefault="00C362A5" w:rsidP="000510CA">
            <w:pPr>
              <w:spacing w:after="40"/>
              <w:jc w:val="center"/>
              <w:rPr>
                <w:rFonts w:ascii="Times New Roman" w:hAnsi="Times New Roman"/>
                <w:sz w:val="20"/>
              </w:rPr>
            </w:pPr>
          </w:p>
        </w:tc>
      </w:tr>
      <w:tr w:rsidR="00C362A5" w14:paraId="6C4D8144" w14:textId="77777777" w:rsidTr="00C362A5">
        <w:tc>
          <w:tcPr>
            <w:tcW w:w="3090" w:type="dxa"/>
            <w:tcBorders>
              <w:top w:val="nil"/>
              <w:bottom w:val="nil"/>
            </w:tcBorders>
          </w:tcPr>
          <w:p w14:paraId="7E4D4BD5" w14:textId="75937B60" w:rsidR="00C362A5" w:rsidRDefault="00C362A5" w:rsidP="000510CA">
            <w:pPr>
              <w:spacing w:after="40"/>
              <w:ind w:left="283"/>
              <w:rPr>
                <w:rFonts w:ascii="Times New Roman" w:hAnsi="Times New Roman"/>
                <w:sz w:val="20"/>
              </w:rPr>
            </w:pPr>
            <w:r>
              <w:rPr>
                <w:rFonts w:ascii="Times New Roman" w:hAnsi="Times New Roman"/>
                <w:sz w:val="20"/>
              </w:rPr>
              <w:t xml:space="preserve">0-3 </w:t>
            </w:r>
            <w:r w:rsidR="008A3ECB">
              <w:rPr>
                <w:rFonts w:ascii="Times New Roman" w:hAnsi="Times New Roman"/>
                <w:sz w:val="20"/>
              </w:rPr>
              <w:t>hours</w:t>
            </w:r>
            <w:r>
              <w:rPr>
                <w:rFonts w:ascii="Times New Roman" w:hAnsi="Times New Roman"/>
                <w:sz w:val="20"/>
              </w:rPr>
              <w:t xml:space="preserve"> </w:t>
            </w:r>
          </w:p>
        </w:tc>
        <w:tc>
          <w:tcPr>
            <w:tcW w:w="1695" w:type="dxa"/>
            <w:tcBorders>
              <w:top w:val="nil"/>
              <w:bottom w:val="nil"/>
            </w:tcBorders>
          </w:tcPr>
          <w:p w14:paraId="7663384A" w14:textId="77777777" w:rsidR="00C362A5" w:rsidRDefault="00C362A5" w:rsidP="000510CA">
            <w:pPr>
              <w:spacing w:after="40"/>
              <w:jc w:val="center"/>
              <w:rPr>
                <w:rFonts w:ascii="Times New Roman" w:hAnsi="Times New Roman"/>
                <w:sz w:val="20"/>
              </w:rPr>
            </w:pPr>
            <w:r>
              <w:rPr>
                <w:rFonts w:ascii="Times New Roman" w:hAnsi="Times New Roman"/>
                <w:sz w:val="20"/>
              </w:rPr>
              <w:t>0 (0)</w:t>
            </w:r>
          </w:p>
        </w:tc>
        <w:tc>
          <w:tcPr>
            <w:tcW w:w="1815" w:type="dxa"/>
            <w:gridSpan w:val="2"/>
            <w:tcBorders>
              <w:top w:val="nil"/>
              <w:bottom w:val="nil"/>
            </w:tcBorders>
          </w:tcPr>
          <w:p w14:paraId="57737048" w14:textId="77777777" w:rsidR="00C362A5" w:rsidRDefault="00C362A5" w:rsidP="000510CA">
            <w:pPr>
              <w:spacing w:after="40"/>
              <w:jc w:val="center"/>
              <w:rPr>
                <w:rFonts w:ascii="Times New Roman" w:hAnsi="Times New Roman"/>
                <w:sz w:val="20"/>
              </w:rPr>
            </w:pPr>
            <w:r>
              <w:rPr>
                <w:rFonts w:ascii="Times New Roman" w:hAnsi="Times New Roman"/>
                <w:sz w:val="20"/>
              </w:rPr>
              <w:t>1 (2,01)</w:t>
            </w:r>
          </w:p>
        </w:tc>
        <w:tc>
          <w:tcPr>
            <w:tcW w:w="1935" w:type="dxa"/>
            <w:gridSpan w:val="2"/>
            <w:tcBorders>
              <w:top w:val="nil"/>
              <w:bottom w:val="nil"/>
            </w:tcBorders>
          </w:tcPr>
          <w:p w14:paraId="02A76EAC" w14:textId="77777777" w:rsidR="00C362A5" w:rsidRDefault="00C362A5" w:rsidP="000510CA">
            <w:pPr>
              <w:spacing w:after="40"/>
              <w:jc w:val="center"/>
              <w:rPr>
                <w:rFonts w:ascii="Times New Roman" w:hAnsi="Times New Roman"/>
                <w:sz w:val="20"/>
              </w:rPr>
            </w:pPr>
            <w:r>
              <w:rPr>
                <w:rFonts w:ascii="Times New Roman" w:hAnsi="Times New Roman"/>
                <w:sz w:val="20"/>
              </w:rPr>
              <w:t>1 (1,09)</w:t>
            </w:r>
          </w:p>
        </w:tc>
      </w:tr>
      <w:tr w:rsidR="00C362A5" w14:paraId="458A3B46" w14:textId="77777777" w:rsidTr="00C362A5">
        <w:tc>
          <w:tcPr>
            <w:tcW w:w="3090" w:type="dxa"/>
            <w:tcBorders>
              <w:top w:val="nil"/>
              <w:bottom w:val="nil"/>
            </w:tcBorders>
          </w:tcPr>
          <w:p w14:paraId="7465042A" w14:textId="3A503640" w:rsidR="00C362A5" w:rsidRDefault="00C362A5" w:rsidP="000510CA">
            <w:pPr>
              <w:spacing w:after="40"/>
              <w:ind w:left="283"/>
              <w:rPr>
                <w:rFonts w:ascii="Times New Roman" w:hAnsi="Times New Roman"/>
                <w:sz w:val="20"/>
              </w:rPr>
            </w:pPr>
            <w:r>
              <w:rPr>
                <w:rFonts w:ascii="Times New Roman" w:hAnsi="Times New Roman"/>
                <w:sz w:val="20"/>
              </w:rPr>
              <w:t xml:space="preserve">4-6 </w:t>
            </w:r>
            <w:r w:rsidR="008A3ECB">
              <w:rPr>
                <w:rFonts w:ascii="Times New Roman" w:hAnsi="Times New Roman"/>
                <w:sz w:val="20"/>
              </w:rPr>
              <w:t>hours</w:t>
            </w:r>
            <w:r>
              <w:rPr>
                <w:rFonts w:ascii="Times New Roman" w:hAnsi="Times New Roman"/>
                <w:sz w:val="20"/>
              </w:rPr>
              <w:t xml:space="preserve"> </w:t>
            </w:r>
          </w:p>
        </w:tc>
        <w:tc>
          <w:tcPr>
            <w:tcW w:w="1695" w:type="dxa"/>
            <w:tcBorders>
              <w:top w:val="nil"/>
              <w:bottom w:val="nil"/>
            </w:tcBorders>
          </w:tcPr>
          <w:p w14:paraId="625DB6C4" w14:textId="77777777" w:rsidR="00C362A5" w:rsidRDefault="00C362A5" w:rsidP="000510CA">
            <w:pPr>
              <w:spacing w:after="40"/>
              <w:jc w:val="center"/>
              <w:rPr>
                <w:rFonts w:ascii="Times New Roman" w:hAnsi="Times New Roman"/>
                <w:sz w:val="20"/>
              </w:rPr>
            </w:pPr>
            <w:r>
              <w:rPr>
                <w:rFonts w:ascii="Times New Roman" w:hAnsi="Times New Roman"/>
                <w:sz w:val="20"/>
              </w:rPr>
              <w:t>29 (63,04)</w:t>
            </w:r>
          </w:p>
        </w:tc>
        <w:tc>
          <w:tcPr>
            <w:tcW w:w="1815" w:type="dxa"/>
            <w:gridSpan w:val="2"/>
            <w:tcBorders>
              <w:top w:val="nil"/>
              <w:bottom w:val="nil"/>
            </w:tcBorders>
          </w:tcPr>
          <w:p w14:paraId="4039729E" w14:textId="77777777" w:rsidR="00C362A5" w:rsidRDefault="00C362A5" w:rsidP="000510CA">
            <w:pPr>
              <w:spacing w:after="40"/>
              <w:jc w:val="center"/>
              <w:rPr>
                <w:rFonts w:ascii="Times New Roman" w:hAnsi="Times New Roman"/>
                <w:sz w:val="20"/>
              </w:rPr>
            </w:pPr>
            <w:r>
              <w:rPr>
                <w:rFonts w:ascii="Times New Roman" w:hAnsi="Times New Roman"/>
                <w:sz w:val="20"/>
              </w:rPr>
              <w:t>28 (58,33)</w:t>
            </w:r>
          </w:p>
        </w:tc>
        <w:tc>
          <w:tcPr>
            <w:tcW w:w="1935" w:type="dxa"/>
            <w:gridSpan w:val="2"/>
            <w:tcBorders>
              <w:top w:val="nil"/>
              <w:bottom w:val="nil"/>
            </w:tcBorders>
          </w:tcPr>
          <w:p w14:paraId="76EEE313" w14:textId="77777777" w:rsidR="00C362A5" w:rsidRDefault="00C362A5" w:rsidP="000510CA">
            <w:pPr>
              <w:spacing w:after="40"/>
              <w:jc w:val="center"/>
              <w:rPr>
                <w:rFonts w:ascii="Times New Roman" w:hAnsi="Times New Roman"/>
                <w:sz w:val="20"/>
              </w:rPr>
            </w:pPr>
            <w:r>
              <w:rPr>
                <w:rFonts w:ascii="Times New Roman" w:hAnsi="Times New Roman"/>
                <w:sz w:val="20"/>
              </w:rPr>
              <w:t>57 (61,96)</w:t>
            </w:r>
          </w:p>
        </w:tc>
      </w:tr>
      <w:tr w:rsidR="00C362A5" w14:paraId="062A2162" w14:textId="77777777" w:rsidTr="00C362A5">
        <w:tc>
          <w:tcPr>
            <w:tcW w:w="3090" w:type="dxa"/>
            <w:tcBorders>
              <w:top w:val="nil"/>
              <w:bottom w:val="single" w:sz="4" w:space="0" w:color="000000"/>
            </w:tcBorders>
          </w:tcPr>
          <w:p w14:paraId="6310D182" w14:textId="5431319E" w:rsidR="00C362A5" w:rsidRDefault="00C362A5" w:rsidP="000510CA">
            <w:pPr>
              <w:spacing w:after="40"/>
              <w:ind w:left="283"/>
              <w:rPr>
                <w:rFonts w:ascii="Times New Roman" w:hAnsi="Times New Roman"/>
                <w:sz w:val="20"/>
              </w:rPr>
            </w:pPr>
            <w:r>
              <w:rPr>
                <w:rFonts w:ascii="Times New Roman" w:hAnsi="Times New Roman"/>
                <w:sz w:val="20"/>
              </w:rPr>
              <w:t xml:space="preserve">7-9 </w:t>
            </w:r>
            <w:r w:rsidR="008A3ECB">
              <w:rPr>
                <w:rFonts w:ascii="Times New Roman" w:hAnsi="Times New Roman"/>
                <w:sz w:val="20"/>
              </w:rPr>
              <w:t>hours</w:t>
            </w:r>
          </w:p>
        </w:tc>
        <w:tc>
          <w:tcPr>
            <w:tcW w:w="1695" w:type="dxa"/>
            <w:tcBorders>
              <w:top w:val="nil"/>
              <w:bottom w:val="single" w:sz="4" w:space="0" w:color="000000"/>
            </w:tcBorders>
          </w:tcPr>
          <w:p w14:paraId="17424358" w14:textId="77777777" w:rsidR="00C362A5" w:rsidRDefault="00C362A5" w:rsidP="000510CA">
            <w:pPr>
              <w:spacing w:after="40"/>
              <w:jc w:val="center"/>
              <w:rPr>
                <w:rFonts w:ascii="Times New Roman" w:hAnsi="Times New Roman"/>
                <w:sz w:val="20"/>
              </w:rPr>
            </w:pPr>
            <w:r>
              <w:rPr>
                <w:rFonts w:ascii="Times New Roman" w:hAnsi="Times New Roman"/>
                <w:sz w:val="20"/>
              </w:rPr>
              <w:t>17 (39,13)</w:t>
            </w:r>
          </w:p>
        </w:tc>
        <w:tc>
          <w:tcPr>
            <w:tcW w:w="1815" w:type="dxa"/>
            <w:gridSpan w:val="2"/>
            <w:tcBorders>
              <w:top w:val="nil"/>
              <w:bottom w:val="single" w:sz="4" w:space="0" w:color="000000"/>
            </w:tcBorders>
          </w:tcPr>
          <w:p w14:paraId="641E35A6" w14:textId="77777777" w:rsidR="00C362A5" w:rsidRDefault="00C362A5" w:rsidP="000510CA">
            <w:pPr>
              <w:spacing w:after="40"/>
              <w:jc w:val="center"/>
              <w:rPr>
                <w:rFonts w:ascii="Times New Roman" w:hAnsi="Times New Roman"/>
                <w:sz w:val="20"/>
              </w:rPr>
            </w:pPr>
            <w:r>
              <w:rPr>
                <w:rFonts w:ascii="Times New Roman" w:hAnsi="Times New Roman"/>
                <w:sz w:val="20"/>
              </w:rPr>
              <w:t>19 (39,58)</w:t>
            </w:r>
          </w:p>
        </w:tc>
        <w:tc>
          <w:tcPr>
            <w:tcW w:w="1935" w:type="dxa"/>
            <w:gridSpan w:val="2"/>
            <w:tcBorders>
              <w:top w:val="nil"/>
              <w:bottom w:val="single" w:sz="4" w:space="0" w:color="000000"/>
            </w:tcBorders>
          </w:tcPr>
          <w:p w14:paraId="75FD015C" w14:textId="77777777" w:rsidR="00C362A5" w:rsidRDefault="00C362A5" w:rsidP="000510CA">
            <w:pPr>
              <w:spacing w:after="40"/>
              <w:jc w:val="center"/>
              <w:rPr>
                <w:rFonts w:ascii="Times New Roman" w:hAnsi="Times New Roman"/>
                <w:sz w:val="20"/>
              </w:rPr>
            </w:pPr>
            <w:r>
              <w:rPr>
                <w:rFonts w:ascii="Times New Roman" w:hAnsi="Times New Roman"/>
                <w:sz w:val="20"/>
              </w:rPr>
              <w:t>36 (39,13)</w:t>
            </w:r>
          </w:p>
        </w:tc>
      </w:tr>
    </w:tbl>
    <w:p w14:paraId="07A67297" w14:textId="77777777" w:rsidR="00C362A5" w:rsidRPr="00C362A5" w:rsidRDefault="00C362A5" w:rsidP="00C362A5">
      <w:pPr>
        <w:pStyle w:val="BodytextIndented"/>
        <w:rPr>
          <w:lang w:val="en-GB"/>
        </w:rPr>
      </w:pPr>
    </w:p>
    <w:p w14:paraId="41C3A2E0" w14:textId="094C39FA" w:rsidR="00A0223A" w:rsidRDefault="00A0223A" w:rsidP="00A0223A">
      <w:pPr>
        <w:pStyle w:val="Bodytext"/>
        <w:rPr>
          <w:lang w:val="en-GB"/>
        </w:rPr>
      </w:pPr>
    </w:p>
    <w:p w14:paraId="4C58F40D" w14:textId="0E205181" w:rsidR="00A0223A" w:rsidRPr="00A0223A" w:rsidRDefault="00ED65A0" w:rsidP="00322CF9">
      <w:pPr>
        <w:pStyle w:val="BodytextIndented"/>
        <w:jc w:val="center"/>
        <w:rPr>
          <w:lang w:val="en-GB"/>
        </w:rPr>
      </w:pPr>
      <w:r>
        <w:rPr>
          <w:rFonts w:ascii="Times New Roman" w:hAnsi="Times New Roman"/>
          <w:noProof/>
          <w:sz w:val="24"/>
          <w:szCs w:val="24"/>
        </w:rPr>
        <w:lastRenderedPageBreak/>
        <w:drawing>
          <wp:inline distT="114300" distB="114300" distL="114300" distR="114300" wp14:anchorId="08E36FF3" wp14:editId="0E58D145">
            <wp:extent cx="4713786" cy="2338571"/>
            <wp:effectExtent l="0" t="0" r="0" b="0"/>
            <wp:docPr id="6" name="image10.png"/>
            <wp:cNvGraphicFramePr/>
            <a:graphic xmlns:a="http://schemas.openxmlformats.org/drawingml/2006/main">
              <a:graphicData uri="http://schemas.openxmlformats.org/drawingml/2006/picture">
                <pic:pic xmlns:pic="http://schemas.openxmlformats.org/drawingml/2006/picture">
                  <pic:nvPicPr>
                    <pic:cNvPr id="6" name="image10.png"/>
                    <pic:cNvPicPr preferRelativeResize="0"/>
                  </pic:nvPicPr>
                  <pic:blipFill>
                    <a:blip r:embed="rId11"/>
                    <a:srcRect/>
                    <a:stretch>
                      <a:fillRect/>
                    </a:stretch>
                  </pic:blipFill>
                  <pic:spPr>
                    <a:xfrm>
                      <a:off x="0" y="0"/>
                      <a:ext cx="4739233" cy="2351196"/>
                    </a:xfrm>
                    <a:prstGeom prst="rect">
                      <a:avLst/>
                    </a:prstGeom>
                  </pic:spPr>
                </pic:pic>
              </a:graphicData>
            </a:graphic>
          </wp:inline>
        </w:drawing>
      </w:r>
    </w:p>
    <w:p w14:paraId="0960F99B" w14:textId="77777777" w:rsidR="00322CF9" w:rsidRDefault="00322CF9" w:rsidP="00ED65A0">
      <w:pPr>
        <w:pStyle w:val="Section"/>
        <w:numPr>
          <w:ilvl w:val="0"/>
          <w:numId w:val="0"/>
        </w:numPr>
        <w:spacing w:before="0"/>
        <w:jc w:val="center"/>
        <w:rPr>
          <w:rFonts w:ascii="Times New Roman" w:hAnsi="Times New Roman"/>
        </w:rPr>
      </w:pPr>
    </w:p>
    <w:p w14:paraId="20CBCDF9" w14:textId="5ED4161B" w:rsidR="00ED65A0" w:rsidRPr="00AD298A" w:rsidRDefault="00ED65A0" w:rsidP="00ED65A0">
      <w:pPr>
        <w:pStyle w:val="Section"/>
        <w:numPr>
          <w:ilvl w:val="0"/>
          <w:numId w:val="0"/>
        </w:numPr>
        <w:spacing w:before="0"/>
        <w:jc w:val="center"/>
        <w:rPr>
          <w:rFonts w:ascii="Times New Roman" w:hAnsi="Times New Roman"/>
        </w:rPr>
      </w:pPr>
      <w:r w:rsidRPr="00AD298A">
        <w:rPr>
          <w:rFonts w:ascii="Times New Roman" w:hAnsi="Times New Roman"/>
        </w:rPr>
        <w:t xml:space="preserve">Figure 1. </w:t>
      </w:r>
      <w:r w:rsidR="00AD298A" w:rsidRPr="00512A4D">
        <w:rPr>
          <w:rFonts w:ascii="Times New Roman" w:hAnsi="Times New Roman"/>
          <w:b w:val="0"/>
          <w:bCs/>
        </w:rPr>
        <w:t xml:space="preserve">Distribution of </w:t>
      </w:r>
      <w:proofErr w:type="spellStart"/>
      <w:r w:rsidR="00AD298A" w:rsidRPr="00512A4D">
        <w:rPr>
          <w:rFonts w:ascii="Times New Roman" w:hAnsi="Times New Roman"/>
          <w:b w:val="0"/>
          <w:bCs/>
        </w:rPr>
        <w:t>prospensity</w:t>
      </w:r>
      <w:proofErr w:type="spellEnd"/>
      <w:r w:rsidR="00AD298A" w:rsidRPr="00512A4D">
        <w:rPr>
          <w:rFonts w:ascii="Times New Roman" w:hAnsi="Times New Roman"/>
          <w:b w:val="0"/>
          <w:bCs/>
        </w:rPr>
        <w:t xml:space="preserve"> scores</w:t>
      </w:r>
    </w:p>
    <w:p w14:paraId="0A8A6F08" w14:textId="77777777" w:rsidR="00ED65A0" w:rsidRPr="00ED65A0" w:rsidRDefault="00ED65A0" w:rsidP="00ED65A0">
      <w:pPr>
        <w:pStyle w:val="Bodytext"/>
        <w:rPr>
          <w:lang w:val="en-GB"/>
        </w:rPr>
      </w:pPr>
    </w:p>
    <w:p w14:paraId="39F8D01D" w14:textId="4D8FE6EF" w:rsidR="00DB2CFC" w:rsidRDefault="00DB2CFC" w:rsidP="00FB0DEE">
      <w:pPr>
        <w:pStyle w:val="Section"/>
        <w:numPr>
          <w:ilvl w:val="0"/>
          <w:numId w:val="0"/>
        </w:numPr>
        <w:spacing w:before="0"/>
        <w:jc w:val="both"/>
        <w:rPr>
          <w:b w:val="0"/>
          <w:bCs/>
        </w:rPr>
      </w:pPr>
      <w:r w:rsidRPr="00556F61">
        <w:rPr>
          <w:b w:val="0"/>
          <w:bCs/>
        </w:rPr>
        <w:t>Respondents are dominated by females with 20 - 21 years of age with normal IMT category and sleep time duration within a day of 4- 6 hours, followed by 7- 9 hours. No respondents with a smoking habit in the intervention group, while there is a percentage of 2.17% in the lecture education group. Respondents’ families with a history of DM are 42.39% of the total respondents, with a similar composition between the lecture group (45.65%) and the Instagram group (37.5%). 56.52% of the respondents were participating in students’ activities unit, 29.35% were participating in sports activities such as futsal, Wushu, swimming, etc., while 27.17% were participating in non-sports activities, such as cooking, Chinese corner, Ma Chung Music Club, dance, and vocal group.</w:t>
      </w:r>
    </w:p>
    <w:p w14:paraId="249B2EC6" w14:textId="77777777" w:rsidR="00193070" w:rsidRPr="00193070" w:rsidRDefault="00193070" w:rsidP="00193070">
      <w:pPr>
        <w:pStyle w:val="Bodytext"/>
        <w:rPr>
          <w:lang w:val="en-GB"/>
        </w:rPr>
      </w:pPr>
    </w:p>
    <w:p w14:paraId="03CEE165" w14:textId="5AB76168" w:rsidR="00193070" w:rsidRDefault="00B2321E" w:rsidP="00B2321E">
      <w:pPr>
        <w:pStyle w:val="Bodytext"/>
        <w:jc w:val="center"/>
        <w:rPr>
          <w:rFonts w:ascii="Times New Roman" w:hAnsi="Times New Roman"/>
          <w:b/>
          <w:bCs/>
        </w:rPr>
      </w:pPr>
      <w:proofErr w:type="spellStart"/>
      <w:r w:rsidRPr="00B2321E">
        <w:rPr>
          <w:rFonts w:ascii="Times New Roman" w:hAnsi="Times New Roman"/>
          <w:b/>
          <w:bCs/>
        </w:rPr>
        <w:t>Tabel</w:t>
      </w:r>
      <w:proofErr w:type="spellEnd"/>
      <w:r w:rsidRPr="00B2321E">
        <w:rPr>
          <w:rFonts w:ascii="Times New Roman" w:hAnsi="Times New Roman"/>
          <w:b/>
          <w:bCs/>
        </w:rPr>
        <w:t xml:space="preserve"> 2. Relationship between outcome variable within covariates</w:t>
      </w:r>
    </w:p>
    <w:p w14:paraId="4820B9CF" w14:textId="77777777" w:rsidR="00D3744B" w:rsidRPr="00D3744B" w:rsidRDefault="00D3744B" w:rsidP="00D3744B">
      <w:pPr>
        <w:pStyle w:val="BodytextIndented"/>
      </w:pPr>
    </w:p>
    <w:tbl>
      <w:tblPr>
        <w:tblW w:w="892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4A0" w:firstRow="1" w:lastRow="0" w:firstColumn="1" w:lastColumn="0" w:noHBand="0" w:noVBand="1"/>
      </w:tblPr>
      <w:tblGrid>
        <w:gridCol w:w="1650"/>
        <w:gridCol w:w="2220"/>
        <w:gridCol w:w="1293"/>
        <w:gridCol w:w="1590"/>
        <w:gridCol w:w="1410"/>
        <w:gridCol w:w="765"/>
      </w:tblGrid>
      <w:tr w:rsidR="00D3744B" w14:paraId="7A261FBD" w14:textId="77777777" w:rsidTr="0061183F">
        <w:trPr>
          <w:trHeight w:val="285"/>
          <w:jc w:val="center"/>
        </w:trPr>
        <w:tc>
          <w:tcPr>
            <w:tcW w:w="1650"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180EE8EC" w14:textId="77777777" w:rsidR="00193070" w:rsidRDefault="00193070" w:rsidP="0061183F">
            <w:pPr>
              <w:widowControl w:val="0"/>
              <w:jc w:val="center"/>
              <w:rPr>
                <w:rFonts w:ascii="Times New Roman" w:hAnsi="Times New Roman"/>
                <w:sz w:val="20"/>
              </w:rPr>
            </w:pPr>
            <w:r>
              <w:rPr>
                <w:rFonts w:ascii="Times New Roman" w:hAnsi="Times New Roman"/>
                <w:sz w:val="20"/>
              </w:rPr>
              <w:t>Outcome variable</w:t>
            </w:r>
          </w:p>
        </w:tc>
        <w:tc>
          <w:tcPr>
            <w:tcW w:w="2220"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0F0A5A56" w14:textId="77777777" w:rsidR="00193070" w:rsidRDefault="00193070" w:rsidP="0061183F">
            <w:pPr>
              <w:widowControl w:val="0"/>
              <w:jc w:val="center"/>
              <w:rPr>
                <w:rFonts w:ascii="Times New Roman" w:hAnsi="Times New Roman"/>
                <w:sz w:val="20"/>
              </w:rPr>
            </w:pPr>
            <w:r>
              <w:rPr>
                <w:rFonts w:ascii="Times New Roman" w:hAnsi="Times New Roman"/>
                <w:sz w:val="20"/>
              </w:rPr>
              <w:t>Factor</w:t>
            </w:r>
          </w:p>
        </w:tc>
        <w:tc>
          <w:tcPr>
            <w:tcW w:w="1290"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1B385C5A" w14:textId="77777777" w:rsidR="00193070" w:rsidRDefault="00193070" w:rsidP="0061183F">
            <w:pPr>
              <w:widowControl w:val="0"/>
              <w:jc w:val="center"/>
              <w:rPr>
                <w:rFonts w:ascii="Times New Roman" w:hAnsi="Times New Roman"/>
                <w:sz w:val="20"/>
              </w:rPr>
            </w:pPr>
            <w:r>
              <w:rPr>
                <w:rFonts w:ascii="Times New Roman" w:hAnsi="Times New Roman"/>
                <w:sz w:val="20"/>
              </w:rPr>
              <w:t>Coefficient</w:t>
            </w:r>
          </w:p>
        </w:tc>
        <w:tc>
          <w:tcPr>
            <w:tcW w:w="1590"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5C3BAAA1" w14:textId="77777777" w:rsidR="00193070" w:rsidRDefault="00193070" w:rsidP="0061183F">
            <w:pPr>
              <w:widowControl w:val="0"/>
              <w:jc w:val="center"/>
              <w:rPr>
                <w:rFonts w:ascii="Times New Roman" w:hAnsi="Times New Roman"/>
                <w:sz w:val="20"/>
              </w:rPr>
            </w:pPr>
            <w:r>
              <w:rPr>
                <w:rFonts w:ascii="Times New Roman" w:hAnsi="Times New Roman"/>
                <w:sz w:val="20"/>
              </w:rPr>
              <w:t>Lower 95% CI</w:t>
            </w:r>
          </w:p>
        </w:tc>
        <w:tc>
          <w:tcPr>
            <w:tcW w:w="1410"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780DDCB1" w14:textId="77777777" w:rsidR="00193070" w:rsidRDefault="00193070" w:rsidP="0061183F">
            <w:pPr>
              <w:widowControl w:val="0"/>
              <w:jc w:val="center"/>
              <w:rPr>
                <w:rFonts w:ascii="Times New Roman" w:hAnsi="Times New Roman"/>
                <w:sz w:val="20"/>
              </w:rPr>
            </w:pPr>
            <w:r>
              <w:rPr>
                <w:rFonts w:ascii="Times New Roman" w:hAnsi="Times New Roman"/>
                <w:sz w:val="20"/>
              </w:rPr>
              <w:t>Upper 95% CI</w:t>
            </w:r>
          </w:p>
        </w:tc>
        <w:tc>
          <w:tcPr>
            <w:tcW w:w="765"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46D87C52" w14:textId="77777777" w:rsidR="00193070" w:rsidRDefault="00193070" w:rsidP="0061183F">
            <w:pPr>
              <w:widowControl w:val="0"/>
              <w:jc w:val="center"/>
              <w:rPr>
                <w:rFonts w:ascii="Times New Roman" w:hAnsi="Times New Roman"/>
                <w:sz w:val="20"/>
              </w:rPr>
            </w:pPr>
            <w:r>
              <w:rPr>
                <w:rFonts w:ascii="Times New Roman" w:hAnsi="Times New Roman"/>
                <w:sz w:val="20"/>
              </w:rPr>
              <w:t>p</w:t>
            </w:r>
          </w:p>
        </w:tc>
      </w:tr>
      <w:tr w:rsidR="00D3744B" w14:paraId="291616BB" w14:textId="77777777" w:rsidTr="0061183F">
        <w:trPr>
          <w:trHeight w:val="71"/>
          <w:jc w:val="center"/>
        </w:trPr>
        <w:tc>
          <w:tcPr>
            <w:tcW w:w="1650" w:type="dxa"/>
            <w:tcBorders>
              <w:top w:val="nil"/>
              <w:left w:val="nil"/>
              <w:bottom w:val="single" w:sz="8" w:space="0" w:color="000000" w:themeColor="text1"/>
              <w:right w:val="nil"/>
            </w:tcBorders>
            <w:tcMar>
              <w:top w:w="100" w:type="dxa"/>
              <w:left w:w="100" w:type="dxa"/>
              <w:bottom w:w="100" w:type="dxa"/>
              <w:right w:w="100" w:type="dxa"/>
            </w:tcMar>
          </w:tcPr>
          <w:p w14:paraId="239CA094" w14:textId="77777777" w:rsidR="00193070" w:rsidRDefault="00193070" w:rsidP="0061183F">
            <w:pPr>
              <w:widowControl w:val="0"/>
              <w:jc w:val="both"/>
              <w:rPr>
                <w:rFonts w:ascii="Times New Roman" w:hAnsi="Times New Roman"/>
                <w:sz w:val="20"/>
              </w:rPr>
            </w:pPr>
            <w:r>
              <w:rPr>
                <w:rFonts w:ascii="Times New Roman" w:hAnsi="Times New Roman"/>
                <w:b/>
                <w:sz w:val="20"/>
              </w:rPr>
              <w:t xml:space="preserve"> I. Food Intake</w:t>
            </w:r>
          </w:p>
        </w:tc>
        <w:tc>
          <w:tcPr>
            <w:tcW w:w="2220" w:type="dxa"/>
            <w:tcBorders>
              <w:top w:val="nil"/>
              <w:left w:val="nil"/>
              <w:bottom w:val="single" w:sz="8" w:space="0" w:color="000000" w:themeColor="text1"/>
              <w:right w:val="nil"/>
            </w:tcBorders>
            <w:tcMar>
              <w:top w:w="100" w:type="dxa"/>
              <w:left w:w="100" w:type="dxa"/>
              <w:bottom w:w="100" w:type="dxa"/>
              <w:right w:w="100" w:type="dxa"/>
            </w:tcMar>
          </w:tcPr>
          <w:p w14:paraId="4AC91E9D" w14:textId="77777777" w:rsidR="00193070" w:rsidRDefault="00193070" w:rsidP="0061183F">
            <w:pPr>
              <w:widowControl w:val="0"/>
              <w:rPr>
                <w:rFonts w:ascii="Times New Roman" w:hAnsi="Times New Roman"/>
                <w:sz w:val="20"/>
              </w:rPr>
            </w:pPr>
            <w:r>
              <w:rPr>
                <w:rFonts w:ascii="Times New Roman" w:hAnsi="Times New Roman"/>
                <w:sz w:val="20"/>
              </w:rPr>
              <w:t xml:space="preserve"> </w:t>
            </w:r>
          </w:p>
        </w:tc>
        <w:tc>
          <w:tcPr>
            <w:tcW w:w="1290" w:type="dxa"/>
            <w:tcBorders>
              <w:top w:val="nil"/>
              <w:left w:val="nil"/>
              <w:bottom w:val="single" w:sz="8" w:space="0" w:color="000000" w:themeColor="text1"/>
              <w:right w:val="nil"/>
            </w:tcBorders>
            <w:tcMar>
              <w:top w:w="100" w:type="dxa"/>
              <w:left w:w="100" w:type="dxa"/>
              <w:bottom w:w="100" w:type="dxa"/>
              <w:right w:w="100" w:type="dxa"/>
            </w:tcMar>
          </w:tcPr>
          <w:p w14:paraId="20A84680" w14:textId="77777777" w:rsidR="00193070" w:rsidRDefault="00193070" w:rsidP="0061183F">
            <w:pPr>
              <w:widowControl w:val="0"/>
              <w:jc w:val="right"/>
              <w:rPr>
                <w:rFonts w:ascii="Times New Roman" w:hAnsi="Times New Roman"/>
                <w:sz w:val="20"/>
              </w:rPr>
            </w:pPr>
            <w:r>
              <w:rPr>
                <w:rFonts w:ascii="Times New Roman" w:hAnsi="Times New Roman"/>
                <w:sz w:val="20"/>
              </w:rPr>
              <w:t xml:space="preserve"> </w:t>
            </w:r>
          </w:p>
        </w:tc>
        <w:tc>
          <w:tcPr>
            <w:tcW w:w="1590" w:type="dxa"/>
            <w:tcBorders>
              <w:top w:val="nil"/>
              <w:left w:val="nil"/>
              <w:bottom w:val="single" w:sz="8" w:space="0" w:color="000000" w:themeColor="text1"/>
              <w:right w:val="nil"/>
            </w:tcBorders>
            <w:tcMar>
              <w:top w:w="100" w:type="dxa"/>
              <w:left w:w="100" w:type="dxa"/>
              <w:bottom w:w="100" w:type="dxa"/>
              <w:right w:w="100" w:type="dxa"/>
            </w:tcMar>
          </w:tcPr>
          <w:p w14:paraId="72A571B1" w14:textId="77777777" w:rsidR="00193070" w:rsidRDefault="00193070" w:rsidP="0061183F">
            <w:pPr>
              <w:widowControl w:val="0"/>
              <w:jc w:val="right"/>
              <w:rPr>
                <w:rFonts w:ascii="Times New Roman" w:hAnsi="Times New Roman"/>
                <w:sz w:val="20"/>
              </w:rPr>
            </w:pPr>
            <w:r>
              <w:rPr>
                <w:rFonts w:ascii="Times New Roman" w:hAnsi="Times New Roman"/>
                <w:sz w:val="20"/>
              </w:rPr>
              <w:t xml:space="preserve"> </w:t>
            </w:r>
          </w:p>
        </w:tc>
        <w:tc>
          <w:tcPr>
            <w:tcW w:w="1410" w:type="dxa"/>
            <w:tcBorders>
              <w:top w:val="nil"/>
              <w:left w:val="nil"/>
              <w:bottom w:val="single" w:sz="8" w:space="0" w:color="000000" w:themeColor="text1"/>
              <w:right w:val="nil"/>
            </w:tcBorders>
            <w:tcMar>
              <w:top w:w="100" w:type="dxa"/>
              <w:left w:w="100" w:type="dxa"/>
              <w:bottom w:w="100" w:type="dxa"/>
              <w:right w:w="100" w:type="dxa"/>
            </w:tcMar>
          </w:tcPr>
          <w:p w14:paraId="5007814B" w14:textId="77777777" w:rsidR="00193070" w:rsidRDefault="00193070" w:rsidP="0061183F">
            <w:pPr>
              <w:widowControl w:val="0"/>
              <w:jc w:val="right"/>
              <w:rPr>
                <w:rFonts w:ascii="Times New Roman" w:hAnsi="Times New Roman"/>
                <w:sz w:val="20"/>
              </w:rPr>
            </w:pPr>
            <w:r>
              <w:rPr>
                <w:rFonts w:ascii="Times New Roman" w:hAnsi="Times New Roman"/>
                <w:sz w:val="20"/>
              </w:rPr>
              <w:t xml:space="preserve"> </w:t>
            </w:r>
          </w:p>
        </w:tc>
        <w:tc>
          <w:tcPr>
            <w:tcW w:w="765" w:type="dxa"/>
            <w:tcBorders>
              <w:top w:val="nil"/>
              <w:left w:val="nil"/>
              <w:bottom w:val="single" w:sz="8" w:space="0" w:color="000000" w:themeColor="text1"/>
              <w:right w:val="nil"/>
            </w:tcBorders>
            <w:tcMar>
              <w:top w:w="100" w:type="dxa"/>
              <w:left w:w="100" w:type="dxa"/>
              <w:bottom w:w="100" w:type="dxa"/>
              <w:right w:w="100" w:type="dxa"/>
            </w:tcMar>
          </w:tcPr>
          <w:p w14:paraId="4AF80CF6" w14:textId="77777777" w:rsidR="00193070" w:rsidRDefault="00193070" w:rsidP="0061183F">
            <w:pPr>
              <w:widowControl w:val="0"/>
              <w:jc w:val="right"/>
              <w:rPr>
                <w:rFonts w:ascii="Times New Roman" w:hAnsi="Times New Roman"/>
                <w:sz w:val="20"/>
              </w:rPr>
            </w:pPr>
            <w:r>
              <w:rPr>
                <w:rFonts w:ascii="Times New Roman" w:hAnsi="Times New Roman"/>
                <w:sz w:val="20"/>
              </w:rPr>
              <w:t xml:space="preserve"> </w:t>
            </w:r>
          </w:p>
        </w:tc>
      </w:tr>
      <w:tr w:rsidR="00D3744B" w14:paraId="50232469" w14:textId="77777777" w:rsidTr="0061183F">
        <w:trPr>
          <w:trHeight w:val="159"/>
          <w:jc w:val="center"/>
        </w:trPr>
        <w:tc>
          <w:tcPr>
            <w:tcW w:w="1650"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4F72C3D9" w14:textId="77777777" w:rsidR="00193070" w:rsidRDefault="00193070" w:rsidP="0061183F">
            <w:pPr>
              <w:widowControl w:val="0"/>
              <w:jc w:val="center"/>
              <w:rPr>
                <w:rFonts w:ascii="Times New Roman" w:hAnsi="Times New Roman"/>
                <w:sz w:val="20"/>
              </w:rPr>
            </w:pPr>
            <w:r>
              <w:rPr>
                <w:rFonts w:ascii="Times New Roman" w:hAnsi="Times New Roman"/>
                <w:sz w:val="20"/>
              </w:rPr>
              <w:t>Carbohydrates</w:t>
            </w:r>
          </w:p>
        </w:tc>
        <w:tc>
          <w:tcPr>
            <w:tcW w:w="2220"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00D0335A" w14:textId="77777777" w:rsidR="00193070" w:rsidRPr="001933CA" w:rsidRDefault="00193070" w:rsidP="0061183F">
            <w:pPr>
              <w:widowControl w:val="0"/>
              <w:rPr>
                <w:rFonts w:ascii="Times New Roman" w:hAnsi="Times New Roman"/>
                <w:i/>
                <w:sz w:val="20"/>
                <w:lang w:val="en-US"/>
              </w:rPr>
            </w:pPr>
            <w:r>
              <w:rPr>
                <w:rFonts w:ascii="Times New Roman" w:hAnsi="Times New Roman"/>
                <w:sz w:val="20"/>
              </w:rPr>
              <w:t>Sleep duration for 4 - 6 hours</w:t>
            </w:r>
          </w:p>
        </w:tc>
        <w:tc>
          <w:tcPr>
            <w:tcW w:w="1290"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4E4EBD2A" w14:textId="77777777" w:rsidR="00193070" w:rsidRDefault="00193070" w:rsidP="0061183F">
            <w:pPr>
              <w:widowControl w:val="0"/>
              <w:jc w:val="right"/>
              <w:rPr>
                <w:rFonts w:ascii="Times New Roman" w:hAnsi="Times New Roman"/>
                <w:sz w:val="20"/>
              </w:rPr>
            </w:pPr>
            <w:r>
              <w:rPr>
                <w:rFonts w:ascii="Times New Roman" w:hAnsi="Times New Roman"/>
                <w:sz w:val="20"/>
              </w:rPr>
              <w:t>-9.195</w:t>
            </w:r>
          </w:p>
        </w:tc>
        <w:tc>
          <w:tcPr>
            <w:tcW w:w="1590"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3DBBDA50" w14:textId="77777777" w:rsidR="00193070" w:rsidRDefault="00193070" w:rsidP="0061183F">
            <w:pPr>
              <w:widowControl w:val="0"/>
              <w:jc w:val="right"/>
              <w:rPr>
                <w:rFonts w:ascii="Times New Roman" w:hAnsi="Times New Roman"/>
                <w:sz w:val="20"/>
              </w:rPr>
            </w:pPr>
            <w:r>
              <w:rPr>
                <w:rFonts w:ascii="Times New Roman" w:hAnsi="Times New Roman"/>
                <w:sz w:val="20"/>
              </w:rPr>
              <w:t>-17.781</w:t>
            </w:r>
          </w:p>
        </w:tc>
        <w:tc>
          <w:tcPr>
            <w:tcW w:w="1410"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6AB2FD23" w14:textId="77777777" w:rsidR="00193070" w:rsidRDefault="00193070" w:rsidP="0061183F">
            <w:pPr>
              <w:widowControl w:val="0"/>
              <w:jc w:val="right"/>
              <w:rPr>
                <w:rFonts w:ascii="Times New Roman" w:hAnsi="Times New Roman"/>
                <w:sz w:val="20"/>
              </w:rPr>
            </w:pPr>
            <w:r>
              <w:rPr>
                <w:rFonts w:ascii="Times New Roman" w:hAnsi="Times New Roman"/>
                <w:sz w:val="20"/>
              </w:rPr>
              <w:t>-0.609</w:t>
            </w:r>
          </w:p>
        </w:tc>
        <w:tc>
          <w:tcPr>
            <w:tcW w:w="765"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6FA60BE4" w14:textId="77777777" w:rsidR="00193070" w:rsidRDefault="00193070" w:rsidP="0061183F">
            <w:pPr>
              <w:widowControl w:val="0"/>
              <w:jc w:val="right"/>
              <w:rPr>
                <w:rFonts w:ascii="Times New Roman" w:hAnsi="Times New Roman"/>
                <w:sz w:val="20"/>
              </w:rPr>
            </w:pPr>
            <w:r>
              <w:rPr>
                <w:rFonts w:ascii="Times New Roman" w:hAnsi="Times New Roman"/>
                <w:sz w:val="20"/>
              </w:rPr>
              <w:t>0.036</w:t>
            </w:r>
          </w:p>
        </w:tc>
      </w:tr>
      <w:tr w:rsidR="00D3744B" w14:paraId="1407D7AA" w14:textId="77777777" w:rsidTr="00D3744B">
        <w:trPr>
          <w:trHeight w:val="240"/>
          <w:jc w:val="center"/>
        </w:trPr>
        <w:tc>
          <w:tcPr>
            <w:tcW w:w="1650"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6F38B046" w14:textId="77777777" w:rsidR="00193070" w:rsidRDefault="00193070" w:rsidP="0061183F">
            <w:pPr>
              <w:widowControl w:val="0"/>
              <w:jc w:val="center"/>
              <w:rPr>
                <w:rFonts w:ascii="Times New Roman" w:hAnsi="Times New Roman"/>
                <w:sz w:val="20"/>
              </w:rPr>
            </w:pPr>
            <w:r>
              <w:rPr>
                <w:rFonts w:ascii="Times New Roman" w:hAnsi="Times New Roman"/>
                <w:sz w:val="20"/>
              </w:rPr>
              <w:t>Nuts and beans</w:t>
            </w:r>
          </w:p>
        </w:tc>
        <w:tc>
          <w:tcPr>
            <w:tcW w:w="2220"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6CCF6F5A" w14:textId="77777777" w:rsidR="00193070" w:rsidRDefault="00193070" w:rsidP="0061183F">
            <w:pPr>
              <w:widowControl w:val="0"/>
              <w:rPr>
                <w:rFonts w:ascii="Times New Roman" w:hAnsi="Times New Roman"/>
                <w:sz w:val="20"/>
              </w:rPr>
            </w:pPr>
            <w:r>
              <w:rPr>
                <w:rFonts w:ascii="Times New Roman" w:hAnsi="Times New Roman"/>
                <w:sz w:val="20"/>
              </w:rPr>
              <w:t>Underweight</w:t>
            </w:r>
          </w:p>
        </w:tc>
        <w:tc>
          <w:tcPr>
            <w:tcW w:w="1290"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6CEFCEB2" w14:textId="77777777" w:rsidR="00193070" w:rsidRDefault="00193070" w:rsidP="0061183F">
            <w:pPr>
              <w:widowControl w:val="0"/>
              <w:jc w:val="right"/>
              <w:rPr>
                <w:rFonts w:ascii="Times New Roman" w:hAnsi="Times New Roman"/>
                <w:sz w:val="20"/>
              </w:rPr>
            </w:pPr>
            <w:r>
              <w:rPr>
                <w:rFonts w:ascii="Times New Roman" w:hAnsi="Times New Roman"/>
                <w:sz w:val="20"/>
              </w:rPr>
              <w:t>1.905</w:t>
            </w:r>
          </w:p>
        </w:tc>
        <w:tc>
          <w:tcPr>
            <w:tcW w:w="1590"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46D97E5F" w14:textId="77777777" w:rsidR="00193070" w:rsidRDefault="00193070" w:rsidP="0061183F">
            <w:pPr>
              <w:widowControl w:val="0"/>
              <w:jc w:val="right"/>
              <w:rPr>
                <w:rFonts w:ascii="Times New Roman" w:hAnsi="Times New Roman"/>
                <w:sz w:val="20"/>
              </w:rPr>
            </w:pPr>
            <w:r>
              <w:rPr>
                <w:rFonts w:ascii="Times New Roman" w:hAnsi="Times New Roman"/>
                <w:sz w:val="20"/>
              </w:rPr>
              <w:t>0.077</w:t>
            </w:r>
          </w:p>
        </w:tc>
        <w:tc>
          <w:tcPr>
            <w:tcW w:w="1410"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20D1D828" w14:textId="77777777" w:rsidR="00193070" w:rsidRDefault="00193070" w:rsidP="0061183F">
            <w:pPr>
              <w:widowControl w:val="0"/>
              <w:jc w:val="right"/>
              <w:rPr>
                <w:rFonts w:ascii="Times New Roman" w:hAnsi="Times New Roman"/>
                <w:sz w:val="20"/>
              </w:rPr>
            </w:pPr>
            <w:r>
              <w:rPr>
                <w:rFonts w:ascii="Times New Roman" w:hAnsi="Times New Roman"/>
                <w:sz w:val="20"/>
              </w:rPr>
              <w:t>3.733</w:t>
            </w:r>
          </w:p>
        </w:tc>
        <w:tc>
          <w:tcPr>
            <w:tcW w:w="765"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2D5E419C" w14:textId="77777777" w:rsidR="00193070" w:rsidRDefault="00193070" w:rsidP="0061183F">
            <w:pPr>
              <w:widowControl w:val="0"/>
              <w:jc w:val="right"/>
              <w:rPr>
                <w:rFonts w:ascii="Times New Roman" w:hAnsi="Times New Roman"/>
                <w:sz w:val="20"/>
              </w:rPr>
            </w:pPr>
            <w:r>
              <w:rPr>
                <w:rFonts w:ascii="Times New Roman" w:hAnsi="Times New Roman"/>
                <w:sz w:val="20"/>
              </w:rPr>
              <w:t>0.041</w:t>
            </w:r>
          </w:p>
        </w:tc>
      </w:tr>
      <w:tr w:rsidR="00D3744B" w14:paraId="3CB5A213" w14:textId="77777777" w:rsidTr="00D3744B">
        <w:trPr>
          <w:trHeight w:val="411"/>
          <w:jc w:val="center"/>
        </w:trPr>
        <w:tc>
          <w:tcPr>
            <w:tcW w:w="1650"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0BE94E02" w14:textId="77777777" w:rsidR="00193070" w:rsidRDefault="00193070" w:rsidP="0061183F">
            <w:pPr>
              <w:widowControl w:val="0"/>
              <w:jc w:val="center"/>
              <w:rPr>
                <w:rFonts w:ascii="Times New Roman" w:hAnsi="Times New Roman"/>
                <w:sz w:val="20"/>
              </w:rPr>
            </w:pPr>
            <w:proofErr w:type="spellStart"/>
            <w:proofErr w:type="gramStart"/>
            <w:r>
              <w:rPr>
                <w:rFonts w:ascii="Times New Roman" w:hAnsi="Times New Roman"/>
                <w:sz w:val="20"/>
              </w:rPr>
              <w:t>Milk,yogurt</w:t>
            </w:r>
            <w:proofErr w:type="spellEnd"/>
            <w:proofErr w:type="gramEnd"/>
            <w:r>
              <w:rPr>
                <w:rFonts w:ascii="Times New Roman" w:hAnsi="Times New Roman"/>
                <w:sz w:val="20"/>
              </w:rPr>
              <w:t>, and cheese</w:t>
            </w:r>
          </w:p>
        </w:tc>
        <w:tc>
          <w:tcPr>
            <w:tcW w:w="2220"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10624D84" w14:textId="77777777" w:rsidR="00193070" w:rsidRDefault="00193070" w:rsidP="0061183F">
            <w:pPr>
              <w:widowControl w:val="0"/>
              <w:rPr>
                <w:rFonts w:ascii="Times New Roman" w:hAnsi="Times New Roman"/>
                <w:sz w:val="20"/>
              </w:rPr>
            </w:pPr>
            <w:r>
              <w:rPr>
                <w:rFonts w:ascii="Times New Roman" w:hAnsi="Times New Roman"/>
                <w:sz w:val="20"/>
              </w:rPr>
              <w:t>Overweight</w:t>
            </w:r>
          </w:p>
        </w:tc>
        <w:tc>
          <w:tcPr>
            <w:tcW w:w="1290"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26446991" w14:textId="77777777" w:rsidR="00193070" w:rsidRDefault="00193070" w:rsidP="0061183F">
            <w:pPr>
              <w:widowControl w:val="0"/>
              <w:jc w:val="right"/>
              <w:rPr>
                <w:rFonts w:ascii="Times New Roman" w:hAnsi="Times New Roman"/>
                <w:sz w:val="20"/>
              </w:rPr>
            </w:pPr>
            <w:r>
              <w:rPr>
                <w:rFonts w:ascii="Times New Roman" w:hAnsi="Times New Roman"/>
                <w:sz w:val="20"/>
              </w:rPr>
              <w:t>-2.924</w:t>
            </w:r>
          </w:p>
        </w:tc>
        <w:tc>
          <w:tcPr>
            <w:tcW w:w="1590"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2992A463" w14:textId="77777777" w:rsidR="00193070" w:rsidRDefault="00193070" w:rsidP="0061183F">
            <w:pPr>
              <w:widowControl w:val="0"/>
              <w:jc w:val="right"/>
              <w:rPr>
                <w:rFonts w:ascii="Times New Roman" w:hAnsi="Times New Roman"/>
                <w:sz w:val="20"/>
              </w:rPr>
            </w:pPr>
            <w:r>
              <w:rPr>
                <w:rFonts w:ascii="Times New Roman" w:hAnsi="Times New Roman"/>
                <w:sz w:val="20"/>
              </w:rPr>
              <w:t>-5.600</w:t>
            </w:r>
          </w:p>
        </w:tc>
        <w:tc>
          <w:tcPr>
            <w:tcW w:w="1410"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79B93317" w14:textId="77777777" w:rsidR="00193070" w:rsidRDefault="00193070" w:rsidP="0061183F">
            <w:pPr>
              <w:widowControl w:val="0"/>
              <w:jc w:val="right"/>
              <w:rPr>
                <w:rFonts w:ascii="Times New Roman" w:hAnsi="Times New Roman"/>
                <w:sz w:val="20"/>
              </w:rPr>
            </w:pPr>
            <w:r>
              <w:rPr>
                <w:rFonts w:ascii="Times New Roman" w:hAnsi="Times New Roman"/>
                <w:sz w:val="20"/>
              </w:rPr>
              <w:t>-0.249</w:t>
            </w:r>
          </w:p>
        </w:tc>
        <w:tc>
          <w:tcPr>
            <w:tcW w:w="765"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50EA0459" w14:textId="77777777" w:rsidR="00193070" w:rsidRDefault="00193070" w:rsidP="0061183F">
            <w:pPr>
              <w:widowControl w:val="0"/>
              <w:jc w:val="right"/>
              <w:rPr>
                <w:rFonts w:ascii="Times New Roman" w:hAnsi="Times New Roman"/>
                <w:sz w:val="20"/>
              </w:rPr>
            </w:pPr>
            <w:r>
              <w:rPr>
                <w:rFonts w:ascii="Times New Roman" w:hAnsi="Times New Roman"/>
                <w:sz w:val="20"/>
              </w:rPr>
              <w:t>0.033</w:t>
            </w:r>
          </w:p>
        </w:tc>
      </w:tr>
      <w:tr w:rsidR="00D3744B" w14:paraId="3D0FB90F" w14:textId="77777777" w:rsidTr="00D3744B">
        <w:trPr>
          <w:trHeight w:val="528"/>
          <w:jc w:val="center"/>
        </w:trPr>
        <w:tc>
          <w:tcPr>
            <w:tcW w:w="1650" w:type="dxa"/>
            <w:tcBorders>
              <w:top w:val="single" w:sz="8" w:space="0" w:color="000000" w:themeColor="text1"/>
              <w:left w:val="nil"/>
              <w:bottom w:val="single" w:sz="4" w:space="0" w:color="auto"/>
              <w:right w:val="nil"/>
            </w:tcBorders>
            <w:tcMar>
              <w:top w:w="100" w:type="dxa"/>
              <w:left w:w="100" w:type="dxa"/>
              <w:bottom w:w="100" w:type="dxa"/>
              <w:right w:w="100" w:type="dxa"/>
            </w:tcMar>
          </w:tcPr>
          <w:p w14:paraId="1F178148" w14:textId="77777777" w:rsidR="00193070" w:rsidRDefault="00193070" w:rsidP="0061183F">
            <w:pPr>
              <w:widowControl w:val="0"/>
              <w:jc w:val="center"/>
              <w:rPr>
                <w:rFonts w:ascii="Times New Roman" w:hAnsi="Times New Roman"/>
                <w:sz w:val="20"/>
              </w:rPr>
            </w:pPr>
            <w:r>
              <w:rPr>
                <w:rFonts w:ascii="Times New Roman" w:hAnsi="Times New Roman"/>
                <w:sz w:val="20"/>
              </w:rPr>
              <w:t>Butter and vegetable oils</w:t>
            </w:r>
          </w:p>
        </w:tc>
        <w:tc>
          <w:tcPr>
            <w:tcW w:w="2220"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63C75A7B" w14:textId="77777777" w:rsidR="00193070" w:rsidRDefault="00193070" w:rsidP="0061183F">
            <w:pPr>
              <w:widowControl w:val="0"/>
              <w:rPr>
                <w:rFonts w:ascii="Times New Roman" w:hAnsi="Times New Roman"/>
                <w:sz w:val="20"/>
              </w:rPr>
            </w:pPr>
            <w:r>
              <w:rPr>
                <w:rFonts w:ascii="Times New Roman" w:hAnsi="Times New Roman"/>
                <w:sz w:val="20"/>
              </w:rPr>
              <w:t>Live in a rent house</w:t>
            </w:r>
          </w:p>
        </w:tc>
        <w:tc>
          <w:tcPr>
            <w:tcW w:w="1290"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71E70AC8" w14:textId="77777777" w:rsidR="00193070" w:rsidRDefault="00193070" w:rsidP="0061183F">
            <w:pPr>
              <w:widowControl w:val="0"/>
              <w:jc w:val="right"/>
              <w:rPr>
                <w:rFonts w:ascii="Times New Roman" w:hAnsi="Times New Roman"/>
                <w:sz w:val="20"/>
              </w:rPr>
            </w:pPr>
            <w:r>
              <w:rPr>
                <w:rFonts w:ascii="Times New Roman" w:hAnsi="Times New Roman"/>
                <w:sz w:val="20"/>
              </w:rPr>
              <w:t>-1.753</w:t>
            </w:r>
          </w:p>
        </w:tc>
        <w:tc>
          <w:tcPr>
            <w:tcW w:w="1590"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47957C4A" w14:textId="77777777" w:rsidR="00193070" w:rsidRDefault="00193070" w:rsidP="0061183F">
            <w:pPr>
              <w:widowControl w:val="0"/>
              <w:jc w:val="right"/>
              <w:rPr>
                <w:rFonts w:ascii="Times New Roman" w:hAnsi="Times New Roman"/>
                <w:sz w:val="20"/>
              </w:rPr>
            </w:pPr>
            <w:r>
              <w:rPr>
                <w:rFonts w:ascii="Times New Roman" w:hAnsi="Times New Roman"/>
                <w:sz w:val="20"/>
              </w:rPr>
              <w:t>-3.260</w:t>
            </w:r>
          </w:p>
        </w:tc>
        <w:tc>
          <w:tcPr>
            <w:tcW w:w="1410"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4CCDF06F" w14:textId="77777777" w:rsidR="00193070" w:rsidRDefault="00193070" w:rsidP="0061183F">
            <w:pPr>
              <w:widowControl w:val="0"/>
              <w:jc w:val="right"/>
              <w:rPr>
                <w:rFonts w:ascii="Times New Roman" w:hAnsi="Times New Roman"/>
                <w:sz w:val="20"/>
              </w:rPr>
            </w:pPr>
            <w:r>
              <w:rPr>
                <w:rFonts w:ascii="Times New Roman" w:hAnsi="Times New Roman"/>
                <w:sz w:val="20"/>
              </w:rPr>
              <w:t>-0.245</w:t>
            </w:r>
          </w:p>
        </w:tc>
        <w:tc>
          <w:tcPr>
            <w:tcW w:w="765"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138DAC17" w14:textId="77777777" w:rsidR="00193070" w:rsidRDefault="00193070" w:rsidP="0061183F">
            <w:pPr>
              <w:widowControl w:val="0"/>
              <w:jc w:val="right"/>
              <w:rPr>
                <w:rFonts w:ascii="Times New Roman" w:hAnsi="Times New Roman"/>
                <w:sz w:val="20"/>
              </w:rPr>
            </w:pPr>
            <w:r>
              <w:rPr>
                <w:rFonts w:ascii="Times New Roman" w:hAnsi="Times New Roman"/>
                <w:sz w:val="20"/>
              </w:rPr>
              <w:t>0.023</w:t>
            </w:r>
          </w:p>
        </w:tc>
      </w:tr>
      <w:tr w:rsidR="00D3744B" w14:paraId="1BA4950B" w14:textId="77777777" w:rsidTr="00D3744B">
        <w:trPr>
          <w:trHeight w:val="448"/>
          <w:jc w:val="center"/>
        </w:trPr>
        <w:tc>
          <w:tcPr>
            <w:tcW w:w="1650" w:type="dxa"/>
            <w:vMerge w:val="restart"/>
            <w:tcBorders>
              <w:top w:val="single" w:sz="4" w:space="0" w:color="auto"/>
              <w:left w:val="nil"/>
              <w:bottom w:val="single" w:sz="4" w:space="0" w:color="auto"/>
              <w:right w:val="nil"/>
            </w:tcBorders>
            <w:tcMar>
              <w:top w:w="100" w:type="dxa"/>
              <w:left w:w="100" w:type="dxa"/>
              <w:bottom w:w="100" w:type="dxa"/>
              <w:right w:w="100" w:type="dxa"/>
            </w:tcMar>
          </w:tcPr>
          <w:p w14:paraId="1F3B51F6" w14:textId="77777777" w:rsidR="00193070" w:rsidRDefault="00193070" w:rsidP="0061183F">
            <w:pPr>
              <w:widowControl w:val="0"/>
              <w:jc w:val="center"/>
              <w:rPr>
                <w:rFonts w:ascii="Times New Roman" w:hAnsi="Times New Roman"/>
                <w:sz w:val="20"/>
              </w:rPr>
            </w:pPr>
            <w:r>
              <w:rPr>
                <w:rFonts w:ascii="Times New Roman" w:hAnsi="Times New Roman"/>
                <w:sz w:val="20"/>
              </w:rPr>
              <w:t>Vegetables</w:t>
            </w:r>
          </w:p>
        </w:tc>
        <w:tc>
          <w:tcPr>
            <w:tcW w:w="2220" w:type="dxa"/>
            <w:tcBorders>
              <w:top w:val="nil"/>
              <w:left w:val="nil"/>
              <w:bottom w:val="nil"/>
              <w:right w:val="nil"/>
            </w:tcBorders>
            <w:tcMar>
              <w:top w:w="100" w:type="dxa"/>
              <w:left w:w="100" w:type="dxa"/>
              <w:bottom w:w="100" w:type="dxa"/>
              <w:right w:w="100" w:type="dxa"/>
            </w:tcMar>
          </w:tcPr>
          <w:p w14:paraId="41C41838" w14:textId="77777777" w:rsidR="00193070" w:rsidRDefault="00193070" w:rsidP="0061183F">
            <w:pPr>
              <w:widowControl w:val="0"/>
              <w:rPr>
                <w:rFonts w:ascii="Times New Roman" w:hAnsi="Times New Roman"/>
                <w:sz w:val="20"/>
              </w:rPr>
            </w:pPr>
            <w:r>
              <w:rPr>
                <w:rFonts w:ascii="Times New Roman" w:hAnsi="Times New Roman"/>
                <w:sz w:val="20"/>
              </w:rPr>
              <w:t>Sleep duration for 4 - 6 hours</w:t>
            </w:r>
          </w:p>
        </w:tc>
        <w:tc>
          <w:tcPr>
            <w:tcW w:w="1290" w:type="dxa"/>
            <w:tcBorders>
              <w:top w:val="nil"/>
              <w:left w:val="nil"/>
              <w:bottom w:val="nil"/>
              <w:right w:val="nil"/>
            </w:tcBorders>
            <w:tcMar>
              <w:top w:w="100" w:type="dxa"/>
              <w:left w:w="100" w:type="dxa"/>
              <w:bottom w:w="100" w:type="dxa"/>
              <w:right w:w="100" w:type="dxa"/>
            </w:tcMar>
          </w:tcPr>
          <w:p w14:paraId="1AE1EB9F" w14:textId="77777777" w:rsidR="00193070" w:rsidRDefault="00193070" w:rsidP="0061183F">
            <w:pPr>
              <w:widowControl w:val="0"/>
              <w:jc w:val="right"/>
              <w:rPr>
                <w:rFonts w:ascii="Times New Roman" w:hAnsi="Times New Roman"/>
                <w:sz w:val="20"/>
              </w:rPr>
            </w:pPr>
            <w:r>
              <w:rPr>
                <w:rFonts w:ascii="Times New Roman" w:hAnsi="Times New Roman"/>
                <w:sz w:val="20"/>
              </w:rPr>
              <w:t>-8.346</w:t>
            </w:r>
          </w:p>
        </w:tc>
        <w:tc>
          <w:tcPr>
            <w:tcW w:w="1590" w:type="dxa"/>
            <w:tcBorders>
              <w:top w:val="nil"/>
              <w:left w:val="nil"/>
              <w:bottom w:val="nil"/>
              <w:right w:val="nil"/>
            </w:tcBorders>
            <w:tcMar>
              <w:top w:w="100" w:type="dxa"/>
              <w:left w:w="100" w:type="dxa"/>
              <w:bottom w:w="100" w:type="dxa"/>
              <w:right w:w="100" w:type="dxa"/>
            </w:tcMar>
          </w:tcPr>
          <w:p w14:paraId="6818ECFB" w14:textId="77777777" w:rsidR="00193070" w:rsidRDefault="00193070" w:rsidP="0061183F">
            <w:pPr>
              <w:widowControl w:val="0"/>
              <w:jc w:val="right"/>
              <w:rPr>
                <w:rFonts w:ascii="Times New Roman" w:hAnsi="Times New Roman"/>
                <w:sz w:val="20"/>
              </w:rPr>
            </w:pPr>
            <w:r>
              <w:rPr>
                <w:rFonts w:ascii="Times New Roman" w:hAnsi="Times New Roman"/>
                <w:sz w:val="20"/>
              </w:rPr>
              <w:t>-16.467</w:t>
            </w:r>
          </w:p>
        </w:tc>
        <w:tc>
          <w:tcPr>
            <w:tcW w:w="1410" w:type="dxa"/>
            <w:tcBorders>
              <w:top w:val="nil"/>
              <w:left w:val="nil"/>
              <w:bottom w:val="nil"/>
              <w:right w:val="nil"/>
            </w:tcBorders>
            <w:tcMar>
              <w:top w:w="100" w:type="dxa"/>
              <w:left w:w="100" w:type="dxa"/>
              <w:bottom w:w="100" w:type="dxa"/>
              <w:right w:w="100" w:type="dxa"/>
            </w:tcMar>
          </w:tcPr>
          <w:p w14:paraId="1F483832" w14:textId="77777777" w:rsidR="00193070" w:rsidRDefault="00193070" w:rsidP="0061183F">
            <w:pPr>
              <w:widowControl w:val="0"/>
              <w:jc w:val="right"/>
              <w:rPr>
                <w:rFonts w:ascii="Times New Roman" w:hAnsi="Times New Roman"/>
                <w:sz w:val="20"/>
              </w:rPr>
            </w:pPr>
            <w:r>
              <w:rPr>
                <w:rFonts w:ascii="Times New Roman" w:hAnsi="Times New Roman"/>
                <w:sz w:val="20"/>
              </w:rPr>
              <w:t>-0.225</w:t>
            </w:r>
          </w:p>
        </w:tc>
        <w:tc>
          <w:tcPr>
            <w:tcW w:w="765" w:type="dxa"/>
            <w:tcBorders>
              <w:top w:val="nil"/>
              <w:left w:val="nil"/>
              <w:bottom w:val="nil"/>
              <w:right w:val="nil"/>
            </w:tcBorders>
            <w:tcMar>
              <w:top w:w="100" w:type="dxa"/>
              <w:left w:w="100" w:type="dxa"/>
              <w:bottom w:w="100" w:type="dxa"/>
              <w:right w:w="100" w:type="dxa"/>
            </w:tcMar>
          </w:tcPr>
          <w:p w14:paraId="30A095EE" w14:textId="77777777" w:rsidR="00193070" w:rsidRDefault="00193070" w:rsidP="0061183F">
            <w:pPr>
              <w:widowControl w:val="0"/>
              <w:jc w:val="right"/>
              <w:rPr>
                <w:rFonts w:ascii="Times New Roman" w:hAnsi="Times New Roman"/>
                <w:sz w:val="20"/>
              </w:rPr>
            </w:pPr>
            <w:r>
              <w:rPr>
                <w:rFonts w:ascii="Times New Roman" w:hAnsi="Times New Roman"/>
                <w:sz w:val="20"/>
              </w:rPr>
              <w:t>0.044</w:t>
            </w:r>
          </w:p>
        </w:tc>
      </w:tr>
      <w:tr w:rsidR="00D3744B" w14:paraId="4BF73B9C" w14:textId="77777777" w:rsidTr="00D3744B">
        <w:trPr>
          <w:trHeight w:val="88"/>
          <w:jc w:val="center"/>
        </w:trPr>
        <w:tc>
          <w:tcPr>
            <w:tcW w:w="1650" w:type="dxa"/>
            <w:vMerge/>
            <w:tcBorders>
              <w:top w:val="single" w:sz="4" w:space="0" w:color="auto"/>
              <w:left w:val="nil"/>
              <w:bottom w:val="single" w:sz="4" w:space="0" w:color="auto"/>
              <w:right w:val="nil"/>
            </w:tcBorders>
            <w:tcMar>
              <w:top w:w="100" w:type="dxa"/>
              <w:left w:w="100" w:type="dxa"/>
              <w:bottom w:w="100" w:type="dxa"/>
              <w:right w:w="100" w:type="dxa"/>
            </w:tcMar>
          </w:tcPr>
          <w:p w14:paraId="13F688B6" w14:textId="77777777" w:rsidR="00193070" w:rsidRDefault="00193070" w:rsidP="0061183F">
            <w:pPr>
              <w:widowControl w:val="0"/>
              <w:jc w:val="center"/>
              <w:rPr>
                <w:rFonts w:ascii="Times New Roman" w:hAnsi="Times New Roman"/>
                <w:sz w:val="20"/>
              </w:rPr>
            </w:pPr>
          </w:p>
        </w:tc>
        <w:tc>
          <w:tcPr>
            <w:tcW w:w="222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73E76D0E" w14:textId="77777777" w:rsidR="00193070" w:rsidRDefault="00193070" w:rsidP="0061183F">
            <w:pPr>
              <w:widowControl w:val="0"/>
              <w:rPr>
                <w:rFonts w:ascii="Times New Roman" w:hAnsi="Times New Roman"/>
                <w:sz w:val="20"/>
              </w:rPr>
            </w:pPr>
            <w:r>
              <w:rPr>
                <w:rFonts w:ascii="Times New Roman" w:hAnsi="Times New Roman"/>
                <w:sz w:val="20"/>
              </w:rPr>
              <w:t xml:space="preserve">Education </w:t>
            </w:r>
            <w:r>
              <w:rPr>
                <w:rFonts w:ascii="Times New Roman" w:hAnsi="Times New Roman"/>
                <w:i/>
                <w:sz w:val="20"/>
              </w:rPr>
              <w:t>via</w:t>
            </w:r>
            <w:r>
              <w:rPr>
                <w:rFonts w:ascii="Times New Roman" w:hAnsi="Times New Roman"/>
                <w:sz w:val="20"/>
              </w:rPr>
              <w:t xml:space="preserve"> Instagram</w:t>
            </w:r>
          </w:p>
        </w:tc>
        <w:tc>
          <w:tcPr>
            <w:tcW w:w="129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104FA21B" w14:textId="77777777" w:rsidR="00193070" w:rsidRDefault="00193070" w:rsidP="0061183F">
            <w:pPr>
              <w:widowControl w:val="0"/>
              <w:jc w:val="right"/>
              <w:rPr>
                <w:rFonts w:ascii="Times New Roman" w:hAnsi="Times New Roman"/>
                <w:sz w:val="20"/>
              </w:rPr>
            </w:pPr>
            <w:r>
              <w:rPr>
                <w:rFonts w:ascii="Times New Roman" w:hAnsi="Times New Roman"/>
                <w:sz w:val="20"/>
              </w:rPr>
              <w:t>2.073</w:t>
            </w:r>
          </w:p>
        </w:tc>
        <w:tc>
          <w:tcPr>
            <w:tcW w:w="159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5A0AAE90" w14:textId="77777777" w:rsidR="00193070" w:rsidRDefault="00193070" w:rsidP="0061183F">
            <w:pPr>
              <w:widowControl w:val="0"/>
              <w:jc w:val="right"/>
              <w:rPr>
                <w:rFonts w:ascii="Times New Roman" w:hAnsi="Times New Roman"/>
                <w:sz w:val="20"/>
              </w:rPr>
            </w:pPr>
            <w:r>
              <w:rPr>
                <w:rFonts w:ascii="Times New Roman" w:hAnsi="Times New Roman"/>
                <w:sz w:val="20"/>
              </w:rPr>
              <w:t>0.410</w:t>
            </w:r>
          </w:p>
        </w:tc>
        <w:tc>
          <w:tcPr>
            <w:tcW w:w="141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66D7B276" w14:textId="77777777" w:rsidR="00193070" w:rsidRDefault="00193070" w:rsidP="0061183F">
            <w:pPr>
              <w:widowControl w:val="0"/>
              <w:jc w:val="right"/>
              <w:rPr>
                <w:rFonts w:ascii="Times New Roman" w:hAnsi="Times New Roman"/>
                <w:sz w:val="20"/>
              </w:rPr>
            </w:pPr>
            <w:r>
              <w:rPr>
                <w:rFonts w:ascii="Times New Roman" w:hAnsi="Times New Roman"/>
                <w:sz w:val="20"/>
              </w:rPr>
              <w:t>3.735</w:t>
            </w:r>
          </w:p>
        </w:tc>
        <w:tc>
          <w:tcPr>
            <w:tcW w:w="7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7BE64523" w14:textId="77777777" w:rsidR="00193070" w:rsidRDefault="00193070" w:rsidP="0061183F">
            <w:pPr>
              <w:widowControl w:val="0"/>
              <w:jc w:val="right"/>
              <w:rPr>
                <w:rFonts w:ascii="Times New Roman" w:hAnsi="Times New Roman"/>
                <w:sz w:val="20"/>
              </w:rPr>
            </w:pPr>
            <w:r>
              <w:rPr>
                <w:rFonts w:ascii="Times New Roman" w:hAnsi="Times New Roman"/>
                <w:sz w:val="20"/>
              </w:rPr>
              <w:t>0.015</w:t>
            </w:r>
          </w:p>
        </w:tc>
      </w:tr>
      <w:tr w:rsidR="00D3744B" w14:paraId="09CB3287" w14:textId="77777777" w:rsidTr="00D3744B">
        <w:trPr>
          <w:trHeight w:val="296"/>
          <w:jc w:val="center"/>
        </w:trPr>
        <w:tc>
          <w:tcPr>
            <w:tcW w:w="1650" w:type="dxa"/>
            <w:vMerge w:val="restart"/>
            <w:tcBorders>
              <w:top w:val="nil"/>
              <w:left w:val="nil"/>
              <w:bottom w:val="single" w:sz="4" w:space="0" w:color="auto"/>
              <w:right w:val="nil"/>
            </w:tcBorders>
            <w:shd w:val="clear" w:color="auto" w:fill="auto"/>
            <w:tcMar>
              <w:top w:w="100" w:type="dxa"/>
              <w:left w:w="100" w:type="dxa"/>
              <w:bottom w:w="100" w:type="dxa"/>
              <w:right w:w="100" w:type="dxa"/>
            </w:tcMar>
          </w:tcPr>
          <w:p w14:paraId="66B6BF17" w14:textId="77777777" w:rsidR="00193070" w:rsidRDefault="00193070" w:rsidP="0061183F">
            <w:pPr>
              <w:widowControl w:val="0"/>
              <w:jc w:val="center"/>
              <w:rPr>
                <w:rFonts w:ascii="Times New Roman" w:hAnsi="Times New Roman"/>
                <w:sz w:val="20"/>
              </w:rPr>
            </w:pPr>
            <w:r>
              <w:rPr>
                <w:rFonts w:ascii="Times New Roman" w:hAnsi="Times New Roman"/>
                <w:sz w:val="20"/>
              </w:rPr>
              <w:t xml:space="preserve">Snack high in fat </w:t>
            </w:r>
            <w:r>
              <w:rPr>
                <w:rFonts w:ascii="Times New Roman" w:hAnsi="Times New Roman"/>
                <w:sz w:val="20"/>
              </w:rPr>
              <w:lastRenderedPageBreak/>
              <w:t>and sugar</w:t>
            </w:r>
          </w:p>
        </w:tc>
        <w:tc>
          <w:tcPr>
            <w:tcW w:w="2220" w:type="dxa"/>
            <w:tcBorders>
              <w:top w:val="nil"/>
              <w:left w:val="nil"/>
              <w:bottom w:val="nil"/>
              <w:right w:val="nil"/>
            </w:tcBorders>
            <w:shd w:val="clear" w:color="auto" w:fill="auto"/>
            <w:tcMar>
              <w:top w:w="100" w:type="dxa"/>
              <w:left w:w="100" w:type="dxa"/>
              <w:bottom w:w="100" w:type="dxa"/>
              <w:right w:w="100" w:type="dxa"/>
            </w:tcMar>
          </w:tcPr>
          <w:p w14:paraId="0BCDB305" w14:textId="77777777" w:rsidR="00193070" w:rsidRDefault="00193070" w:rsidP="0061183F">
            <w:pPr>
              <w:widowControl w:val="0"/>
              <w:rPr>
                <w:rFonts w:ascii="Times New Roman" w:hAnsi="Times New Roman"/>
                <w:sz w:val="20"/>
              </w:rPr>
            </w:pPr>
            <w:r>
              <w:rPr>
                <w:rFonts w:ascii="Times New Roman" w:hAnsi="Times New Roman"/>
                <w:sz w:val="20"/>
              </w:rPr>
              <w:lastRenderedPageBreak/>
              <w:t>Female</w:t>
            </w:r>
          </w:p>
        </w:tc>
        <w:tc>
          <w:tcPr>
            <w:tcW w:w="1290" w:type="dxa"/>
            <w:tcBorders>
              <w:top w:val="nil"/>
              <w:left w:val="nil"/>
              <w:bottom w:val="nil"/>
              <w:right w:val="nil"/>
            </w:tcBorders>
            <w:shd w:val="clear" w:color="auto" w:fill="auto"/>
            <w:tcMar>
              <w:top w:w="100" w:type="dxa"/>
              <w:left w:w="100" w:type="dxa"/>
              <w:bottom w:w="100" w:type="dxa"/>
              <w:right w:w="100" w:type="dxa"/>
            </w:tcMar>
          </w:tcPr>
          <w:p w14:paraId="6D597C3D" w14:textId="77777777" w:rsidR="00193070" w:rsidRDefault="00193070" w:rsidP="0061183F">
            <w:pPr>
              <w:widowControl w:val="0"/>
              <w:jc w:val="right"/>
              <w:rPr>
                <w:rFonts w:ascii="Times New Roman" w:hAnsi="Times New Roman"/>
                <w:sz w:val="20"/>
              </w:rPr>
            </w:pPr>
            <w:r>
              <w:rPr>
                <w:rFonts w:ascii="Times New Roman" w:hAnsi="Times New Roman"/>
                <w:sz w:val="20"/>
              </w:rPr>
              <w:t>-2.170</w:t>
            </w:r>
          </w:p>
        </w:tc>
        <w:tc>
          <w:tcPr>
            <w:tcW w:w="1590" w:type="dxa"/>
            <w:tcBorders>
              <w:top w:val="nil"/>
              <w:left w:val="nil"/>
              <w:bottom w:val="nil"/>
              <w:right w:val="nil"/>
            </w:tcBorders>
            <w:shd w:val="clear" w:color="auto" w:fill="auto"/>
            <w:tcMar>
              <w:top w:w="100" w:type="dxa"/>
              <w:left w:w="100" w:type="dxa"/>
              <w:bottom w:w="100" w:type="dxa"/>
              <w:right w:w="100" w:type="dxa"/>
            </w:tcMar>
          </w:tcPr>
          <w:p w14:paraId="1D001D8F" w14:textId="77777777" w:rsidR="00193070" w:rsidRDefault="00193070" w:rsidP="0061183F">
            <w:pPr>
              <w:widowControl w:val="0"/>
              <w:jc w:val="right"/>
              <w:rPr>
                <w:rFonts w:ascii="Times New Roman" w:hAnsi="Times New Roman"/>
                <w:sz w:val="20"/>
              </w:rPr>
            </w:pPr>
            <w:r>
              <w:rPr>
                <w:rFonts w:ascii="Times New Roman" w:hAnsi="Times New Roman"/>
                <w:sz w:val="20"/>
              </w:rPr>
              <w:t>-4.220</w:t>
            </w:r>
          </w:p>
        </w:tc>
        <w:tc>
          <w:tcPr>
            <w:tcW w:w="1410" w:type="dxa"/>
            <w:tcBorders>
              <w:top w:val="nil"/>
              <w:left w:val="nil"/>
              <w:bottom w:val="nil"/>
              <w:right w:val="nil"/>
            </w:tcBorders>
            <w:shd w:val="clear" w:color="auto" w:fill="auto"/>
            <w:tcMar>
              <w:top w:w="100" w:type="dxa"/>
              <w:left w:w="100" w:type="dxa"/>
              <w:bottom w:w="100" w:type="dxa"/>
              <w:right w:w="100" w:type="dxa"/>
            </w:tcMar>
          </w:tcPr>
          <w:p w14:paraId="287AB1EB" w14:textId="77777777" w:rsidR="00193070" w:rsidRDefault="00193070" w:rsidP="0061183F">
            <w:pPr>
              <w:widowControl w:val="0"/>
              <w:jc w:val="right"/>
              <w:rPr>
                <w:rFonts w:ascii="Times New Roman" w:hAnsi="Times New Roman"/>
                <w:sz w:val="20"/>
              </w:rPr>
            </w:pPr>
            <w:r>
              <w:rPr>
                <w:rFonts w:ascii="Times New Roman" w:hAnsi="Times New Roman"/>
                <w:sz w:val="20"/>
              </w:rPr>
              <w:t>-0.120</w:t>
            </w:r>
          </w:p>
        </w:tc>
        <w:tc>
          <w:tcPr>
            <w:tcW w:w="765" w:type="dxa"/>
            <w:tcBorders>
              <w:top w:val="nil"/>
              <w:left w:val="nil"/>
              <w:bottom w:val="nil"/>
              <w:right w:val="nil"/>
            </w:tcBorders>
            <w:shd w:val="clear" w:color="auto" w:fill="auto"/>
            <w:tcMar>
              <w:top w:w="100" w:type="dxa"/>
              <w:left w:w="100" w:type="dxa"/>
              <w:bottom w:w="100" w:type="dxa"/>
              <w:right w:w="100" w:type="dxa"/>
            </w:tcMar>
          </w:tcPr>
          <w:p w14:paraId="06085C57" w14:textId="77777777" w:rsidR="00193070" w:rsidRDefault="00193070" w:rsidP="0061183F">
            <w:pPr>
              <w:widowControl w:val="0"/>
              <w:jc w:val="right"/>
              <w:rPr>
                <w:rFonts w:ascii="Times New Roman" w:hAnsi="Times New Roman"/>
                <w:sz w:val="20"/>
              </w:rPr>
            </w:pPr>
            <w:r>
              <w:rPr>
                <w:rFonts w:ascii="Times New Roman" w:hAnsi="Times New Roman"/>
                <w:sz w:val="20"/>
              </w:rPr>
              <w:t>0.038</w:t>
            </w:r>
          </w:p>
        </w:tc>
      </w:tr>
      <w:tr w:rsidR="00D3744B" w14:paraId="327F2371" w14:textId="77777777" w:rsidTr="00D3744B">
        <w:trPr>
          <w:trHeight w:val="629"/>
          <w:jc w:val="center"/>
        </w:trPr>
        <w:tc>
          <w:tcPr>
            <w:tcW w:w="1650" w:type="dxa"/>
            <w:vMerge/>
            <w:tcBorders>
              <w:top w:val="nil"/>
              <w:left w:val="nil"/>
              <w:bottom w:val="single" w:sz="4" w:space="0" w:color="auto"/>
              <w:right w:val="nil"/>
            </w:tcBorders>
            <w:tcMar>
              <w:top w:w="100" w:type="dxa"/>
              <w:left w:w="100" w:type="dxa"/>
              <w:bottom w:w="100" w:type="dxa"/>
              <w:right w:w="100" w:type="dxa"/>
            </w:tcMar>
          </w:tcPr>
          <w:p w14:paraId="535E0C01" w14:textId="77777777" w:rsidR="00193070" w:rsidRDefault="00193070" w:rsidP="0061183F">
            <w:pPr>
              <w:widowControl w:val="0"/>
              <w:jc w:val="center"/>
              <w:rPr>
                <w:rFonts w:ascii="Times New Roman" w:hAnsi="Times New Roman"/>
                <w:sz w:val="20"/>
              </w:rPr>
            </w:pPr>
          </w:p>
        </w:tc>
        <w:tc>
          <w:tcPr>
            <w:tcW w:w="2220" w:type="dxa"/>
            <w:tcBorders>
              <w:top w:val="nil"/>
              <w:left w:val="nil"/>
              <w:bottom w:val="nil"/>
              <w:right w:val="nil"/>
            </w:tcBorders>
            <w:shd w:val="clear" w:color="auto" w:fill="auto"/>
            <w:tcMar>
              <w:top w:w="100" w:type="dxa"/>
              <w:left w:w="100" w:type="dxa"/>
              <w:bottom w:w="100" w:type="dxa"/>
              <w:right w:w="100" w:type="dxa"/>
            </w:tcMar>
          </w:tcPr>
          <w:p w14:paraId="59FF6D96" w14:textId="77777777" w:rsidR="00193070" w:rsidRDefault="00193070" w:rsidP="0061183F">
            <w:pPr>
              <w:widowControl w:val="0"/>
              <w:rPr>
                <w:rFonts w:ascii="Times New Roman" w:hAnsi="Times New Roman"/>
                <w:sz w:val="20"/>
              </w:rPr>
            </w:pPr>
            <w:r>
              <w:rPr>
                <w:rFonts w:ascii="Times New Roman" w:hAnsi="Times New Roman"/>
                <w:sz w:val="20"/>
              </w:rPr>
              <w:t>Member of student activity unit (sports)</w:t>
            </w:r>
          </w:p>
        </w:tc>
        <w:tc>
          <w:tcPr>
            <w:tcW w:w="1290" w:type="dxa"/>
            <w:tcBorders>
              <w:top w:val="nil"/>
              <w:left w:val="nil"/>
              <w:bottom w:val="nil"/>
              <w:right w:val="nil"/>
            </w:tcBorders>
            <w:shd w:val="clear" w:color="auto" w:fill="auto"/>
            <w:tcMar>
              <w:top w:w="100" w:type="dxa"/>
              <w:left w:w="100" w:type="dxa"/>
              <w:bottom w:w="100" w:type="dxa"/>
              <w:right w:w="100" w:type="dxa"/>
            </w:tcMar>
          </w:tcPr>
          <w:p w14:paraId="371BEA8F" w14:textId="77777777" w:rsidR="00193070" w:rsidRDefault="00193070" w:rsidP="0061183F">
            <w:pPr>
              <w:widowControl w:val="0"/>
              <w:jc w:val="right"/>
              <w:rPr>
                <w:rFonts w:ascii="Times New Roman" w:hAnsi="Times New Roman"/>
                <w:sz w:val="20"/>
              </w:rPr>
            </w:pPr>
            <w:r>
              <w:rPr>
                <w:rFonts w:ascii="Times New Roman" w:hAnsi="Times New Roman"/>
                <w:sz w:val="20"/>
              </w:rPr>
              <w:t>-1.872</w:t>
            </w:r>
          </w:p>
        </w:tc>
        <w:tc>
          <w:tcPr>
            <w:tcW w:w="1590" w:type="dxa"/>
            <w:tcBorders>
              <w:top w:val="nil"/>
              <w:left w:val="nil"/>
              <w:bottom w:val="nil"/>
              <w:right w:val="nil"/>
            </w:tcBorders>
            <w:shd w:val="clear" w:color="auto" w:fill="auto"/>
            <w:tcMar>
              <w:top w:w="100" w:type="dxa"/>
              <w:left w:w="100" w:type="dxa"/>
              <w:bottom w:w="100" w:type="dxa"/>
              <w:right w:w="100" w:type="dxa"/>
            </w:tcMar>
          </w:tcPr>
          <w:p w14:paraId="45024C56" w14:textId="77777777" w:rsidR="00193070" w:rsidRDefault="00193070" w:rsidP="0061183F">
            <w:pPr>
              <w:widowControl w:val="0"/>
              <w:jc w:val="right"/>
              <w:rPr>
                <w:rFonts w:ascii="Times New Roman" w:hAnsi="Times New Roman"/>
                <w:sz w:val="20"/>
              </w:rPr>
            </w:pPr>
            <w:r>
              <w:rPr>
                <w:rFonts w:ascii="Times New Roman" w:hAnsi="Times New Roman"/>
                <w:sz w:val="20"/>
              </w:rPr>
              <w:t>-3.732</w:t>
            </w:r>
          </w:p>
        </w:tc>
        <w:tc>
          <w:tcPr>
            <w:tcW w:w="1410" w:type="dxa"/>
            <w:tcBorders>
              <w:top w:val="nil"/>
              <w:left w:val="nil"/>
              <w:bottom w:val="nil"/>
              <w:right w:val="nil"/>
            </w:tcBorders>
            <w:shd w:val="clear" w:color="auto" w:fill="auto"/>
            <w:tcMar>
              <w:top w:w="100" w:type="dxa"/>
              <w:left w:w="100" w:type="dxa"/>
              <w:bottom w:w="100" w:type="dxa"/>
              <w:right w:w="100" w:type="dxa"/>
            </w:tcMar>
          </w:tcPr>
          <w:p w14:paraId="043757A9" w14:textId="77777777" w:rsidR="00193070" w:rsidRDefault="00193070" w:rsidP="0061183F">
            <w:pPr>
              <w:widowControl w:val="0"/>
              <w:jc w:val="right"/>
              <w:rPr>
                <w:rFonts w:ascii="Times New Roman" w:hAnsi="Times New Roman"/>
                <w:sz w:val="20"/>
              </w:rPr>
            </w:pPr>
            <w:r>
              <w:rPr>
                <w:rFonts w:ascii="Times New Roman" w:hAnsi="Times New Roman"/>
                <w:sz w:val="20"/>
              </w:rPr>
              <w:t>-0.012</w:t>
            </w:r>
          </w:p>
        </w:tc>
        <w:tc>
          <w:tcPr>
            <w:tcW w:w="765" w:type="dxa"/>
            <w:tcBorders>
              <w:top w:val="nil"/>
              <w:left w:val="nil"/>
              <w:bottom w:val="nil"/>
              <w:right w:val="nil"/>
            </w:tcBorders>
            <w:shd w:val="clear" w:color="auto" w:fill="auto"/>
            <w:tcMar>
              <w:top w:w="100" w:type="dxa"/>
              <w:left w:w="100" w:type="dxa"/>
              <w:bottom w:w="100" w:type="dxa"/>
              <w:right w:w="100" w:type="dxa"/>
            </w:tcMar>
          </w:tcPr>
          <w:p w14:paraId="5A2AAEC2" w14:textId="77777777" w:rsidR="00193070" w:rsidRDefault="00193070" w:rsidP="0061183F">
            <w:pPr>
              <w:widowControl w:val="0"/>
              <w:jc w:val="right"/>
              <w:rPr>
                <w:rFonts w:ascii="Times New Roman" w:hAnsi="Times New Roman"/>
                <w:sz w:val="20"/>
              </w:rPr>
            </w:pPr>
            <w:r>
              <w:rPr>
                <w:rFonts w:ascii="Times New Roman" w:hAnsi="Times New Roman"/>
                <w:sz w:val="20"/>
              </w:rPr>
              <w:t>0.048</w:t>
            </w:r>
          </w:p>
        </w:tc>
      </w:tr>
      <w:tr w:rsidR="00D3744B" w14:paraId="32F5B8DD" w14:textId="77777777" w:rsidTr="00D3744B">
        <w:trPr>
          <w:trHeight w:val="413"/>
          <w:jc w:val="center"/>
        </w:trPr>
        <w:tc>
          <w:tcPr>
            <w:tcW w:w="1650" w:type="dxa"/>
            <w:vMerge/>
            <w:tcBorders>
              <w:top w:val="nil"/>
              <w:left w:val="nil"/>
              <w:bottom w:val="single" w:sz="4" w:space="0" w:color="auto"/>
              <w:right w:val="nil"/>
            </w:tcBorders>
            <w:tcMar>
              <w:top w:w="100" w:type="dxa"/>
              <w:left w:w="100" w:type="dxa"/>
              <w:bottom w:w="100" w:type="dxa"/>
              <w:right w:w="100" w:type="dxa"/>
            </w:tcMar>
          </w:tcPr>
          <w:p w14:paraId="527F6D28" w14:textId="77777777" w:rsidR="00193070" w:rsidRDefault="00193070" w:rsidP="0061183F">
            <w:pPr>
              <w:widowControl w:val="0"/>
              <w:jc w:val="center"/>
              <w:rPr>
                <w:rFonts w:ascii="Times New Roman" w:hAnsi="Times New Roman"/>
                <w:sz w:val="20"/>
              </w:rPr>
            </w:pPr>
          </w:p>
        </w:tc>
        <w:tc>
          <w:tcPr>
            <w:tcW w:w="2220" w:type="dxa"/>
            <w:tcBorders>
              <w:top w:val="nil"/>
              <w:left w:val="nil"/>
              <w:bottom w:val="nil"/>
              <w:right w:val="nil"/>
            </w:tcBorders>
            <w:shd w:val="clear" w:color="auto" w:fill="auto"/>
            <w:tcMar>
              <w:top w:w="100" w:type="dxa"/>
              <w:left w:w="100" w:type="dxa"/>
              <w:bottom w:w="100" w:type="dxa"/>
              <w:right w:w="100" w:type="dxa"/>
            </w:tcMar>
          </w:tcPr>
          <w:p w14:paraId="7D8B7FD4" w14:textId="77777777" w:rsidR="00193070" w:rsidRDefault="00193070" w:rsidP="0061183F">
            <w:pPr>
              <w:widowControl w:val="0"/>
              <w:rPr>
                <w:rFonts w:ascii="Times New Roman" w:hAnsi="Times New Roman"/>
                <w:sz w:val="20"/>
              </w:rPr>
            </w:pPr>
            <w:r>
              <w:rPr>
                <w:rFonts w:ascii="Times New Roman" w:hAnsi="Times New Roman"/>
                <w:sz w:val="20"/>
              </w:rPr>
              <w:t>Smoking status “Yes”</w:t>
            </w:r>
          </w:p>
        </w:tc>
        <w:tc>
          <w:tcPr>
            <w:tcW w:w="1290" w:type="dxa"/>
            <w:tcBorders>
              <w:top w:val="nil"/>
              <w:left w:val="nil"/>
              <w:bottom w:val="nil"/>
              <w:right w:val="nil"/>
            </w:tcBorders>
            <w:shd w:val="clear" w:color="auto" w:fill="auto"/>
            <w:tcMar>
              <w:top w:w="100" w:type="dxa"/>
              <w:left w:w="100" w:type="dxa"/>
              <w:bottom w:w="100" w:type="dxa"/>
              <w:right w:w="100" w:type="dxa"/>
            </w:tcMar>
          </w:tcPr>
          <w:p w14:paraId="6BB3E239" w14:textId="77777777" w:rsidR="00193070" w:rsidRDefault="00193070" w:rsidP="0061183F">
            <w:pPr>
              <w:widowControl w:val="0"/>
              <w:jc w:val="right"/>
              <w:rPr>
                <w:rFonts w:ascii="Times New Roman" w:hAnsi="Times New Roman"/>
                <w:sz w:val="20"/>
              </w:rPr>
            </w:pPr>
            <w:r>
              <w:rPr>
                <w:rFonts w:ascii="Times New Roman" w:hAnsi="Times New Roman"/>
                <w:sz w:val="20"/>
              </w:rPr>
              <w:t>-8.832</w:t>
            </w:r>
          </w:p>
        </w:tc>
        <w:tc>
          <w:tcPr>
            <w:tcW w:w="1590" w:type="dxa"/>
            <w:tcBorders>
              <w:top w:val="nil"/>
              <w:left w:val="nil"/>
              <w:bottom w:val="nil"/>
              <w:right w:val="nil"/>
            </w:tcBorders>
            <w:shd w:val="clear" w:color="auto" w:fill="auto"/>
            <w:tcMar>
              <w:top w:w="100" w:type="dxa"/>
              <w:left w:w="100" w:type="dxa"/>
              <w:bottom w:w="100" w:type="dxa"/>
              <w:right w:w="100" w:type="dxa"/>
            </w:tcMar>
          </w:tcPr>
          <w:p w14:paraId="6EFA886F" w14:textId="77777777" w:rsidR="00193070" w:rsidRDefault="00193070" w:rsidP="0061183F">
            <w:pPr>
              <w:widowControl w:val="0"/>
              <w:jc w:val="right"/>
              <w:rPr>
                <w:rFonts w:ascii="Times New Roman" w:hAnsi="Times New Roman"/>
                <w:sz w:val="20"/>
              </w:rPr>
            </w:pPr>
            <w:r>
              <w:rPr>
                <w:rFonts w:ascii="Times New Roman" w:hAnsi="Times New Roman"/>
                <w:sz w:val="20"/>
              </w:rPr>
              <w:t>-15.598</w:t>
            </w:r>
          </w:p>
        </w:tc>
        <w:tc>
          <w:tcPr>
            <w:tcW w:w="1410" w:type="dxa"/>
            <w:tcBorders>
              <w:top w:val="nil"/>
              <w:left w:val="nil"/>
              <w:bottom w:val="nil"/>
              <w:right w:val="nil"/>
            </w:tcBorders>
            <w:shd w:val="clear" w:color="auto" w:fill="auto"/>
            <w:tcMar>
              <w:top w:w="100" w:type="dxa"/>
              <w:left w:w="100" w:type="dxa"/>
              <w:bottom w:w="100" w:type="dxa"/>
              <w:right w:w="100" w:type="dxa"/>
            </w:tcMar>
          </w:tcPr>
          <w:p w14:paraId="1C51018A" w14:textId="77777777" w:rsidR="00193070" w:rsidRDefault="00193070" w:rsidP="0061183F">
            <w:pPr>
              <w:widowControl w:val="0"/>
              <w:jc w:val="right"/>
              <w:rPr>
                <w:rFonts w:ascii="Times New Roman" w:hAnsi="Times New Roman"/>
                <w:sz w:val="20"/>
              </w:rPr>
            </w:pPr>
            <w:r>
              <w:rPr>
                <w:rFonts w:ascii="Times New Roman" w:hAnsi="Times New Roman"/>
                <w:sz w:val="20"/>
              </w:rPr>
              <w:t>-2.065</w:t>
            </w:r>
          </w:p>
        </w:tc>
        <w:tc>
          <w:tcPr>
            <w:tcW w:w="765" w:type="dxa"/>
            <w:tcBorders>
              <w:top w:val="nil"/>
              <w:left w:val="nil"/>
              <w:bottom w:val="nil"/>
              <w:right w:val="nil"/>
            </w:tcBorders>
            <w:shd w:val="clear" w:color="auto" w:fill="auto"/>
            <w:tcMar>
              <w:top w:w="100" w:type="dxa"/>
              <w:left w:w="100" w:type="dxa"/>
              <w:bottom w:w="100" w:type="dxa"/>
              <w:right w:w="100" w:type="dxa"/>
            </w:tcMar>
          </w:tcPr>
          <w:p w14:paraId="6AB4BE4E" w14:textId="77777777" w:rsidR="00193070" w:rsidRDefault="00193070" w:rsidP="0061183F">
            <w:pPr>
              <w:widowControl w:val="0"/>
              <w:jc w:val="right"/>
              <w:rPr>
                <w:rFonts w:ascii="Times New Roman" w:hAnsi="Times New Roman"/>
                <w:sz w:val="20"/>
              </w:rPr>
            </w:pPr>
            <w:r>
              <w:rPr>
                <w:rFonts w:ascii="Times New Roman" w:hAnsi="Times New Roman"/>
                <w:sz w:val="20"/>
              </w:rPr>
              <w:t>0.011</w:t>
            </w:r>
          </w:p>
        </w:tc>
      </w:tr>
      <w:tr w:rsidR="00D3744B" w14:paraId="54A4BD49" w14:textId="77777777" w:rsidTr="00D3744B">
        <w:trPr>
          <w:trHeight w:val="233"/>
          <w:jc w:val="center"/>
        </w:trPr>
        <w:tc>
          <w:tcPr>
            <w:tcW w:w="1650" w:type="dxa"/>
            <w:vMerge/>
            <w:tcBorders>
              <w:top w:val="nil"/>
              <w:left w:val="nil"/>
              <w:bottom w:val="single" w:sz="4" w:space="0" w:color="auto"/>
              <w:right w:val="nil"/>
            </w:tcBorders>
            <w:tcMar>
              <w:top w:w="100" w:type="dxa"/>
              <w:left w:w="100" w:type="dxa"/>
              <w:bottom w:w="100" w:type="dxa"/>
              <w:right w:w="100" w:type="dxa"/>
            </w:tcMar>
          </w:tcPr>
          <w:p w14:paraId="17C1B9CC" w14:textId="77777777" w:rsidR="00193070" w:rsidRDefault="00193070" w:rsidP="0061183F">
            <w:pPr>
              <w:widowControl w:val="0"/>
              <w:jc w:val="center"/>
              <w:rPr>
                <w:rFonts w:ascii="Times New Roman" w:hAnsi="Times New Roman"/>
                <w:sz w:val="20"/>
              </w:rPr>
            </w:pPr>
          </w:p>
        </w:tc>
        <w:tc>
          <w:tcPr>
            <w:tcW w:w="2220" w:type="dxa"/>
            <w:tcBorders>
              <w:top w:val="nil"/>
              <w:left w:val="nil"/>
              <w:bottom w:val="nil"/>
              <w:right w:val="nil"/>
            </w:tcBorders>
            <w:shd w:val="clear" w:color="auto" w:fill="auto"/>
            <w:tcMar>
              <w:top w:w="100" w:type="dxa"/>
              <w:left w:w="100" w:type="dxa"/>
              <w:bottom w:w="100" w:type="dxa"/>
              <w:right w:w="100" w:type="dxa"/>
            </w:tcMar>
          </w:tcPr>
          <w:p w14:paraId="7E0193D5" w14:textId="77777777" w:rsidR="00193070" w:rsidRDefault="00193070" w:rsidP="0061183F">
            <w:pPr>
              <w:widowControl w:val="0"/>
              <w:rPr>
                <w:rFonts w:ascii="Times New Roman" w:hAnsi="Times New Roman"/>
                <w:sz w:val="20"/>
              </w:rPr>
            </w:pPr>
            <w:r>
              <w:rPr>
                <w:rFonts w:ascii="Times New Roman" w:hAnsi="Times New Roman"/>
                <w:sz w:val="20"/>
              </w:rPr>
              <w:t>Sleeping duration for 4 - 6 hours</w:t>
            </w:r>
          </w:p>
        </w:tc>
        <w:tc>
          <w:tcPr>
            <w:tcW w:w="1290" w:type="dxa"/>
            <w:tcBorders>
              <w:top w:val="nil"/>
              <w:left w:val="nil"/>
              <w:bottom w:val="nil"/>
              <w:right w:val="nil"/>
            </w:tcBorders>
            <w:shd w:val="clear" w:color="auto" w:fill="auto"/>
            <w:tcMar>
              <w:top w:w="100" w:type="dxa"/>
              <w:left w:w="100" w:type="dxa"/>
              <w:bottom w:w="100" w:type="dxa"/>
              <w:right w:w="100" w:type="dxa"/>
            </w:tcMar>
          </w:tcPr>
          <w:p w14:paraId="1D915295" w14:textId="77777777" w:rsidR="00193070" w:rsidRDefault="00193070" w:rsidP="0061183F">
            <w:pPr>
              <w:widowControl w:val="0"/>
              <w:jc w:val="right"/>
              <w:rPr>
                <w:rFonts w:ascii="Times New Roman" w:hAnsi="Times New Roman"/>
                <w:sz w:val="20"/>
              </w:rPr>
            </w:pPr>
            <w:r>
              <w:rPr>
                <w:rFonts w:ascii="Times New Roman" w:hAnsi="Times New Roman"/>
                <w:sz w:val="20"/>
              </w:rPr>
              <w:t>14.703</w:t>
            </w:r>
          </w:p>
        </w:tc>
        <w:tc>
          <w:tcPr>
            <w:tcW w:w="1590" w:type="dxa"/>
            <w:tcBorders>
              <w:top w:val="nil"/>
              <w:left w:val="nil"/>
              <w:bottom w:val="nil"/>
              <w:right w:val="nil"/>
            </w:tcBorders>
            <w:shd w:val="clear" w:color="auto" w:fill="auto"/>
            <w:tcMar>
              <w:top w:w="100" w:type="dxa"/>
              <w:left w:w="100" w:type="dxa"/>
              <w:bottom w:w="100" w:type="dxa"/>
              <w:right w:w="100" w:type="dxa"/>
            </w:tcMar>
          </w:tcPr>
          <w:p w14:paraId="6B19EFE0" w14:textId="77777777" w:rsidR="00193070" w:rsidRDefault="00193070" w:rsidP="0061183F">
            <w:pPr>
              <w:widowControl w:val="0"/>
              <w:jc w:val="right"/>
              <w:rPr>
                <w:rFonts w:ascii="Times New Roman" w:hAnsi="Times New Roman"/>
                <w:sz w:val="20"/>
              </w:rPr>
            </w:pPr>
            <w:r>
              <w:rPr>
                <w:rFonts w:ascii="Times New Roman" w:hAnsi="Times New Roman"/>
                <w:sz w:val="20"/>
              </w:rPr>
              <w:t>7.710</w:t>
            </w:r>
          </w:p>
        </w:tc>
        <w:tc>
          <w:tcPr>
            <w:tcW w:w="1410" w:type="dxa"/>
            <w:tcBorders>
              <w:top w:val="nil"/>
              <w:left w:val="nil"/>
              <w:bottom w:val="nil"/>
              <w:right w:val="nil"/>
            </w:tcBorders>
            <w:shd w:val="clear" w:color="auto" w:fill="auto"/>
            <w:tcMar>
              <w:top w:w="100" w:type="dxa"/>
              <w:left w:w="100" w:type="dxa"/>
              <w:bottom w:w="100" w:type="dxa"/>
              <w:right w:w="100" w:type="dxa"/>
            </w:tcMar>
          </w:tcPr>
          <w:p w14:paraId="5D1444BB" w14:textId="77777777" w:rsidR="00193070" w:rsidRDefault="00193070" w:rsidP="0061183F">
            <w:pPr>
              <w:widowControl w:val="0"/>
              <w:jc w:val="right"/>
              <w:rPr>
                <w:rFonts w:ascii="Times New Roman" w:hAnsi="Times New Roman"/>
                <w:sz w:val="20"/>
              </w:rPr>
            </w:pPr>
            <w:r>
              <w:rPr>
                <w:rFonts w:ascii="Times New Roman" w:hAnsi="Times New Roman"/>
                <w:sz w:val="20"/>
              </w:rPr>
              <w:t>21.696</w:t>
            </w:r>
          </w:p>
        </w:tc>
        <w:tc>
          <w:tcPr>
            <w:tcW w:w="765" w:type="dxa"/>
            <w:tcBorders>
              <w:top w:val="nil"/>
              <w:left w:val="nil"/>
              <w:bottom w:val="nil"/>
              <w:right w:val="nil"/>
            </w:tcBorders>
            <w:shd w:val="clear" w:color="auto" w:fill="auto"/>
            <w:tcMar>
              <w:top w:w="100" w:type="dxa"/>
              <w:left w:w="100" w:type="dxa"/>
              <w:bottom w:w="100" w:type="dxa"/>
              <w:right w:w="100" w:type="dxa"/>
            </w:tcMar>
          </w:tcPr>
          <w:p w14:paraId="6D9DAA8C" w14:textId="77777777" w:rsidR="00193070" w:rsidRDefault="00193070" w:rsidP="0061183F">
            <w:pPr>
              <w:widowControl w:val="0"/>
              <w:jc w:val="right"/>
              <w:rPr>
                <w:rFonts w:ascii="Times New Roman" w:hAnsi="Times New Roman"/>
                <w:sz w:val="20"/>
              </w:rPr>
            </w:pPr>
            <w:r>
              <w:rPr>
                <w:rFonts w:ascii="Times New Roman" w:hAnsi="Times New Roman"/>
                <w:sz w:val="20"/>
              </w:rPr>
              <w:t>0.000</w:t>
            </w:r>
          </w:p>
        </w:tc>
      </w:tr>
      <w:tr w:rsidR="00D3744B" w14:paraId="112426CD" w14:textId="77777777" w:rsidTr="0061183F">
        <w:trPr>
          <w:trHeight w:val="323"/>
          <w:jc w:val="center"/>
        </w:trPr>
        <w:tc>
          <w:tcPr>
            <w:tcW w:w="1650" w:type="dxa"/>
            <w:vMerge/>
            <w:tcBorders>
              <w:top w:val="nil"/>
              <w:left w:val="nil"/>
              <w:bottom w:val="single" w:sz="4" w:space="0" w:color="auto"/>
              <w:right w:val="nil"/>
            </w:tcBorders>
            <w:tcMar>
              <w:top w:w="100" w:type="dxa"/>
              <w:left w:w="100" w:type="dxa"/>
              <w:bottom w:w="100" w:type="dxa"/>
              <w:right w:w="100" w:type="dxa"/>
            </w:tcMar>
          </w:tcPr>
          <w:p w14:paraId="4EFE803F" w14:textId="77777777" w:rsidR="00193070" w:rsidRDefault="00193070" w:rsidP="0061183F">
            <w:pPr>
              <w:widowControl w:val="0"/>
              <w:jc w:val="center"/>
              <w:rPr>
                <w:rFonts w:ascii="Times New Roman" w:hAnsi="Times New Roman"/>
                <w:sz w:val="20"/>
              </w:rPr>
            </w:pPr>
          </w:p>
        </w:tc>
        <w:tc>
          <w:tcPr>
            <w:tcW w:w="2220" w:type="dxa"/>
            <w:tcBorders>
              <w:top w:val="nil"/>
              <w:left w:val="nil"/>
              <w:bottom w:val="nil"/>
              <w:right w:val="nil"/>
            </w:tcBorders>
            <w:shd w:val="clear" w:color="auto" w:fill="auto"/>
            <w:tcMar>
              <w:top w:w="100" w:type="dxa"/>
              <w:left w:w="100" w:type="dxa"/>
              <w:bottom w:w="100" w:type="dxa"/>
              <w:right w:w="100" w:type="dxa"/>
            </w:tcMar>
          </w:tcPr>
          <w:p w14:paraId="148ACBDA" w14:textId="77777777" w:rsidR="00193070" w:rsidRDefault="00193070" w:rsidP="0061183F">
            <w:pPr>
              <w:widowControl w:val="0"/>
              <w:rPr>
                <w:rFonts w:ascii="Times New Roman" w:hAnsi="Times New Roman"/>
                <w:sz w:val="20"/>
              </w:rPr>
            </w:pPr>
            <w:r>
              <w:rPr>
                <w:rFonts w:ascii="Times New Roman" w:hAnsi="Times New Roman"/>
                <w:sz w:val="20"/>
              </w:rPr>
              <w:t>Sleeping duration for 7 - 9 hours</w:t>
            </w:r>
          </w:p>
        </w:tc>
        <w:tc>
          <w:tcPr>
            <w:tcW w:w="1290" w:type="dxa"/>
            <w:tcBorders>
              <w:top w:val="nil"/>
              <w:left w:val="nil"/>
              <w:bottom w:val="nil"/>
              <w:right w:val="nil"/>
            </w:tcBorders>
            <w:shd w:val="clear" w:color="auto" w:fill="auto"/>
            <w:tcMar>
              <w:top w:w="100" w:type="dxa"/>
              <w:left w:w="100" w:type="dxa"/>
              <w:bottom w:w="100" w:type="dxa"/>
              <w:right w:w="100" w:type="dxa"/>
            </w:tcMar>
          </w:tcPr>
          <w:p w14:paraId="2BBB314E" w14:textId="77777777" w:rsidR="00193070" w:rsidRDefault="00193070" w:rsidP="0061183F">
            <w:pPr>
              <w:widowControl w:val="0"/>
              <w:jc w:val="right"/>
              <w:rPr>
                <w:rFonts w:ascii="Times New Roman" w:hAnsi="Times New Roman"/>
                <w:sz w:val="20"/>
              </w:rPr>
            </w:pPr>
            <w:r>
              <w:rPr>
                <w:rFonts w:ascii="Times New Roman" w:hAnsi="Times New Roman"/>
                <w:sz w:val="20"/>
              </w:rPr>
              <w:t>14.997</w:t>
            </w:r>
          </w:p>
        </w:tc>
        <w:tc>
          <w:tcPr>
            <w:tcW w:w="1590" w:type="dxa"/>
            <w:tcBorders>
              <w:top w:val="nil"/>
              <w:left w:val="nil"/>
              <w:bottom w:val="nil"/>
              <w:right w:val="nil"/>
            </w:tcBorders>
            <w:shd w:val="clear" w:color="auto" w:fill="auto"/>
            <w:tcMar>
              <w:top w:w="100" w:type="dxa"/>
              <w:left w:w="100" w:type="dxa"/>
              <w:bottom w:w="100" w:type="dxa"/>
              <w:right w:w="100" w:type="dxa"/>
            </w:tcMar>
          </w:tcPr>
          <w:p w14:paraId="475F3F46" w14:textId="77777777" w:rsidR="00193070" w:rsidRDefault="00193070" w:rsidP="0061183F">
            <w:pPr>
              <w:widowControl w:val="0"/>
              <w:jc w:val="right"/>
              <w:rPr>
                <w:rFonts w:ascii="Times New Roman" w:hAnsi="Times New Roman"/>
                <w:sz w:val="20"/>
              </w:rPr>
            </w:pPr>
            <w:r>
              <w:rPr>
                <w:rFonts w:ascii="Times New Roman" w:hAnsi="Times New Roman"/>
                <w:sz w:val="20"/>
              </w:rPr>
              <w:t>7.896</w:t>
            </w:r>
          </w:p>
        </w:tc>
        <w:tc>
          <w:tcPr>
            <w:tcW w:w="1410" w:type="dxa"/>
            <w:tcBorders>
              <w:top w:val="nil"/>
              <w:left w:val="nil"/>
              <w:bottom w:val="nil"/>
              <w:right w:val="nil"/>
            </w:tcBorders>
            <w:shd w:val="clear" w:color="auto" w:fill="auto"/>
            <w:tcMar>
              <w:top w:w="100" w:type="dxa"/>
              <w:left w:w="100" w:type="dxa"/>
              <w:bottom w:w="100" w:type="dxa"/>
              <w:right w:w="100" w:type="dxa"/>
            </w:tcMar>
          </w:tcPr>
          <w:p w14:paraId="2C0B3447" w14:textId="77777777" w:rsidR="00193070" w:rsidRDefault="00193070" w:rsidP="0061183F">
            <w:pPr>
              <w:widowControl w:val="0"/>
              <w:jc w:val="right"/>
              <w:rPr>
                <w:rFonts w:ascii="Times New Roman" w:hAnsi="Times New Roman"/>
                <w:sz w:val="20"/>
              </w:rPr>
            </w:pPr>
            <w:r>
              <w:rPr>
                <w:rFonts w:ascii="Times New Roman" w:hAnsi="Times New Roman"/>
                <w:sz w:val="20"/>
              </w:rPr>
              <w:t>22.098</w:t>
            </w:r>
          </w:p>
        </w:tc>
        <w:tc>
          <w:tcPr>
            <w:tcW w:w="765" w:type="dxa"/>
            <w:tcBorders>
              <w:top w:val="nil"/>
              <w:left w:val="nil"/>
              <w:bottom w:val="nil"/>
              <w:right w:val="nil"/>
            </w:tcBorders>
            <w:shd w:val="clear" w:color="auto" w:fill="auto"/>
            <w:tcMar>
              <w:top w:w="100" w:type="dxa"/>
              <w:left w:w="100" w:type="dxa"/>
              <w:bottom w:w="100" w:type="dxa"/>
              <w:right w:w="100" w:type="dxa"/>
            </w:tcMar>
          </w:tcPr>
          <w:p w14:paraId="44E14516" w14:textId="77777777" w:rsidR="00193070" w:rsidRDefault="00193070" w:rsidP="0061183F">
            <w:pPr>
              <w:widowControl w:val="0"/>
              <w:jc w:val="right"/>
              <w:rPr>
                <w:rFonts w:ascii="Times New Roman" w:hAnsi="Times New Roman"/>
                <w:sz w:val="20"/>
              </w:rPr>
            </w:pPr>
            <w:r>
              <w:rPr>
                <w:rFonts w:ascii="Times New Roman" w:hAnsi="Times New Roman"/>
                <w:sz w:val="20"/>
              </w:rPr>
              <w:t>&lt;0.001</w:t>
            </w:r>
          </w:p>
        </w:tc>
      </w:tr>
      <w:tr w:rsidR="00D3744B" w14:paraId="3DD27ABE" w14:textId="77777777" w:rsidTr="00D3744B">
        <w:trPr>
          <w:trHeight w:val="20"/>
          <w:jc w:val="center"/>
        </w:trPr>
        <w:tc>
          <w:tcPr>
            <w:tcW w:w="1650" w:type="dxa"/>
            <w:vMerge/>
            <w:tcBorders>
              <w:top w:val="nil"/>
              <w:left w:val="nil"/>
              <w:bottom w:val="single" w:sz="4" w:space="0" w:color="auto"/>
              <w:right w:val="nil"/>
            </w:tcBorders>
            <w:tcMar>
              <w:top w:w="100" w:type="dxa"/>
              <w:left w:w="100" w:type="dxa"/>
              <w:bottom w:w="100" w:type="dxa"/>
              <w:right w:w="100" w:type="dxa"/>
            </w:tcMar>
          </w:tcPr>
          <w:p w14:paraId="32F136BA" w14:textId="77777777" w:rsidR="00193070" w:rsidRDefault="00193070" w:rsidP="0061183F">
            <w:pPr>
              <w:widowControl w:val="0"/>
              <w:jc w:val="center"/>
              <w:rPr>
                <w:rFonts w:ascii="Times New Roman" w:hAnsi="Times New Roman"/>
                <w:sz w:val="20"/>
              </w:rPr>
            </w:pPr>
          </w:p>
        </w:tc>
        <w:tc>
          <w:tcPr>
            <w:tcW w:w="222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6ACD5682" w14:textId="77777777" w:rsidR="00193070" w:rsidRDefault="00193070" w:rsidP="0061183F">
            <w:pPr>
              <w:widowControl w:val="0"/>
              <w:rPr>
                <w:rFonts w:ascii="Times New Roman" w:hAnsi="Times New Roman"/>
                <w:sz w:val="20"/>
              </w:rPr>
            </w:pPr>
            <w:r>
              <w:rPr>
                <w:rFonts w:ascii="Times New Roman" w:hAnsi="Times New Roman"/>
                <w:sz w:val="20"/>
              </w:rPr>
              <w:t xml:space="preserve">Education </w:t>
            </w:r>
            <w:r>
              <w:rPr>
                <w:rFonts w:ascii="Times New Roman" w:hAnsi="Times New Roman"/>
                <w:i/>
                <w:sz w:val="20"/>
              </w:rPr>
              <w:t>via</w:t>
            </w:r>
            <w:r>
              <w:rPr>
                <w:rFonts w:ascii="Times New Roman" w:hAnsi="Times New Roman"/>
                <w:sz w:val="20"/>
              </w:rPr>
              <w:t xml:space="preserve"> Instagram</w:t>
            </w:r>
          </w:p>
        </w:tc>
        <w:tc>
          <w:tcPr>
            <w:tcW w:w="129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627CAA5E" w14:textId="77777777" w:rsidR="00193070" w:rsidRDefault="00193070" w:rsidP="0061183F">
            <w:pPr>
              <w:widowControl w:val="0"/>
              <w:jc w:val="right"/>
              <w:rPr>
                <w:rFonts w:ascii="Times New Roman" w:hAnsi="Times New Roman"/>
                <w:sz w:val="20"/>
              </w:rPr>
            </w:pPr>
            <w:r>
              <w:rPr>
                <w:rFonts w:ascii="Times New Roman" w:hAnsi="Times New Roman"/>
                <w:sz w:val="20"/>
              </w:rPr>
              <w:t>-2.347</w:t>
            </w:r>
          </w:p>
        </w:tc>
        <w:tc>
          <w:tcPr>
            <w:tcW w:w="159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63A0BCC6" w14:textId="77777777" w:rsidR="00193070" w:rsidRDefault="00193070" w:rsidP="0061183F">
            <w:pPr>
              <w:widowControl w:val="0"/>
              <w:jc w:val="right"/>
              <w:rPr>
                <w:rFonts w:ascii="Times New Roman" w:hAnsi="Times New Roman"/>
                <w:sz w:val="20"/>
              </w:rPr>
            </w:pPr>
            <w:r>
              <w:rPr>
                <w:rFonts w:ascii="Times New Roman" w:hAnsi="Times New Roman"/>
                <w:sz w:val="20"/>
              </w:rPr>
              <w:t>-3.778</w:t>
            </w:r>
          </w:p>
        </w:tc>
        <w:tc>
          <w:tcPr>
            <w:tcW w:w="141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2876F5F6" w14:textId="77777777" w:rsidR="00193070" w:rsidRDefault="00193070" w:rsidP="0061183F">
            <w:pPr>
              <w:widowControl w:val="0"/>
              <w:jc w:val="right"/>
              <w:rPr>
                <w:rFonts w:ascii="Times New Roman" w:hAnsi="Times New Roman"/>
                <w:sz w:val="20"/>
              </w:rPr>
            </w:pPr>
            <w:r>
              <w:rPr>
                <w:rFonts w:ascii="Times New Roman" w:hAnsi="Times New Roman"/>
                <w:sz w:val="20"/>
              </w:rPr>
              <w:t>-0.916</w:t>
            </w:r>
          </w:p>
        </w:tc>
        <w:tc>
          <w:tcPr>
            <w:tcW w:w="7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76C6A5C5" w14:textId="77777777" w:rsidR="00193070" w:rsidRDefault="00193070" w:rsidP="0061183F">
            <w:pPr>
              <w:widowControl w:val="0"/>
              <w:jc w:val="right"/>
              <w:rPr>
                <w:rFonts w:ascii="Times New Roman" w:hAnsi="Times New Roman"/>
                <w:sz w:val="20"/>
              </w:rPr>
            </w:pPr>
            <w:r>
              <w:rPr>
                <w:rFonts w:ascii="Times New Roman" w:hAnsi="Times New Roman"/>
                <w:sz w:val="20"/>
              </w:rPr>
              <w:t>0.002</w:t>
            </w:r>
          </w:p>
        </w:tc>
      </w:tr>
      <w:tr w:rsidR="00D3744B" w14:paraId="5899837D" w14:textId="77777777" w:rsidTr="00D3744B">
        <w:trPr>
          <w:trHeight w:val="206"/>
          <w:jc w:val="center"/>
        </w:trPr>
        <w:tc>
          <w:tcPr>
            <w:tcW w:w="1650" w:type="dxa"/>
            <w:vMerge w:val="restart"/>
            <w:tcBorders>
              <w:top w:val="nil"/>
              <w:left w:val="nil"/>
              <w:bottom w:val="single" w:sz="4" w:space="0" w:color="auto"/>
              <w:right w:val="nil"/>
            </w:tcBorders>
            <w:shd w:val="clear" w:color="auto" w:fill="auto"/>
            <w:tcMar>
              <w:top w:w="100" w:type="dxa"/>
              <w:left w:w="100" w:type="dxa"/>
              <w:bottom w:w="100" w:type="dxa"/>
              <w:right w:w="100" w:type="dxa"/>
            </w:tcMar>
          </w:tcPr>
          <w:p w14:paraId="4EBB8E62" w14:textId="77777777" w:rsidR="00193070" w:rsidRDefault="00193070" w:rsidP="0061183F">
            <w:pPr>
              <w:widowControl w:val="0"/>
              <w:jc w:val="center"/>
              <w:rPr>
                <w:rFonts w:ascii="Times New Roman" w:hAnsi="Times New Roman"/>
                <w:sz w:val="20"/>
              </w:rPr>
            </w:pPr>
            <w:r>
              <w:rPr>
                <w:rFonts w:ascii="Times New Roman" w:hAnsi="Times New Roman"/>
                <w:sz w:val="20"/>
              </w:rPr>
              <w:t>Fruits</w:t>
            </w:r>
          </w:p>
        </w:tc>
        <w:tc>
          <w:tcPr>
            <w:tcW w:w="2220" w:type="dxa"/>
            <w:tcBorders>
              <w:top w:val="nil"/>
              <w:left w:val="nil"/>
              <w:bottom w:val="nil"/>
              <w:right w:val="nil"/>
            </w:tcBorders>
            <w:shd w:val="clear" w:color="auto" w:fill="auto"/>
            <w:tcMar>
              <w:top w:w="100" w:type="dxa"/>
              <w:left w:w="100" w:type="dxa"/>
              <w:bottom w:w="100" w:type="dxa"/>
              <w:right w:w="100" w:type="dxa"/>
            </w:tcMar>
          </w:tcPr>
          <w:p w14:paraId="0C522AC2" w14:textId="77777777" w:rsidR="00193070" w:rsidRDefault="00193070" w:rsidP="0061183F">
            <w:pPr>
              <w:widowControl w:val="0"/>
              <w:rPr>
                <w:rFonts w:ascii="Times New Roman" w:hAnsi="Times New Roman"/>
                <w:sz w:val="20"/>
              </w:rPr>
            </w:pPr>
            <w:r>
              <w:rPr>
                <w:rFonts w:ascii="Times New Roman" w:hAnsi="Times New Roman"/>
                <w:sz w:val="20"/>
              </w:rPr>
              <w:t>Live in a rent house</w:t>
            </w:r>
          </w:p>
        </w:tc>
        <w:tc>
          <w:tcPr>
            <w:tcW w:w="1290" w:type="dxa"/>
            <w:tcBorders>
              <w:top w:val="nil"/>
              <w:left w:val="nil"/>
              <w:bottom w:val="nil"/>
              <w:right w:val="nil"/>
            </w:tcBorders>
            <w:shd w:val="clear" w:color="auto" w:fill="auto"/>
            <w:tcMar>
              <w:top w:w="100" w:type="dxa"/>
              <w:left w:w="100" w:type="dxa"/>
              <w:bottom w:w="100" w:type="dxa"/>
              <w:right w:w="100" w:type="dxa"/>
            </w:tcMar>
          </w:tcPr>
          <w:p w14:paraId="473F1032" w14:textId="77777777" w:rsidR="00193070" w:rsidRDefault="00193070" w:rsidP="0061183F">
            <w:pPr>
              <w:widowControl w:val="0"/>
              <w:jc w:val="right"/>
              <w:rPr>
                <w:rFonts w:ascii="Times New Roman" w:hAnsi="Times New Roman"/>
                <w:sz w:val="20"/>
              </w:rPr>
            </w:pPr>
            <w:r>
              <w:rPr>
                <w:rFonts w:ascii="Times New Roman" w:hAnsi="Times New Roman"/>
                <w:sz w:val="20"/>
              </w:rPr>
              <w:t>5.549</w:t>
            </w:r>
          </w:p>
        </w:tc>
        <w:tc>
          <w:tcPr>
            <w:tcW w:w="1590" w:type="dxa"/>
            <w:tcBorders>
              <w:top w:val="nil"/>
              <w:left w:val="nil"/>
              <w:bottom w:val="nil"/>
              <w:right w:val="nil"/>
            </w:tcBorders>
            <w:shd w:val="clear" w:color="auto" w:fill="auto"/>
            <w:tcMar>
              <w:top w:w="100" w:type="dxa"/>
              <w:left w:w="100" w:type="dxa"/>
              <w:bottom w:w="100" w:type="dxa"/>
              <w:right w:w="100" w:type="dxa"/>
            </w:tcMar>
          </w:tcPr>
          <w:p w14:paraId="595D1F16" w14:textId="77777777" w:rsidR="00193070" w:rsidRDefault="00193070" w:rsidP="0061183F">
            <w:pPr>
              <w:widowControl w:val="0"/>
              <w:jc w:val="right"/>
              <w:rPr>
                <w:rFonts w:ascii="Times New Roman" w:hAnsi="Times New Roman"/>
                <w:sz w:val="20"/>
              </w:rPr>
            </w:pPr>
            <w:r>
              <w:rPr>
                <w:rFonts w:ascii="Times New Roman" w:hAnsi="Times New Roman"/>
                <w:sz w:val="20"/>
              </w:rPr>
              <w:t>2.026</w:t>
            </w:r>
          </w:p>
        </w:tc>
        <w:tc>
          <w:tcPr>
            <w:tcW w:w="1410" w:type="dxa"/>
            <w:tcBorders>
              <w:top w:val="nil"/>
              <w:left w:val="nil"/>
              <w:bottom w:val="nil"/>
              <w:right w:val="nil"/>
            </w:tcBorders>
            <w:shd w:val="clear" w:color="auto" w:fill="auto"/>
            <w:tcMar>
              <w:top w:w="100" w:type="dxa"/>
              <w:left w:w="100" w:type="dxa"/>
              <w:bottom w:w="100" w:type="dxa"/>
              <w:right w:w="100" w:type="dxa"/>
            </w:tcMar>
          </w:tcPr>
          <w:p w14:paraId="647E6F6C" w14:textId="77777777" w:rsidR="00193070" w:rsidRDefault="00193070" w:rsidP="0061183F">
            <w:pPr>
              <w:widowControl w:val="0"/>
              <w:jc w:val="right"/>
              <w:rPr>
                <w:rFonts w:ascii="Times New Roman" w:hAnsi="Times New Roman"/>
                <w:sz w:val="20"/>
              </w:rPr>
            </w:pPr>
            <w:r>
              <w:rPr>
                <w:rFonts w:ascii="Times New Roman" w:hAnsi="Times New Roman"/>
                <w:sz w:val="20"/>
              </w:rPr>
              <w:t>9.073</w:t>
            </w:r>
          </w:p>
        </w:tc>
        <w:tc>
          <w:tcPr>
            <w:tcW w:w="765" w:type="dxa"/>
            <w:tcBorders>
              <w:top w:val="nil"/>
              <w:left w:val="nil"/>
              <w:bottom w:val="nil"/>
              <w:right w:val="nil"/>
            </w:tcBorders>
            <w:shd w:val="clear" w:color="auto" w:fill="auto"/>
            <w:tcMar>
              <w:top w:w="100" w:type="dxa"/>
              <w:left w:w="100" w:type="dxa"/>
              <w:bottom w:w="100" w:type="dxa"/>
              <w:right w:w="100" w:type="dxa"/>
            </w:tcMar>
          </w:tcPr>
          <w:p w14:paraId="618579AB" w14:textId="77777777" w:rsidR="00193070" w:rsidRDefault="00193070" w:rsidP="0061183F">
            <w:pPr>
              <w:widowControl w:val="0"/>
              <w:jc w:val="right"/>
              <w:rPr>
                <w:rFonts w:ascii="Times New Roman" w:hAnsi="Times New Roman"/>
                <w:sz w:val="20"/>
              </w:rPr>
            </w:pPr>
            <w:r>
              <w:rPr>
                <w:rFonts w:ascii="Times New Roman" w:hAnsi="Times New Roman"/>
                <w:sz w:val="20"/>
              </w:rPr>
              <w:t>0.002</w:t>
            </w:r>
          </w:p>
        </w:tc>
      </w:tr>
      <w:tr w:rsidR="00D3744B" w14:paraId="1DD1B069" w14:textId="77777777" w:rsidTr="00D3744B">
        <w:trPr>
          <w:trHeight w:val="44"/>
          <w:jc w:val="center"/>
        </w:trPr>
        <w:tc>
          <w:tcPr>
            <w:tcW w:w="1650" w:type="dxa"/>
            <w:vMerge/>
            <w:tcBorders>
              <w:top w:val="nil"/>
              <w:left w:val="nil"/>
              <w:bottom w:val="single" w:sz="4" w:space="0" w:color="auto"/>
              <w:right w:val="nil"/>
            </w:tcBorders>
            <w:tcMar>
              <w:top w:w="100" w:type="dxa"/>
              <w:left w:w="100" w:type="dxa"/>
              <w:bottom w:w="100" w:type="dxa"/>
              <w:right w:w="100" w:type="dxa"/>
            </w:tcMar>
          </w:tcPr>
          <w:p w14:paraId="1456419B" w14:textId="77777777" w:rsidR="00193070" w:rsidRDefault="00193070" w:rsidP="0061183F">
            <w:pPr>
              <w:widowControl w:val="0"/>
              <w:jc w:val="center"/>
              <w:rPr>
                <w:rFonts w:ascii="Times New Roman" w:hAnsi="Times New Roman"/>
                <w:sz w:val="20"/>
              </w:rPr>
            </w:pPr>
          </w:p>
        </w:tc>
        <w:tc>
          <w:tcPr>
            <w:tcW w:w="2220" w:type="dxa"/>
            <w:tcBorders>
              <w:top w:val="nil"/>
              <w:left w:val="nil"/>
              <w:bottom w:val="nil"/>
              <w:right w:val="nil"/>
            </w:tcBorders>
            <w:shd w:val="clear" w:color="auto" w:fill="auto"/>
            <w:tcMar>
              <w:top w:w="100" w:type="dxa"/>
              <w:left w:w="100" w:type="dxa"/>
              <w:bottom w:w="100" w:type="dxa"/>
              <w:right w:w="100" w:type="dxa"/>
            </w:tcMar>
          </w:tcPr>
          <w:p w14:paraId="4C1FA010" w14:textId="77777777" w:rsidR="00193070" w:rsidRDefault="00193070" w:rsidP="0061183F">
            <w:pPr>
              <w:widowControl w:val="0"/>
              <w:rPr>
                <w:rFonts w:ascii="Times New Roman" w:hAnsi="Times New Roman"/>
                <w:sz w:val="20"/>
              </w:rPr>
            </w:pPr>
            <w:r>
              <w:rPr>
                <w:rFonts w:ascii="Times New Roman" w:hAnsi="Times New Roman"/>
                <w:sz w:val="20"/>
              </w:rPr>
              <w:t>No history DM in family</w:t>
            </w:r>
          </w:p>
        </w:tc>
        <w:tc>
          <w:tcPr>
            <w:tcW w:w="1290" w:type="dxa"/>
            <w:tcBorders>
              <w:top w:val="nil"/>
              <w:left w:val="nil"/>
              <w:bottom w:val="nil"/>
              <w:right w:val="nil"/>
            </w:tcBorders>
            <w:shd w:val="clear" w:color="auto" w:fill="auto"/>
            <w:tcMar>
              <w:top w:w="100" w:type="dxa"/>
              <w:left w:w="100" w:type="dxa"/>
              <w:bottom w:w="100" w:type="dxa"/>
              <w:right w:w="100" w:type="dxa"/>
            </w:tcMar>
          </w:tcPr>
          <w:p w14:paraId="744C6DF6" w14:textId="77777777" w:rsidR="00193070" w:rsidRDefault="00193070" w:rsidP="0061183F">
            <w:pPr>
              <w:widowControl w:val="0"/>
              <w:jc w:val="right"/>
              <w:rPr>
                <w:rFonts w:ascii="Times New Roman" w:hAnsi="Times New Roman"/>
                <w:sz w:val="20"/>
              </w:rPr>
            </w:pPr>
            <w:r>
              <w:rPr>
                <w:rFonts w:ascii="Times New Roman" w:hAnsi="Times New Roman"/>
                <w:sz w:val="20"/>
              </w:rPr>
              <w:t>4.388</w:t>
            </w:r>
          </w:p>
        </w:tc>
        <w:tc>
          <w:tcPr>
            <w:tcW w:w="1590" w:type="dxa"/>
            <w:tcBorders>
              <w:top w:val="nil"/>
              <w:left w:val="nil"/>
              <w:bottom w:val="nil"/>
              <w:right w:val="nil"/>
            </w:tcBorders>
            <w:shd w:val="clear" w:color="auto" w:fill="auto"/>
            <w:tcMar>
              <w:top w:w="100" w:type="dxa"/>
              <w:left w:w="100" w:type="dxa"/>
              <w:bottom w:w="100" w:type="dxa"/>
              <w:right w:w="100" w:type="dxa"/>
            </w:tcMar>
          </w:tcPr>
          <w:p w14:paraId="332362A4" w14:textId="77777777" w:rsidR="00193070" w:rsidRDefault="00193070" w:rsidP="0061183F">
            <w:pPr>
              <w:widowControl w:val="0"/>
              <w:jc w:val="right"/>
              <w:rPr>
                <w:rFonts w:ascii="Times New Roman" w:hAnsi="Times New Roman"/>
                <w:sz w:val="20"/>
              </w:rPr>
            </w:pPr>
            <w:r>
              <w:rPr>
                <w:rFonts w:ascii="Times New Roman" w:hAnsi="Times New Roman"/>
                <w:sz w:val="20"/>
              </w:rPr>
              <w:t>0.900</w:t>
            </w:r>
          </w:p>
        </w:tc>
        <w:tc>
          <w:tcPr>
            <w:tcW w:w="1410" w:type="dxa"/>
            <w:tcBorders>
              <w:top w:val="nil"/>
              <w:left w:val="nil"/>
              <w:bottom w:val="nil"/>
              <w:right w:val="nil"/>
            </w:tcBorders>
            <w:shd w:val="clear" w:color="auto" w:fill="auto"/>
            <w:tcMar>
              <w:top w:w="100" w:type="dxa"/>
              <w:left w:w="100" w:type="dxa"/>
              <w:bottom w:w="100" w:type="dxa"/>
              <w:right w:w="100" w:type="dxa"/>
            </w:tcMar>
          </w:tcPr>
          <w:p w14:paraId="6F8BF32F" w14:textId="77777777" w:rsidR="00193070" w:rsidRDefault="00193070" w:rsidP="0061183F">
            <w:pPr>
              <w:widowControl w:val="0"/>
              <w:jc w:val="right"/>
              <w:rPr>
                <w:rFonts w:ascii="Times New Roman" w:hAnsi="Times New Roman"/>
                <w:sz w:val="20"/>
              </w:rPr>
            </w:pPr>
            <w:r>
              <w:rPr>
                <w:rFonts w:ascii="Times New Roman" w:hAnsi="Times New Roman"/>
                <w:sz w:val="20"/>
              </w:rPr>
              <w:t>7.876</w:t>
            </w:r>
          </w:p>
        </w:tc>
        <w:tc>
          <w:tcPr>
            <w:tcW w:w="765" w:type="dxa"/>
            <w:tcBorders>
              <w:top w:val="nil"/>
              <w:left w:val="nil"/>
              <w:bottom w:val="nil"/>
              <w:right w:val="nil"/>
            </w:tcBorders>
            <w:shd w:val="clear" w:color="auto" w:fill="auto"/>
            <w:tcMar>
              <w:top w:w="100" w:type="dxa"/>
              <w:left w:w="100" w:type="dxa"/>
              <w:bottom w:w="100" w:type="dxa"/>
              <w:right w:w="100" w:type="dxa"/>
            </w:tcMar>
          </w:tcPr>
          <w:p w14:paraId="66FD4875" w14:textId="77777777" w:rsidR="00193070" w:rsidRDefault="00193070" w:rsidP="0061183F">
            <w:pPr>
              <w:widowControl w:val="0"/>
              <w:jc w:val="right"/>
              <w:rPr>
                <w:rFonts w:ascii="Times New Roman" w:hAnsi="Times New Roman"/>
                <w:sz w:val="20"/>
              </w:rPr>
            </w:pPr>
            <w:r>
              <w:rPr>
                <w:rFonts w:ascii="Times New Roman" w:hAnsi="Times New Roman"/>
                <w:sz w:val="20"/>
              </w:rPr>
              <w:t>0.014</w:t>
            </w:r>
          </w:p>
        </w:tc>
      </w:tr>
      <w:tr w:rsidR="00D3744B" w14:paraId="2CECD390" w14:textId="77777777" w:rsidTr="00D3744B">
        <w:trPr>
          <w:trHeight w:val="359"/>
          <w:jc w:val="center"/>
        </w:trPr>
        <w:tc>
          <w:tcPr>
            <w:tcW w:w="1650" w:type="dxa"/>
            <w:vMerge/>
            <w:tcBorders>
              <w:top w:val="nil"/>
              <w:left w:val="nil"/>
              <w:bottom w:val="single" w:sz="4" w:space="0" w:color="auto"/>
              <w:right w:val="nil"/>
            </w:tcBorders>
            <w:tcMar>
              <w:top w:w="100" w:type="dxa"/>
              <w:left w:w="100" w:type="dxa"/>
              <w:bottom w:w="100" w:type="dxa"/>
              <w:right w:w="100" w:type="dxa"/>
            </w:tcMar>
          </w:tcPr>
          <w:p w14:paraId="106961F2" w14:textId="77777777" w:rsidR="00193070" w:rsidRDefault="00193070" w:rsidP="0061183F">
            <w:pPr>
              <w:widowControl w:val="0"/>
              <w:jc w:val="center"/>
              <w:rPr>
                <w:rFonts w:ascii="Times New Roman" w:hAnsi="Times New Roman"/>
                <w:sz w:val="20"/>
              </w:rPr>
            </w:pPr>
          </w:p>
        </w:tc>
        <w:tc>
          <w:tcPr>
            <w:tcW w:w="222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35DF446D" w14:textId="77777777" w:rsidR="00193070" w:rsidRDefault="00193070" w:rsidP="0061183F">
            <w:pPr>
              <w:widowControl w:val="0"/>
              <w:rPr>
                <w:rFonts w:ascii="Times New Roman" w:hAnsi="Times New Roman"/>
                <w:sz w:val="20"/>
              </w:rPr>
            </w:pPr>
            <w:r>
              <w:rPr>
                <w:rFonts w:ascii="Times New Roman" w:hAnsi="Times New Roman"/>
                <w:sz w:val="20"/>
              </w:rPr>
              <w:t xml:space="preserve">Education </w:t>
            </w:r>
            <w:r>
              <w:rPr>
                <w:rFonts w:ascii="Times New Roman" w:hAnsi="Times New Roman"/>
                <w:i/>
                <w:sz w:val="20"/>
              </w:rPr>
              <w:t>via</w:t>
            </w:r>
            <w:r>
              <w:rPr>
                <w:rFonts w:ascii="Times New Roman" w:hAnsi="Times New Roman"/>
                <w:sz w:val="20"/>
              </w:rPr>
              <w:t xml:space="preserve"> Instagram</w:t>
            </w:r>
          </w:p>
        </w:tc>
        <w:tc>
          <w:tcPr>
            <w:tcW w:w="129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5150D653" w14:textId="77777777" w:rsidR="00193070" w:rsidRDefault="00193070" w:rsidP="0061183F">
            <w:pPr>
              <w:widowControl w:val="0"/>
              <w:jc w:val="right"/>
              <w:rPr>
                <w:rFonts w:ascii="Times New Roman" w:hAnsi="Times New Roman"/>
                <w:sz w:val="20"/>
              </w:rPr>
            </w:pPr>
            <w:r>
              <w:rPr>
                <w:rFonts w:ascii="Times New Roman" w:hAnsi="Times New Roman"/>
                <w:sz w:val="20"/>
              </w:rPr>
              <w:t>9.391</w:t>
            </w:r>
          </w:p>
        </w:tc>
        <w:tc>
          <w:tcPr>
            <w:tcW w:w="159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253B07FE" w14:textId="77777777" w:rsidR="00193070" w:rsidRDefault="00193070" w:rsidP="0061183F">
            <w:pPr>
              <w:widowControl w:val="0"/>
              <w:jc w:val="right"/>
              <w:rPr>
                <w:rFonts w:ascii="Times New Roman" w:hAnsi="Times New Roman"/>
                <w:sz w:val="20"/>
              </w:rPr>
            </w:pPr>
            <w:r>
              <w:rPr>
                <w:rFonts w:ascii="Times New Roman" w:hAnsi="Times New Roman"/>
                <w:sz w:val="20"/>
              </w:rPr>
              <w:t>5.959</w:t>
            </w:r>
          </w:p>
        </w:tc>
        <w:tc>
          <w:tcPr>
            <w:tcW w:w="141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64AE6CF2" w14:textId="77777777" w:rsidR="00193070" w:rsidRDefault="00193070" w:rsidP="0061183F">
            <w:pPr>
              <w:widowControl w:val="0"/>
              <w:jc w:val="right"/>
              <w:rPr>
                <w:rFonts w:ascii="Times New Roman" w:hAnsi="Times New Roman"/>
                <w:sz w:val="20"/>
              </w:rPr>
            </w:pPr>
            <w:r>
              <w:rPr>
                <w:rFonts w:ascii="Times New Roman" w:hAnsi="Times New Roman"/>
                <w:sz w:val="20"/>
              </w:rPr>
              <w:t>12.823</w:t>
            </w:r>
          </w:p>
        </w:tc>
        <w:tc>
          <w:tcPr>
            <w:tcW w:w="7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1296594E" w14:textId="77777777" w:rsidR="00193070" w:rsidRDefault="00193070" w:rsidP="0061183F">
            <w:pPr>
              <w:widowControl w:val="0"/>
              <w:jc w:val="right"/>
              <w:rPr>
                <w:rFonts w:ascii="Times New Roman" w:hAnsi="Times New Roman"/>
                <w:sz w:val="20"/>
              </w:rPr>
            </w:pPr>
            <w:r>
              <w:rPr>
                <w:rFonts w:ascii="Times New Roman" w:hAnsi="Times New Roman"/>
                <w:sz w:val="20"/>
              </w:rPr>
              <w:t>&lt;0.001</w:t>
            </w:r>
          </w:p>
        </w:tc>
      </w:tr>
      <w:tr w:rsidR="00D3744B" w14:paraId="540B300D" w14:textId="77777777" w:rsidTr="00D3744B">
        <w:trPr>
          <w:jc w:val="center"/>
        </w:trPr>
        <w:tc>
          <w:tcPr>
            <w:tcW w:w="1650" w:type="dxa"/>
            <w:tcBorders>
              <w:top w:val="single" w:sz="4" w:space="0" w:color="auto"/>
              <w:left w:val="nil"/>
              <w:bottom w:val="single" w:sz="8" w:space="0" w:color="000000" w:themeColor="text1"/>
              <w:right w:val="nil"/>
            </w:tcBorders>
            <w:tcMar>
              <w:top w:w="100" w:type="dxa"/>
              <w:left w:w="100" w:type="dxa"/>
              <w:bottom w:w="100" w:type="dxa"/>
              <w:right w:w="100" w:type="dxa"/>
            </w:tcMar>
          </w:tcPr>
          <w:p w14:paraId="147D0711" w14:textId="77777777" w:rsidR="00193070" w:rsidRDefault="00193070" w:rsidP="0061183F">
            <w:pPr>
              <w:widowControl w:val="0"/>
              <w:jc w:val="center"/>
              <w:rPr>
                <w:rFonts w:ascii="Times New Roman" w:hAnsi="Times New Roman"/>
                <w:sz w:val="20"/>
              </w:rPr>
            </w:pPr>
            <w:r>
              <w:rPr>
                <w:rFonts w:ascii="Times New Roman" w:hAnsi="Times New Roman"/>
                <w:sz w:val="20"/>
              </w:rPr>
              <w:t>Eggs and meat</w:t>
            </w:r>
          </w:p>
        </w:tc>
        <w:tc>
          <w:tcPr>
            <w:tcW w:w="7278" w:type="dxa"/>
            <w:gridSpan w:val="5"/>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1B84E328" w14:textId="77777777" w:rsidR="00193070" w:rsidRDefault="00193070" w:rsidP="0061183F">
            <w:pPr>
              <w:widowControl w:val="0"/>
              <w:rPr>
                <w:rFonts w:ascii="Times New Roman" w:hAnsi="Times New Roman"/>
                <w:sz w:val="20"/>
              </w:rPr>
            </w:pPr>
            <w:r>
              <w:rPr>
                <w:rFonts w:ascii="Times New Roman" w:hAnsi="Times New Roman"/>
                <w:sz w:val="20"/>
              </w:rPr>
              <w:t>No significant factor was observed</w:t>
            </w:r>
          </w:p>
        </w:tc>
      </w:tr>
      <w:tr w:rsidR="00D3744B" w14:paraId="54B6F510" w14:textId="77777777" w:rsidTr="00D8463E">
        <w:trPr>
          <w:trHeight w:val="287"/>
          <w:jc w:val="center"/>
        </w:trPr>
        <w:tc>
          <w:tcPr>
            <w:tcW w:w="5163" w:type="dxa"/>
            <w:gridSpan w:val="3"/>
            <w:tcBorders>
              <w:top w:val="nil"/>
              <w:left w:val="nil"/>
              <w:bottom w:val="nil"/>
              <w:right w:val="nil"/>
            </w:tcBorders>
            <w:shd w:val="clear" w:color="auto" w:fill="auto"/>
            <w:tcMar>
              <w:top w:w="100" w:type="dxa"/>
              <w:left w:w="100" w:type="dxa"/>
              <w:bottom w:w="100" w:type="dxa"/>
              <w:right w:w="100" w:type="dxa"/>
            </w:tcMar>
          </w:tcPr>
          <w:p w14:paraId="4C3F373E" w14:textId="77777777" w:rsidR="00193070" w:rsidRDefault="00193070" w:rsidP="0061183F">
            <w:pPr>
              <w:widowControl w:val="0"/>
              <w:rPr>
                <w:rFonts w:ascii="Times New Roman" w:hAnsi="Times New Roman"/>
                <w:b/>
                <w:sz w:val="20"/>
              </w:rPr>
            </w:pPr>
            <w:r>
              <w:rPr>
                <w:rFonts w:ascii="Times New Roman" w:hAnsi="Times New Roman"/>
                <w:b/>
                <w:sz w:val="20"/>
              </w:rPr>
              <w:t>II. Knowledge and Physical Activity</w:t>
            </w:r>
          </w:p>
        </w:tc>
        <w:tc>
          <w:tcPr>
            <w:tcW w:w="159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30371B2B" w14:textId="77777777" w:rsidR="00193070" w:rsidRDefault="00193070" w:rsidP="0061183F">
            <w:pPr>
              <w:widowControl w:val="0"/>
              <w:jc w:val="right"/>
              <w:rPr>
                <w:rFonts w:ascii="Times New Roman" w:hAnsi="Times New Roman"/>
                <w:sz w:val="20"/>
              </w:rPr>
            </w:pPr>
            <w:r>
              <w:rPr>
                <w:rFonts w:ascii="Times New Roman" w:hAnsi="Times New Roman"/>
                <w:sz w:val="20"/>
              </w:rPr>
              <w:t xml:space="preserve"> </w:t>
            </w:r>
          </w:p>
        </w:tc>
        <w:tc>
          <w:tcPr>
            <w:tcW w:w="141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4D1A0BB3" w14:textId="77777777" w:rsidR="00193070" w:rsidRDefault="00193070" w:rsidP="0061183F">
            <w:pPr>
              <w:widowControl w:val="0"/>
              <w:jc w:val="right"/>
              <w:rPr>
                <w:rFonts w:ascii="Times New Roman" w:hAnsi="Times New Roman"/>
                <w:sz w:val="20"/>
              </w:rPr>
            </w:pPr>
            <w:r>
              <w:rPr>
                <w:rFonts w:ascii="Times New Roman" w:hAnsi="Times New Roman"/>
                <w:sz w:val="20"/>
              </w:rPr>
              <w:t xml:space="preserve"> </w:t>
            </w:r>
          </w:p>
        </w:tc>
        <w:tc>
          <w:tcPr>
            <w:tcW w:w="7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7B3FAC03" w14:textId="77777777" w:rsidR="00193070" w:rsidRDefault="00193070" w:rsidP="0061183F">
            <w:pPr>
              <w:widowControl w:val="0"/>
              <w:jc w:val="both"/>
              <w:rPr>
                <w:rFonts w:ascii="Times New Roman" w:hAnsi="Times New Roman"/>
                <w:sz w:val="20"/>
              </w:rPr>
            </w:pPr>
            <w:r>
              <w:rPr>
                <w:rFonts w:ascii="Times New Roman" w:hAnsi="Times New Roman"/>
                <w:sz w:val="20"/>
              </w:rPr>
              <w:t xml:space="preserve"> </w:t>
            </w:r>
          </w:p>
        </w:tc>
      </w:tr>
      <w:tr w:rsidR="00D3744B" w14:paraId="7D03D681" w14:textId="77777777" w:rsidTr="00D3744B">
        <w:trPr>
          <w:trHeight w:val="96"/>
          <w:jc w:val="center"/>
        </w:trPr>
        <w:tc>
          <w:tcPr>
            <w:tcW w:w="1650" w:type="dxa"/>
            <w:vMerge w:val="restart"/>
            <w:tcBorders>
              <w:top w:val="single" w:sz="4" w:space="0" w:color="auto"/>
              <w:left w:val="nil"/>
              <w:bottom w:val="nil"/>
              <w:right w:val="nil"/>
            </w:tcBorders>
            <w:shd w:val="clear" w:color="auto" w:fill="auto"/>
            <w:tcMar>
              <w:top w:w="100" w:type="dxa"/>
              <w:left w:w="100" w:type="dxa"/>
              <w:bottom w:w="100" w:type="dxa"/>
              <w:right w:w="100" w:type="dxa"/>
            </w:tcMar>
          </w:tcPr>
          <w:p w14:paraId="09E437F7" w14:textId="77777777" w:rsidR="00193070" w:rsidRDefault="00193070" w:rsidP="0061183F">
            <w:pPr>
              <w:widowControl w:val="0"/>
              <w:jc w:val="center"/>
              <w:rPr>
                <w:rFonts w:ascii="Times New Roman" w:hAnsi="Times New Roman"/>
                <w:sz w:val="20"/>
              </w:rPr>
            </w:pPr>
            <w:r>
              <w:rPr>
                <w:rFonts w:ascii="Times New Roman" w:hAnsi="Times New Roman"/>
                <w:sz w:val="20"/>
              </w:rPr>
              <w:t>Knowledge</w:t>
            </w:r>
          </w:p>
        </w:tc>
        <w:tc>
          <w:tcPr>
            <w:tcW w:w="2220" w:type="dxa"/>
            <w:tcBorders>
              <w:top w:val="single" w:sz="8" w:space="0" w:color="000000" w:themeColor="text1"/>
              <w:left w:val="nil"/>
              <w:bottom w:val="single" w:sz="8" w:space="0" w:color="000000" w:themeColor="text1"/>
              <w:right w:val="nil"/>
            </w:tcBorders>
            <w:shd w:val="clear" w:color="auto" w:fill="auto"/>
            <w:tcMar>
              <w:top w:w="100" w:type="dxa"/>
              <w:left w:w="100" w:type="dxa"/>
              <w:bottom w:w="100" w:type="dxa"/>
              <w:right w:w="100" w:type="dxa"/>
            </w:tcMar>
          </w:tcPr>
          <w:p w14:paraId="1343A758" w14:textId="77777777" w:rsidR="00193070" w:rsidRDefault="00193070" w:rsidP="0061183F">
            <w:pPr>
              <w:widowControl w:val="0"/>
              <w:rPr>
                <w:rFonts w:ascii="Times New Roman" w:hAnsi="Times New Roman"/>
                <w:sz w:val="20"/>
              </w:rPr>
            </w:pPr>
            <w:r>
              <w:rPr>
                <w:rFonts w:ascii="Times New Roman" w:hAnsi="Times New Roman"/>
                <w:sz w:val="20"/>
              </w:rPr>
              <w:t>Overweight</w:t>
            </w:r>
          </w:p>
        </w:tc>
        <w:tc>
          <w:tcPr>
            <w:tcW w:w="1290" w:type="dxa"/>
            <w:tcBorders>
              <w:top w:val="single" w:sz="8" w:space="0" w:color="000000" w:themeColor="text1"/>
              <w:left w:val="nil"/>
              <w:bottom w:val="single" w:sz="8" w:space="0" w:color="000000" w:themeColor="text1"/>
              <w:right w:val="nil"/>
            </w:tcBorders>
            <w:shd w:val="clear" w:color="auto" w:fill="auto"/>
            <w:tcMar>
              <w:top w:w="100" w:type="dxa"/>
              <w:left w:w="100" w:type="dxa"/>
              <w:bottom w:w="100" w:type="dxa"/>
              <w:right w:w="100" w:type="dxa"/>
            </w:tcMar>
          </w:tcPr>
          <w:p w14:paraId="25779FAE" w14:textId="77777777" w:rsidR="00193070" w:rsidRDefault="00193070" w:rsidP="0061183F">
            <w:pPr>
              <w:widowControl w:val="0"/>
              <w:jc w:val="right"/>
              <w:rPr>
                <w:rFonts w:ascii="Times New Roman" w:hAnsi="Times New Roman"/>
                <w:sz w:val="20"/>
              </w:rPr>
            </w:pPr>
            <w:r>
              <w:rPr>
                <w:rFonts w:ascii="Times New Roman" w:hAnsi="Times New Roman"/>
                <w:sz w:val="20"/>
              </w:rPr>
              <w:t>-16.278</w:t>
            </w:r>
          </w:p>
        </w:tc>
        <w:tc>
          <w:tcPr>
            <w:tcW w:w="159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79359F56" w14:textId="77777777" w:rsidR="00193070" w:rsidRDefault="00193070" w:rsidP="0061183F">
            <w:pPr>
              <w:widowControl w:val="0"/>
              <w:jc w:val="right"/>
              <w:rPr>
                <w:rFonts w:ascii="Times New Roman" w:hAnsi="Times New Roman"/>
                <w:sz w:val="20"/>
              </w:rPr>
            </w:pPr>
            <w:r>
              <w:rPr>
                <w:rFonts w:ascii="Times New Roman" w:hAnsi="Times New Roman"/>
                <w:sz w:val="20"/>
              </w:rPr>
              <w:t>-30.030</w:t>
            </w:r>
          </w:p>
        </w:tc>
        <w:tc>
          <w:tcPr>
            <w:tcW w:w="141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192EB13D" w14:textId="77777777" w:rsidR="00193070" w:rsidRDefault="00193070" w:rsidP="0061183F">
            <w:pPr>
              <w:widowControl w:val="0"/>
              <w:jc w:val="right"/>
              <w:rPr>
                <w:rFonts w:ascii="Times New Roman" w:hAnsi="Times New Roman"/>
                <w:sz w:val="20"/>
              </w:rPr>
            </w:pPr>
            <w:r>
              <w:rPr>
                <w:rFonts w:ascii="Times New Roman" w:hAnsi="Times New Roman"/>
                <w:sz w:val="20"/>
              </w:rPr>
              <w:t>-2.523</w:t>
            </w:r>
          </w:p>
        </w:tc>
        <w:tc>
          <w:tcPr>
            <w:tcW w:w="7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2F52228A" w14:textId="77777777" w:rsidR="00193070" w:rsidRDefault="00193070" w:rsidP="0061183F">
            <w:pPr>
              <w:widowControl w:val="0"/>
              <w:jc w:val="both"/>
              <w:rPr>
                <w:rFonts w:ascii="Times New Roman" w:hAnsi="Times New Roman"/>
                <w:sz w:val="20"/>
              </w:rPr>
            </w:pPr>
            <w:r>
              <w:rPr>
                <w:rFonts w:ascii="Times New Roman" w:hAnsi="Times New Roman"/>
                <w:sz w:val="20"/>
              </w:rPr>
              <w:t>0.034</w:t>
            </w:r>
          </w:p>
        </w:tc>
      </w:tr>
      <w:tr w:rsidR="00D3744B" w14:paraId="17857782" w14:textId="77777777" w:rsidTr="00D3744B">
        <w:trPr>
          <w:trHeight w:val="323"/>
          <w:jc w:val="center"/>
        </w:trPr>
        <w:tc>
          <w:tcPr>
            <w:tcW w:w="1650" w:type="dxa"/>
            <w:vMerge/>
            <w:tcBorders>
              <w:top w:val="nil"/>
              <w:left w:val="nil"/>
              <w:bottom w:val="single" w:sz="4" w:space="0" w:color="auto"/>
              <w:right w:val="nil"/>
            </w:tcBorders>
            <w:tcMar>
              <w:top w:w="100" w:type="dxa"/>
              <w:left w:w="100" w:type="dxa"/>
              <w:bottom w:w="100" w:type="dxa"/>
              <w:right w:w="100" w:type="dxa"/>
            </w:tcMar>
          </w:tcPr>
          <w:p w14:paraId="174912EB" w14:textId="77777777" w:rsidR="00193070" w:rsidRDefault="00193070" w:rsidP="0061183F">
            <w:pPr>
              <w:widowControl w:val="0"/>
              <w:jc w:val="center"/>
              <w:rPr>
                <w:rFonts w:ascii="Times New Roman" w:hAnsi="Times New Roman"/>
                <w:sz w:val="20"/>
              </w:rPr>
            </w:pPr>
          </w:p>
        </w:tc>
        <w:tc>
          <w:tcPr>
            <w:tcW w:w="222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6967852E" w14:textId="77777777" w:rsidR="00193070" w:rsidRPr="001933CA" w:rsidRDefault="00193070" w:rsidP="0061183F">
            <w:pPr>
              <w:widowControl w:val="0"/>
              <w:rPr>
                <w:rFonts w:ascii="Times New Roman" w:hAnsi="Times New Roman"/>
                <w:sz w:val="20"/>
                <w:lang w:val="en-US"/>
              </w:rPr>
            </w:pPr>
            <w:r>
              <w:rPr>
                <w:rFonts w:ascii="Times New Roman" w:hAnsi="Times New Roman"/>
                <w:sz w:val="20"/>
              </w:rPr>
              <w:t xml:space="preserve">Education </w:t>
            </w:r>
            <w:r>
              <w:rPr>
                <w:rFonts w:ascii="Times New Roman" w:hAnsi="Times New Roman"/>
                <w:i/>
                <w:sz w:val="20"/>
              </w:rPr>
              <w:t xml:space="preserve">via </w:t>
            </w:r>
            <w:r>
              <w:rPr>
                <w:rFonts w:ascii="Times New Roman" w:hAnsi="Times New Roman"/>
                <w:sz w:val="20"/>
              </w:rPr>
              <w:t>Instagram</w:t>
            </w:r>
            <w:r>
              <w:rPr>
                <w:rFonts w:ascii="Times New Roman" w:hAnsi="Times New Roman"/>
                <w:sz w:val="20"/>
                <w:lang w:val="en-US"/>
              </w:rPr>
              <w:t xml:space="preserve"> </w:t>
            </w:r>
          </w:p>
        </w:tc>
        <w:tc>
          <w:tcPr>
            <w:tcW w:w="129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436D1E50" w14:textId="77777777" w:rsidR="00193070" w:rsidRDefault="00193070" w:rsidP="0061183F">
            <w:pPr>
              <w:widowControl w:val="0"/>
              <w:jc w:val="right"/>
              <w:rPr>
                <w:rFonts w:ascii="Times New Roman" w:hAnsi="Times New Roman"/>
                <w:sz w:val="20"/>
              </w:rPr>
            </w:pPr>
            <w:r>
              <w:rPr>
                <w:rFonts w:ascii="Times New Roman" w:hAnsi="Times New Roman"/>
                <w:sz w:val="20"/>
              </w:rPr>
              <w:t>16.729</w:t>
            </w:r>
          </w:p>
        </w:tc>
        <w:tc>
          <w:tcPr>
            <w:tcW w:w="159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4C30AC6B" w14:textId="77777777" w:rsidR="00193070" w:rsidRDefault="00193070" w:rsidP="0061183F">
            <w:pPr>
              <w:widowControl w:val="0"/>
              <w:jc w:val="right"/>
              <w:rPr>
                <w:rFonts w:ascii="Times New Roman" w:hAnsi="Times New Roman"/>
                <w:sz w:val="20"/>
              </w:rPr>
            </w:pPr>
            <w:r>
              <w:rPr>
                <w:rFonts w:ascii="Times New Roman" w:hAnsi="Times New Roman"/>
                <w:sz w:val="20"/>
              </w:rPr>
              <w:t>9.399</w:t>
            </w:r>
          </w:p>
        </w:tc>
        <w:tc>
          <w:tcPr>
            <w:tcW w:w="141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0253580C" w14:textId="77777777" w:rsidR="00193070" w:rsidRDefault="00193070" w:rsidP="0061183F">
            <w:pPr>
              <w:widowControl w:val="0"/>
              <w:jc w:val="right"/>
              <w:rPr>
                <w:rFonts w:ascii="Times New Roman" w:hAnsi="Times New Roman"/>
                <w:sz w:val="20"/>
              </w:rPr>
            </w:pPr>
            <w:r>
              <w:rPr>
                <w:rFonts w:ascii="Times New Roman" w:hAnsi="Times New Roman"/>
                <w:sz w:val="20"/>
              </w:rPr>
              <w:t>24.059</w:t>
            </w:r>
          </w:p>
        </w:tc>
        <w:tc>
          <w:tcPr>
            <w:tcW w:w="7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5265694C" w14:textId="77777777" w:rsidR="00193070" w:rsidRDefault="00193070" w:rsidP="0061183F">
            <w:pPr>
              <w:widowControl w:val="0"/>
              <w:jc w:val="both"/>
              <w:rPr>
                <w:rFonts w:ascii="Times New Roman" w:hAnsi="Times New Roman"/>
                <w:sz w:val="20"/>
              </w:rPr>
            </w:pPr>
            <w:r>
              <w:rPr>
                <w:rFonts w:ascii="Times New Roman" w:hAnsi="Times New Roman"/>
                <w:sz w:val="20"/>
              </w:rPr>
              <w:t>&lt;0.001</w:t>
            </w:r>
          </w:p>
        </w:tc>
      </w:tr>
      <w:tr w:rsidR="00D3744B" w14:paraId="1A7AD405" w14:textId="77777777" w:rsidTr="00D3744B">
        <w:trPr>
          <w:trHeight w:val="43"/>
          <w:jc w:val="center"/>
        </w:trPr>
        <w:tc>
          <w:tcPr>
            <w:tcW w:w="1650" w:type="dxa"/>
            <w:vMerge w:val="restart"/>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76467A1C" w14:textId="77777777" w:rsidR="00193070" w:rsidRDefault="00193070" w:rsidP="0061183F">
            <w:pPr>
              <w:widowControl w:val="0"/>
              <w:jc w:val="center"/>
              <w:rPr>
                <w:rFonts w:ascii="Times New Roman" w:hAnsi="Times New Roman"/>
                <w:sz w:val="20"/>
              </w:rPr>
            </w:pPr>
            <w:r>
              <w:rPr>
                <w:rFonts w:ascii="Times New Roman" w:hAnsi="Times New Roman"/>
                <w:sz w:val="20"/>
              </w:rPr>
              <w:t>MET</w:t>
            </w:r>
          </w:p>
        </w:tc>
        <w:tc>
          <w:tcPr>
            <w:tcW w:w="222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08C773BE" w14:textId="77777777" w:rsidR="00193070" w:rsidRDefault="00193070" w:rsidP="0061183F">
            <w:pPr>
              <w:widowControl w:val="0"/>
              <w:rPr>
                <w:rFonts w:ascii="Times New Roman" w:hAnsi="Times New Roman"/>
                <w:sz w:val="20"/>
              </w:rPr>
            </w:pPr>
            <w:r>
              <w:rPr>
                <w:rFonts w:ascii="Times New Roman" w:hAnsi="Times New Roman"/>
                <w:sz w:val="20"/>
              </w:rPr>
              <w:t>Overweight</w:t>
            </w:r>
          </w:p>
        </w:tc>
        <w:tc>
          <w:tcPr>
            <w:tcW w:w="129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66B00554" w14:textId="77777777" w:rsidR="00193070" w:rsidRDefault="00193070" w:rsidP="0061183F">
            <w:pPr>
              <w:widowControl w:val="0"/>
              <w:jc w:val="right"/>
              <w:rPr>
                <w:rFonts w:ascii="Times New Roman" w:hAnsi="Times New Roman"/>
                <w:sz w:val="20"/>
              </w:rPr>
            </w:pPr>
            <w:r>
              <w:rPr>
                <w:rFonts w:ascii="Times New Roman" w:hAnsi="Times New Roman"/>
                <w:sz w:val="20"/>
              </w:rPr>
              <w:t>-11527.0</w:t>
            </w:r>
          </w:p>
        </w:tc>
        <w:tc>
          <w:tcPr>
            <w:tcW w:w="159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09C96865" w14:textId="77777777" w:rsidR="00193070" w:rsidRDefault="00193070" w:rsidP="0061183F">
            <w:pPr>
              <w:widowControl w:val="0"/>
              <w:jc w:val="right"/>
              <w:rPr>
                <w:rFonts w:ascii="Times New Roman" w:hAnsi="Times New Roman"/>
                <w:sz w:val="20"/>
              </w:rPr>
            </w:pPr>
            <w:r>
              <w:rPr>
                <w:rFonts w:ascii="Times New Roman" w:hAnsi="Times New Roman"/>
                <w:sz w:val="20"/>
              </w:rPr>
              <w:t>-22717.037</w:t>
            </w:r>
          </w:p>
        </w:tc>
        <w:tc>
          <w:tcPr>
            <w:tcW w:w="141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0EB6AE5B" w14:textId="77777777" w:rsidR="00193070" w:rsidRDefault="00193070" w:rsidP="0061183F">
            <w:pPr>
              <w:widowControl w:val="0"/>
              <w:jc w:val="right"/>
              <w:rPr>
                <w:rFonts w:ascii="Times New Roman" w:hAnsi="Times New Roman"/>
                <w:sz w:val="20"/>
              </w:rPr>
            </w:pPr>
            <w:r>
              <w:rPr>
                <w:rFonts w:ascii="Times New Roman" w:hAnsi="Times New Roman"/>
                <w:sz w:val="20"/>
              </w:rPr>
              <w:t>-337.025</w:t>
            </w:r>
          </w:p>
        </w:tc>
        <w:tc>
          <w:tcPr>
            <w:tcW w:w="7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114B8D5D" w14:textId="77777777" w:rsidR="00193070" w:rsidRDefault="00193070" w:rsidP="0061183F">
            <w:pPr>
              <w:widowControl w:val="0"/>
              <w:jc w:val="both"/>
              <w:rPr>
                <w:rFonts w:ascii="Times New Roman" w:hAnsi="Times New Roman"/>
                <w:sz w:val="20"/>
              </w:rPr>
            </w:pPr>
            <w:r>
              <w:rPr>
                <w:rFonts w:ascii="Times New Roman" w:hAnsi="Times New Roman"/>
                <w:sz w:val="20"/>
              </w:rPr>
              <w:t>0.044</w:t>
            </w:r>
          </w:p>
        </w:tc>
      </w:tr>
      <w:tr w:rsidR="00D3744B" w14:paraId="126175BC" w14:textId="77777777" w:rsidTr="00D3744B">
        <w:trPr>
          <w:jc w:val="center"/>
        </w:trPr>
        <w:tc>
          <w:tcPr>
            <w:tcW w:w="1650" w:type="dxa"/>
            <w:vMerge/>
            <w:tcBorders>
              <w:top w:val="nil"/>
              <w:left w:val="nil"/>
              <w:bottom w:val="single" w:sz="4" w:space="0" w:color="auto"/>
              <w:right w:val="nil"/>
            </w:tcBorders>
            <w:tcMar>
              <w:top w:w="100" w:type="dxa"/>
              <w:left w:w="100" w:type="dxa"/>
              <w:bottom w:w="100" w:type="dxa"/>
              <w:right w:w="100" w:type="dxa"/>
            </w:tcMar>
          </w:tcPr>
          <w:p w14:paraId="7524963C" w14:textId="77777777" w:rsidR="00193070" w:rsidRDefault="00193070" w:rsidP="0061183F">
            <w:pPr>
              <w:widowControl w:val="0"/>
              <w:jc w:val="center"/>
              <w:rPr>
                <w:rFonts w:ascii="Times New Roman" w:hAnsi="Times New Roman"/>
                <w:sz w:val="20"/>
              </w:rPr>
            </w:pPr>
          </w:p>
        </w:tc>
        <w:tc>
          <w:tcPr>
            <w:tcW w:w="222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17A47482" w14:textId="77777777" w:rsidR="00193070" w:rsidRDefault="00193070" w:rsidP="0061183F">
            <w:pPr>
              <w:widowControl w:val="0"/>
              <w:rPr>
                <w:rFonts w:ascii="Times New Roman" w:hAnsi="Times New Roman"/>
                <w:sz w:val="20"/>
              </w:rPr>
            </w:pPr>
            <w:r>
              <w:rPr>
                <w:rFonts w:ascii="Times New Roman" w:hAnsi="Times New Roman"/>
                <w:sz w:val="20"/>
              </w:rPr>
              <w:t xml:space="preserve">Education </w:t>
            </w:r>
            <w:r>
              <w:rPr>
                <w:rFonts w:ascii="Times New Roman" w:hAnsi="Times New Roman"/>
                <w:i/>
                <w:sz w:val="20"/>
              </w:rPr>
              <w:t xml:space="preserve">via </w:t>
            </w:r>
            <w:r>
              <w:rPr>
                <w:rFonts w:ascii="Times New Roman" w:hAnsi="Times New Roman"/>
                <w:sz w:val="20"/>
              </w:rPr>
              <w:t>Instagram</w:t>
            </w:r>
          </w:p>
        </w:tc>
        <w:tc>
          <w:tcPr>
            <w:tcW w:w="129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1B166AAF" w14:textId="77777777" w:rsidR="00193070" w:rsidRDefault="00193070" w:rsidP="0061183F">
            <w:pPr>
              <w:widowControl w:val="0"/>
              <w:jc w:val="right"/>
              <w:rPr>
                <w:rFonts w:ascii="Times New Roman" w:hAnsi="Times New Roman"/>
                <w:sz w:val="20"/>
              </w:rPr>
            </w:pPr>
            <w:r>
              <w:rPr>
                <w:rFonts w:ascii="Times New Roman" w:hAnsi="Times New Roman"/>
                <w:sz w:val="20"/>
              </w:rPr>
              <w:t>-7275.0</w:t>
            </w:r>
          </w:p>
        </w:tc>
        <w:tc>
          <w:tcPr>
            <w:tcW w:w="159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46076BAE" w14:textId="77777777" w:rsidR="00193070" w:rsidRDefault="00193070" w:rsidP="0061183F">
            <w:pPr>
              <w:widowControl w:val="0"/>
              <w:jc w:val="right"/>
              <w:rPr>
                <w:rFonts w:ascii="Times New Roman" w:hAnsi="Times New Roman"/>
                <w:sz w:val="20"/>
              </w:rPr>
            </w:pPr>
            <w:r>
              <w:rPr>
                <w:rFonts w:ascii="Times New Roman" w:hAnsi="Times New Roman"/>
                <w:sz w:val="20"/>
              </w:rPr>
              <w:t>-13166.180</w:t>
            </w:r>
          </w:p>
        </w:tc>
        <w:tc>
          <w:tcPr>
            <w:tcW w:w="141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25BABD37" w14:textId="77777777" w:rsidR="00193070" w:rsidRDefault="00193070" w:rsidP="0061183F">
            <w:pPr>
              <w:widowControl w:val="0"/>
              <w:jc w:val="right"/>
              <w:rPr>
                <w:rFonts w:ascii="Times New Roman" w:hAnsi="Times New Roman"/>
                <w:sz w:val="20"/>
              </w:rPr>
            </w:pPr>
            <w:r>
              <w:rPr>
                <w:rFonts w:ascii="Times New Roman" w:hAnsi="Times New Roman"/>
                <w:sz w:val="20"/>
              </w:rPr>
              <w:t>-1384.945</w:t>
            </w:r>
          </w:p>
        </w:tc>
        <w:tc>
          <w:tcPr>
            <w:tcW w:w="7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07F9BA01" w14:textId="77777777" w:rsidR="00193070" w:rsidRDefault="00193070" w:rsidP="0061183F">
            <w:pPr>
              <w:widowControl w:val="0"/>
              <w:jc w:val="both"/>
              <w:rPr>
                <w:rFonts w:ascii="Times New Roman" w:hAnsi="Times New Roman"/>
                <w:sz w:val="20"/>
              </w:rPr>
            </w:pPr>
            <w:r>
              <w:rPr>
                <w:rFonts w:ascii="Times New Roman" w:hAnsi="Times New Roman"/>
                <w:sz w:val="20"/>
              </w:rPr>
              <w:t>0.016</w:t>
            </w:r>
          </w:p>
        </w:tc>
      </w:tr>
    </w:tbl>
    <w:p w14:paraId="2EE165E6" w14:textId="77777777" w:rsidR="00193070" w:rsidRPr="00193070" w:rsidRDefault="00193070" w:rsidP="00193070">
      <w:pPr>
        <w:pStyle w:val="BodytextIndented"/>
        <w:rPr>
          <w:lang w:val="en-GB"/>
        </w:rPr>
      </w:pPr>
    </w:p>
    <w:p w14:paraId="44242EF6" w14:textId="77777777" w:rsidR="00300269" w:rsidRDefault="00300269" w:rsidP="00FB0DEE">
      <w:pPr>
        <w:pStyle w:val="Section"/>
        <w:numPr>
          <w:ilvl w:val="0"/>
          <w:numId w:val="0"/>
        </w:numPr>
        <w:spacing w:before="0"/>
        <w:jc w:val="both"/>
        <w:rPr>
          <w:b w:val="0"/>
          <w:bCs/>
        </w:rPr>
      </w:pPr>
    </w:p>
    <w:p w14:paraId="63D4F122" w14:textId="704B4AA2" w:rsidR="00300269" w:rsidRDefault="002E53A7" w:rsidP="002E53A7">
      <w:pPr>
        <w:pStyle w:val="Section"/>
        <w:numPr>
          <w:ilvl w:val="0"/>
          <w:numId w:val="0"/>
        </w:numPr>
        <w:spacing w:before="0"/>
        <w:jc w:val="center"/>
        <w:rPr>
          <w:b w:val="0"/>
          <w:bCs/>
        </w:rPr>
      </w:pPr>
      <w:r>
        <w:rPr>
          <w:rFonts w:ascii="Times New Roman" w:hAnsi="Times New Roman"/>
          <w:b w:val="0"/>
          <w:noProof/>
          <w:sz w:val="24"/>
          <w:szCs w:val="24"/>
        </w:rPr>
        <w:drawing>
          <wp:inline distT="0" distB="0" distL="0" distR="0" wp14:anchorId="137B150D" wp14:editId="2A3447D8">
            <wp:extent cx="3991248" cy="289244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061723" cy="2943519"/>
                    </a:xfrm>
                    <a:prstGeom prst="rect">
                      <a:avLst/>
                    </a:prstGeom>
                  </pic:spPr>
                </pic:pic>
              </a:graphicData>
            </a:graphic>
          </wp:inline>
        </w:drawing>
      </w:r>
    </w:p>
    <w:p w14:paraId="051E6463" w14:textId="77777777" w:rsidR="00300269" w:rsidRDefault="00300269" w:rsidP="00FB0DEE">
      <w:pPr>
        <w:pStyle w:val="Section"/>
        <w:numPr>
          <w:ilvl w:val="0"/>
          <w:numId w:val="0"/>
        </w:numPr>
        <w:spacing w:before="0"/>
        <w:jc w:val="both"/>
        <w:rPr>
          <w:b w:val="0"/>
          <w:bCs/>
        </w:rPr>
      </w:pPr>
    </w:p>
    <w:p w14:paraId="36B8EB8A" w14:textId="4D22DE8C" w:rsidR="002E53A7" w:rsidRPr="00C23B98" w:rsidRDefault="00C23B98" w:rsidP="00C23B98">
      <w:pPr>
        <w:pStyle w:val="Section"/>
        <w:numPr>
          <w:ilvl w:val="0"/>
          <w:numId w:val="0"/>
        </w:numPr>
        <w:spacing w:before="0"/>
        <w:jc w:val="center"/>
        <w:rPr>
          <w:b w:val="0"/>
          <w:bCs/>
        </w:rPr>
      </w:pPr>
      <w:r w:rsidRPr="00C23B98">
        <w:rPr>
          <w:rFonts w:ascii="Times New Roman" w:hAnsi="Times New Roman"/>
          <w:lang w:val="en-US"/>
        </w:rPr>
        <w:t>Figure</w:t>
      </w:r>
      <w:r w:rsidRPr="00C23B98">
        <w:rPr>
          <w:rFonts w:ascii="Times New Roman" w:hAnsi="Times New Roman"/>
        </w:rPr>
        <w:t xml:space="preserve"> </w:t>
      </w:r>
      <w:r w:rsidRPr="00C23B98">
        <w:rPr>
          <w:rFonts w:ascii="Times New Roman" w:hAnsi="Times New Roman"/>
          <w:lang w:val="en-US"/>
        </w:rPr>
        <w:t>2</w:t>
      </w:r>
      <w:r w:rsidRPr="00C23B98">
        <w:rPr>
          <w:rFonts w:ascii="Times New Roman" w:hAnsi="Times New Roman"/>
        </w:rPr>
        <w:t xml:space="preserve"> </w:t>
      </w:r>
      <w:r w:rsidRPr="003771CC">
        <w:rPr>
          <w:rFonts w:ascii="Times New Roman" w:hAnsi="Times New Roman"/>
          <w:b w:val="0"/>
          <w:bCs/>
          <w:lang w:val="en-US"/>
        </w:rPr>
        <w:t>Differences-in-Differences Estimator Analysis</w:t>
      </w:r>
    </w:p>
    <w:p w14:paraId="42D76798" w14:textId="77777777" w:rsidR="002E53A7" w:rsidRDefault="002E53A7" w:rsidP="00FB0DEE">
      <w:pPr>
        <w:pStyle w:val="Section"/>
        <w:numPr>
          <w:ilvl w:val="0"/>
          <w:numId w:val="0"/>
        </w:numPr>
        <w:spacing w:before="0"/>
        <w:jc w:val="both"/>
        <w:rPr>
          <w:b w:val="0"/>
          <w:bCs/>
        </w:rPr>
      </w:pPr>
    </w:p>
    <w:p w14:paraId="152724B4" w14:textId="6F30EBEA" w:rsidR="00DB2CFC" w:rsidRPr="00556F61" w:rsidRDefault="00DB2CFC" w:rsidP="00FB0DEE">
      <w:pPr>
        <w:pStyle w:val="Section"/>
        <w:numPr>
          <w:ilvl w:val="0"/>
          <w:numId w:val="0"/>
        </w:numPr>
        <w:spacing w:before="0"/>
        <w:jc w:val="both"/>
        <w:rPr>
          <w:b w:val="0"/>
          <w:bCs/>
        </w:rPr>
      </w:pPr>
      <w:r w:rsidRPr="00556F61">
        <w:rPr>
          <w:b w:val="0"/>
          <w:bCs/>
        </w:rPr>
        <w:t xml:space="preserve">The outcome was represented by </w:t>
      </w:r>
      <w:proofErr w:type="spellStart"/>
      <w:r w:rsidRPr="00556F61">
        <w:rPr>
          <w:b w:val="0"/>
          <w:bCs/>
        </w:rPr>
        <w:t>DiD</w:t>
      </w:r>
      <w:proofErr w:type="spellEnd"/>
      <w:r w:rsidRPr="00556F61">
        <w:rPr>
          <w:b w:val="0"/>
          <w:bCs/>
        </w:rPr>
        <w:t xml:space="preserve"> before and after the intervention which also continued with multiple linear regression analysis. The increasing knowledge about DM in the Instagram group is better compared to the lecture method group (= 16.729, 95% CI: 9.399-24.059). A similar condition occurred in the food frequency category, which shows better improvements in vegetable intake in the Instagram group compared to the lecture method group (= 2.073, 95% CI: 0.410-3.735). The same result was also found in the fruits consumption category, with an additional fruit consumption frequency of (= 9.391 95% CI: 5.959–12.823) in the Instagram group. In tune with the increasing frequency of fruits and vegetable consumption, this treatment also lowers the consumption of snacks with a high content of fat and sugar (= -2.347, 95%CI: -3.778-(-0.916). The education process via social media also lowers the consumption of snacks (</w:t>
      </w:r>
      <w:r w:rsidR="00FB0DEE">
        <w:rPr>
          <w:b w:val="0"/>
          <w:bCs/>
        </w:rPr>
        <w:t>Figure</w:t>
      </w:r>
      <w:r w:rsidRPr="00556F61">
        <w:rPr>
          <w:b w:val="0"/>
          <w:bCs/>
        </w:rPr>
        <w:t xml:space="preserve"> 2). However, this intervention also lowers physical activities measured with the MET value (= -7.275, 95% CI: -13.166,18 - (-1.384,95).</w:t>
      </w:r>
    </w:p>
    <w:p w14:paraId="51DDE273" w14:textId="77777777" w:rsidR="002C71E1" w:rsidRDefault="00B94CC4" w:rsidP="00D925FA">
      <w:pPr>
        <w:pStyle w:val="Section"/>
        <w:numPr>
          <w:ilvl w:val="0"/>
          <w:numId w:val="5"/>
        </w:numPr>
        <w:rPr>
          <w:rFonts w:asciiTheme="majorBidi" w:hAnsiTheme="majorBidi" w:cstheme="majorBidi"/>
        </w:rPr>
      </w:pPr>
      <w:commentRangeStart w:id="5"/>
      <w:r w:rsidRPr="00371518">
        <w:rPr>
          <w:rFonts w:asciiTheme="majorBidi" w:hAnsiTheme="majorBidi" w:cstheme="majorBidi"/>
        </w:rPr>
        <w:t>Discussion</w:t>
      </w:r>
      <w:commentRangeEnd w:id="5"/>
      <w:r w:rsidR="00150FAE">
        <w:rPr>
          <w:rStyle w:val="CommentReference"/>
          <w:rFonts w:asciiTheme="minorHAnsi" w:eastAsiaTheme="minorHAnsi" w:hAnsiTheme="minorHAnsi" w:cstheme="minorBidi"/>
          <w:b w:val="0"/>
          <w:iCs w:val="0"/>
          <w:color w:val="auto"/>
          <w:lang w:val="en-US"/>
        </w:rPr>
        <w:commentReference w:id="5"/>
      </w:r>
    </w:p>
    <w:p w14:paraId="4C2B88AA" w14:textId="417FD19D" w:rsidR="002C71E1" w:rsidRPr="002C71E1" w:rsidRDefault="002C71E1" w:rsidP="002C71E1">
      <w:pPr>
        <w:pStyle w:val="Section"/>
        <w:numPr>
          <w:ilvl w:val="0"/>
          <w:numId w:val="0"/>
        </w:numPr>
        <w:spacing w:before="0"/>
        <w:jc w:val="both"/>
        <w:rPr>
          <w:rFonts w:asciiTheme="majorBidi" w:hAnsiTheme="majorBidi" w:cstheme="majorBidi"/>
          <w:b w:val="0"/>
          <w:bCs/>
        </w:rPr>
      </w:pPr>
      <w:r w:rsidRPr="002C71E1">
        <w:rPr>
          <w:b w:val="0"/>
          <w:bCs/>
        </w:rPr>
        <w:t xml:space="preserve">The impact of Instagram as the chosen intervention media on health </w:t>
      </w:r>
      <w:proofErr w:type="spellStart"/>
      <w:r w:rsidRPr="002C71E1">
        <w:rPr>
          <w:b w:val="0"/>
          <w:bCs/>
        </w:rPr>
        <w:t>behavior</w:t>
      </w:r>
      <w:proofErr w:type="spellEnd"/>
      <w:r w:rsidRPr="002C71E1">
        <w:rPr>
          <w:b w:val="0"/>
          <w:bCs/>
        </w:rPr>
        <w:t xml:space="preserve"> is measured by the knowledge, food types and consumption frequency, and physical activities. The intervention with Instagram increases knowledge about diabetes mellitus better than lecture and pocket note methods, as shown in Table 2 and </w:t>
      </w:r>
      <w:r w:rsidR="00F81BD6">
        <w:rPr>
          <w:b w:val="0"/>
          <w:bCs/>
        </w:rPr>
        <w:t>Figure</w:t>
      </w:r>
      <w:r w:rsidRPr="002C71E1">
        <w:rPr>
          <w:b w:val="0"/>
          <w:bCs/>
        </w:rPr>
        <w:t xml:space="preserve"> 2. The superiority of the Instagram method is the proof of public interest in a new communication media as the result of advancement and development on the implemented public communication means, known as the “age of communication” </w:t>
      </w:r>
      <w:r w:rsidR="0038593F">
        <w:rPr>
          <w:b w:val="0"/>
          <w:bCs/>
        </w:rPr>
        <w:fldChar w:fldCharType="begin" w:fldLock="1"/>
      </w:r>
      <w:r w:rsidR="0038593F">
        <w:rPr>
          <w:b w:val="0"/>
          <w:bCs/>
        </w:rPr>
        <w:instrText>ADDIN CSL_CITATION {"citationItems":[{"id":"ITEM-1","itemData":{"DOI":"10.5267/j.ijdns.2019.2.008","ISSN":"25618156","abstract":"The purpose of this research is to study the role of the social media for knowledge sharing. The study presents a comprehensive review of the researches associated with the effect of knowledge management in social media. The study uses Scopus database as a primary search engine and covers 1858 of highly cited articles over the period 1994-2019. The records are statistically analyzed and categorized in terms of various criteria using an open source software package named R. The findings show that researches have grown exponentially during the recent years and the trend has continued at relatively stable rates. Based on the survey, knowledge management is the keyword which has carried the highest citations followed by social media and social networking. Among the most cited articles, papers published by researchers in United States have received the highest citations, followed by United Kingdom and China.","author":[{"dropping-particle":"","family":"Zarei","given":"Ebrahim","non-dropping-particle":"","parse-names":false,"suffix":""},{"dropping-particle":"","family":"Jabbarzadeh","given":"Armin","non-dropping-particle":"","parse-names":false,"suffix":""}],"container-title":"International Journal of Data and Network Science","id":"ITEM-1","issue":"4","issued":{"date-parts":[["2019"]]},"page":"359-378","title":"Knowledge management and social media: A scientometrics survey","type":"article-journal","volume":"3"},"uris":["http://www.mendeley.com/documents/?uuid=a54bed47-27c4-4cc1-8226-420e31313207"]}],"mendeley":{"formattedCitation":"[9]","plainTextFormattedCitation":"[9]","previouslyFormattedCitation":"[9]"},"properties":{"noteIndex":0},"schema":"https://github.com/citation-style-language/schema/raw/master/csl-citation.json"}</w:instrText>
      </w:r>
      <w:r w:rsidR="0038593F">
        <w:rPr>
          <w:b w:val="0"/>
          <w:bCs/>
        </w:rPr>
        <w:fldChar w:fldCharType="separate"/>
      </w:r>
      <w:r w:rsidR="0038593F" w:rsidRPr="0038593F">
        <w:rPr>
          <w:b w:val="0"/>
          <w:bCs/>
          <w:noProof/>
        </w:rPr>
        <w:t>[9]</w:t>
      </w:r>
      <w:r w:rsidR="0038593F">
        <w:rPr>
          <w:b w:val="0"/>
          <w:bCs/>
        </w:rPr>
        <w:fldChar w:fldCharType="end"/>
      </w:r>
      <w:r w:rsidRPr="002C71E1">
        <w:rPr>
          <w:b w:val="0"/>
          <w:bCs/>
        </w:rPr>
        <w:t xml:space="preserve">. The increasing trend of social media usage is due to its advantages in providing reliable communication services that enable all users to stay connected more intensively </w:t>
      </w:r>
      <w:r w:rsidR="00887BE4">
        <w:rPr>
          <w:b w:val="0"/>
          <w:bCs/>
        </w:rPr>
        <w:fldChar w:fldCharType="begin" w:fldLock="1"/>
      </w:r>
      <w:r w:rsidR="00D415F5">
        <w:rPr>
          <w:b w:val="0"/>
          <w:bCs/>
        </w:rPr>
        <w:instrText>ADDIN CSL_CITATION {"citationItems":[{"id":"ITEM-1","itemData":{"DOI":"10.1016/j.heliyon.2018.e00989","ISSN":"24058440","abstract":"Social networking activity is becoming more endemic in society and yet little is known about how the social comparison, occurring when we use these sites, affects perceptions of health. This study sought to determine in what way people who use Facebook (FB) interpret the comparison information they see on FB and whether this was associated with perceptions of physical health. Determining this association is important given the positive association between well-being, quality of life and physical health. Using a cross-sectional design, participants completed an electronic questionnaire measuring FB use, FB social comparison, self-esteem, depression, anxiety, life satisfaction and physical health. The data was analysed using Hierarchical Linear Regression to determine the association of social comparison on perceptions of physical health after controlling for other influencing factors. The results showed that participants were indeed socially comparing via FB. More positive upward comparison was reported, followed closely by positive downward and negative upward, with negative downward comparison perceived least. Analysis showed physical symptoms were associated with gender, anxiety, depression, FB use and positively interpreted upward comparison. Those who agreed more with the positively interpreted social comparison statements and who engaged more with FB also perceived more physical symptoms. These results showed that the perception of symptoms still occurred despite the positive comparison. These results have implications for perceptions of well-being for general users of FB and for vulnerable populations where more social comparison may occur.","author":[{"dropping-particle":"","family":"Dibb","given":"Bridget","non-dropping-particle":"","parse-names":false,"suffix":""}],"container-title":"Heliyon","id":"ITEM-1","issue":"1","issued":{"date-parts":[["2019"]]},"page":"e00989","publisher":"Elsevier Ltd","title":"Social media use and perceptions of physical health","type":"article-journal","volume":"5"},"uris":["http://www.mendeley.com/documents/?uuid=6ff126ab-5b63-4593-b9ad-302c0cb74977"]},{"id":"ITEM-2","itemData":{"DOI":"10.7763/ijiet.2015.v5.647","ISSN":"20103689","abstract":"Abstract— Social   media,   throughout   the   communication world  after  2005,  has  brought  about  the  transformation  of personal  and  social  changes,  specifically,  among  youngsters between the ages of 13 to 25 who use the social media intensely as  a  communication  tool.  Such  an  effect  of  social  media  is  of great significance in terms understanding how they are utilized in courses and how students benefit from them in their learning processes. In this study, the case of sharing the social media will be put forward with regard to the relationship of teachers and students, that is to say, how they carry out their media facilities for their courses and learning/teaching processes will be under the focus. ","author":[{"dropping-particle":"","family":"Gurcan","given":"Halil Ibrahim","non-dropping-particle":"","parse-names":false,"suffix":""}],"container-title":"International Journal of Information and Education Technology","id":"ITEM-2","issue":"12","issued":{"date-parts":[["2015"]]},"page":"965-968","title":"Contribution of Social Media to the Students’ Academic Development","type":"article-journal","volume":"5"},"uris":["http://www.mendeley.com/documents/?uuid=211867b0-8d97-46e1-b01c-1dae5cd40108"]},{"id":"ITEM-3","itemData":{"DOI":"10.1136/amiajnl-2014-002841","ISSN":"1527974X","abstract":"Objective Our aim was to evaluate the use and effectiveness of interventions using social networking sites (SNSs) to change health behaviors. Materials and methods Five databases were scanned using a predefined search strategy. Studies were included if they focused on patients/consumers, involved an SNS intervention, had an outcome related to health behavior change, and were prospective. Studies were screened by independent investigators, and assessed using Cochrane's 'risk of bias' tool. Randomized controlled trials were pooled in a meta-analysis. Results The database search retrieved 4656 citations; 12 studies (7411 participants) met the inclusion criteria. Facebook was the most utilized SNS, followed by health-specific SNSs, and Twitter. Eight randomized controlled trials were combined in a meta-analysis. A positive effect of SNS interventions on health behavior outcomes was found (Hedges' g 0.24; 95% CI 0.04 to 0.43). There was considerable heterogeneity (I2=84.0%; T2=0.058) and no evidence of publication bias. Discussion To the best of our knowledge, this is the first meta-analysis evaluating the effectiveness of SNS interventions in changing health-related behaviors. Most studies evaluated multi-component interventions, posing problems in isolating the specific effect of the SNS. Health behavior change theories were seldom mentioned in the included articles, but two particularly innovative studies used 'network alteration', showing a positive effect. Overall, SNS interventions appeared to be effective in promoting changes in health-related behaviors, and further research regarding the application of these promising tools is warranted. Conclusions Our study showed a positive effect of SNS interventions on health behavior-related outcomes, but there was considerable heterogeneity.","author":[{"dropping-particle":"","family":"Laranjo","given":"Liliana","non-dropping-particle":"","parse-names":false,"suffix":""},{"dropping-particle":"","family":"Arguel","given":"Amaël","non-dropping-particle":"","parse-names":false,"suffix":""},{"dropping-particle":"","family":"Neves","given":"Ana L.","non-dropping-particle":"","parse-names":false,"suffix":""},{"dropping-particle":"","family":"Gallagher","given":"Aideen M.","non-dropping-particle":"","parse-names":false,"suffix":""},{"dropping-particle":"","family":"Kaplan","given":"Ruth","non-dropping-particle":"","parse-names":false,"suffix":""},{"dropping-particle":"","family":"Mortimer","given":"Nathan","non-dropping-particle":"","parse-names":false,"suffix":""},{"dropping-particle":"","family":"Mendes","given":"Guilherme A.","non-dropping-particle":"","parse-names":false,"suffix":""},{"dropping-particle":"","family":"Lau","given":"Annie Y.S.","non-dropping-particle":"","parse-names":false,"suffix":""}],"container-title":"Journal of the American Medical Informatics Association","id":"ITEM-3","issue":"1","issued":{"date-parts":[["2014"]]},"page":"243-256","title":"The influence of social networking sites on health behavior change: A systematic review and meta-analysis","type":"article-journal","volume":"22"},"uris":["http://www.mendeley.com/documents/?uuid=f0dc0b0c-0dd7-48e9-a5e0-9f9c33e25931"]},{"id":"ITEM-4","itemData":{"DOI":"10.1186/1748-5908-5-49","ISSN":"17485908","abstract":"Background: Social networks are theorized as significant influences in the innovation adoption and behavior change processes. Our understanding of how social networks operate within healthcare settings is limited. As a result, our ability to design optimal interventions that employ social networks as a method of fostering planned behavior change is also limited. Through this proposed project, we expect to contribute new knowledge about factors influencing uptake of knowledge translation interventions.Objectives: Our specific aims include: To collect social network data among staff in two long-term care (LTC) facilities; to characterize social networks in these units; and to describe how social networks influence uptake and use of feedback reports.Methods and design: In this prospective study, we will collect data on social networks in nursing units in two LTC facilities, and use social network analysis techniques to characterize and describe the networks. These data will be combined with data from a funded project to explore the impact of social networks on uptake and use of feedback reports. In this parent study, feedback reports using standardized resident assessment data are distributed on a monthly basis. Surveys are administered to assess report uptake. In the proposed project, we will collect data on social networks, analyzing the data using graphical and quantitative techniques. We will combine the social network data with survey data to assess the influence of social networks on uptake of feedback reports.Discussion: This study will contribute to understanding mechanisms for knowledge sharing among staff on units to permit more efficient and effective intervention design. A growing number of studies in the social network literature suggest that social networks can be studied not only as influences on knowledge translation, but also as possible mechanisms for fostering knowledge translation. This study will contribute to building theory to design such interventions. © 2010 Sales et al; licensee BioMed Central Ltd.","author":[{"dropping-particle":"","family":"Sales","given":"Anne E.","non-dropping-particle":"","parse-names":false,"suffix":""},{"dropping-particle":"","family":"Estabrooks","given":"Carole A.","non-dropping-particle":"","parse-names":false,"suffix":""},{"dropping-particle":"","family":"Valente","given":"Thomas W.","non-dropping-particle":"","parse-names":false,"suffix":""}],"container-title":"Implementation Science","id":"ITEM-4","issue":"1","issued":{"date-parts":[["2010"]]},"page":"1-10","title":"The impact of social networks on knowledge transfer in long-term care facilities: Protocol for a study","type":"article-journal","volume":"5"},"uris":["http://www.mendeley.com/documents/?uuid=35ca2960-8aa9-4fbf-9e65-89e076bcf1cd"]}],"mendeley":{"formattedCitation":"[10–13]","plainTextFormattedCitation":"[10–13]","previouslyFormattedCitation":"[10–13]"},"properties":{"noteIndex":0},"schema":"https://github.com/citation-style-language/schema/raw/master/csl-citation.json"}</w:instrText>
      </w:r>
      <w:r w:rsidR="00887BE4">
        <w:rPr>
          <w:b w:val="0"/>
          <w:bCs/>
        </w:rPr>
        <w:fldChar w:fldCharType="separate"/>
      </w:r>
      <w:r w:rsidR="00887BE4" w:rsidRPr="00887BE4">
        <w:rPr>
          <w:b w:val="0"/>
          <w:bCs/>
          <w:noProof/>
        </w:rPr>
        <w:t>[10–13]</w:t>
      </w:r>
      <w:r w:rsidR="00887BE4">
        <w:rPr>
          <w:b w:val="0"/>
          <w:bCs/>
        </w:rPr>
        <w:fldChar w:fldCharType="end"/>
      </w:r>
      <w:r w:rsidRPr="002C71E1">
        <w:rPr>
          <w:b w:val="0"/>
          <w:bCs/>
        </w:rPr>
        <w:t>, even before the decision to participate in the scope of health</w:t>
      </w:r>
      <w:r w:rsidR="00D415F5">
        <w:rPr>
          <w:b w:val="0"/>
          <w:bCs/>
        </w:rPr>
        <w:t xml:space="preserve"> </w:t>
      </w:r>
      <w:r w:rsidR="00D415F5">
        <w:rPr>
          <w:b w:val="0"/>
          <w:bCs/>
        </w:rPr>
        <w:fldChar w:fldCharType="begin" w:fldLock="1"/>
      </w:r>
      <w:r w:rsidR="00971B72">
        <w:rPr>
          <w:b w:val="0"/>
          <w:bCs/>
        </w:rPr>
        <w:instrText>ADDIN CSL_CITATION {"citationItems":[{"id":"ITEM-1","itemData":{"DOI":"10.1371/journal.pone.0220180","ISBN":"1111111111","ISSN":"1932-6203","author":[{"dropping-particle":"","family":"Hong","given":"Minjoo","non-dropping-particle":"","parse-names":false,"suffix":""},{"dropping-particle":"","family":"Shin","given":"Hyewon","non-dropping-particle":"","parse-names":false,"suffix":""},{"dropping-particle":"","family":"Gagne","given":"Jennie C.","non-dropping-particle":"De","parse-names":false,"suffix":""}],"container-title":"Plos One","id":"ITEM-1","issue":"7","issued":{"date-parts":[["2019"]]},"page":"e0220180","title":"Social networks, health-promoting behaviors, and health-related quality of life in older adults with and without arthritis","type":"article-journal","volume":"14"},"uris":["http://www.mendeley.com/documents/?uuid=aa8525e6-f36e-4f8c-82da-563d73d8dd4e"]}],"mendeley":{"formattedCitation":"[14]","plainTextFormattedCitation":"[14]","previouslyFormattedCitation":"[14]"},"properties":{"noteIndex":0},"schema":"https://github.com/citation-style-language/schema/raw/master/csl-citation.json"}</w:instrText>
      </w:r>
      <w:r w:rsidR="00D415F5">
        <w:rPr>
          <w:b w:val="0"/>
          <w:bCs/>
        </w:rPr>
        <w:fldChar w:fldCharType="separate"/>
      </w:r>
      <w:r w:rsidR="00D415F5" w:rsidRPr="00D415F5">
        <w:rPr>
          <w:b w:val="0"/>
          <w:bCs/>
          <w:noProof/>
        </w:rPr>
        <w:t>[14]</w:t>
      </w:r>
      <w:r w:rsidR="00D415F5">
        <w:rPr>
          <w:b w:val="0"/>
          <w:bCs/>
        </w:rPr>
        <w:fldChar w:fldCharType="end"/>
      </w:r>
      <w:r w:rsidRPr="002C71E1">
        <w:rPr>
          <w:b w:val="0"/>
          <w:bCs/>
        </w:rPr>
        <w:t xml:space="preserve">. Some other advantages of using Social Networking Sites (SNSs) are more cost-effective in finding information and facilitating changes in health </w:t>
      </w:r>
      <w:proofErr w:type="spellStart"/>
      <w:r w:rsidRPr="002C71E1">
        <w:rPr>
          <w:b w:val="0"/>
          <w:bCs/>
        </w:rPr>
        <w:t>behavior</w:t>
      </w:r>
      <w:proofErr w:type="spellEnd"/>
      <w:r w:rsidRPr="002C71E1">
        <w:rPr>
          <w:b w:val="0"/>
          <w:bCs/>
        </w:rPr>
        <w:t xml:space="preserve">, although there is no further study for a longer-term </w:t>
      </w:r>
      <w:r w:rsidR="00971B72">
        <w:rPr>
          <w:b w:val="0"/>
          <w:bCs/>
        </w:rPr>
        <w:fldChar w:fldCharType="begin" w:fldLock="1"/>
      </w:r>
      <w:r w:rsidR="00971B72">
        <w:rPr>
          <w:b w:val="0"/>
          <w:bCs/>
        </w:rPr>
        <w:instrText>ADDIN CSL_CITATION {"citationItems":[{"id":"ITEM-1","itemData":{"DOI":"10.1136/amiajnl-2014-002841","ISSN":"1527974X","abstract":"Objective Our aim was to evaluate the use and effectiveness of interventions using social networking sites (SNSs) to change health behaviors. Materials and methods Five databases were scanned using a predefined search strategy. Studies were included if they focused on patients/consumers, involved an SNS intervention, had an outcome related to health behavior change, and were prospective. Studies were screened by independent investigators, and assessed using Cochrane's 'risk of bias' tool. Randomized controlled trials were pooled in a meta-analysis. Results The database search retrieved 4656 citations; 12 studies (7411 participants) met the inclusion criteria. Facebook was the most utilized SNS, followed by health-specific SNSs, and Twitter. Eight randomized controlled trials were combined in a meta-analysis. A positive effect of SNS interventions on health behavior outcomes was found (Hedges' g 0.24; 95% CI 0.04 to 0.43). There was considerable heterogeneity (I2=84.0%; T2=0.058) and no evidence of publication bias. Discussion To the best of our knowledge, this is the first meta-analysis evaluating the effectiveness of SNS interventions in changing health-related behaviors. Most studies evaluated multi-component interventions, posing problems in isolating the specific effect of the SNS. Health behavior change theories were seldom mentioned in the included articles, but two particularly innovative studies used 'network alteration', showing a positive effect. Overall, SNS interventions appeared to be effective in promoting changes in health-related behaviors, and further research regarding the application of these promising tools is warranted. Conclusions Our study showed a positive effect of SNS interventions on health behavior-related outcomes, but there was considerable heterogeneity.","author":[{"dropping-particle":"","family":"Laranjo","given":"Liliana","non-dropping-particle":"","parse-names":false,"suffix":""},{"dropping-particle":"","family":"Arguel","given":"Amaël","non-dropping-particle":"","parse-names":false,"suffix":""},{"dropping-particle":"","family":"Neves","given":"Ana L.","non-dropping-particle":"","parse-names":false,"suffix":""},{"dropping-particle":"","family":"Gallagher","given":"Aideen M.","non-dropping-particle":"","parse-names":false,"suffix":""},{"dropping-particle":"","family":"Kaplan","given":"Ruth","non-dropping-particle":"","parse-names":false,"suffix":""},{"dropping-particle":"","family":"Mortimer","given":"Nathan","non-dropping-particle":"","parse-names":false,"suffix":""},{"dropping-particle":"","family":"Mendes","given":"Guilherme A.","non-dropping-particle":"","parse-names":false,"suffix":""},{"dropping-particle":"","family":"Lau","given":"Annie Y.S.","non-dropping-particle":"","parse-names":false,"suffix":""}],"container-title":"Journal of the American Medical Informatics Association","id":"ITEM-1","issue":"1","issued":{"date-parts":[["2014"]]},"page":"243-256","title":"The influence of social networking sites on health behavior change: A systematic review and meta-analysis","type":"article-journal","volume":"22"},"uris":["http://www.mendeley.com/documents/?uuid=f0dc0b0c-0dd7-48e9-a5e0-9f9c33e25931"]}],"mendeley":{"formattedCitation":"[12]","plainTextFormattedCitation":"[12]","previouslyFormattedCitation":"[12]"},"properties":{"noteIndex":0},"schema":"https://github.com/citation-style-language/schema/raw/master/csl-citation.json"}</w:instrText>
      </w:r>
      <w:r w:rsidR="00971B72">
        <w:rPr>
          <w:b w:val="0"/>
          <w:bCs/>
        </w:rPr>
        <w:fldChar w:fldCharType="separate"/>
      </w:r>
      <w:r w:rsidR="00971B72" w:rsidRPr="00971B72">
        <w:rPr>
          <w:b w:val="0"/>
          <w:bCs/>
          <w:noProof/>
        </w:rPr>
        <w:t>[12]</w:t>
      </w:r>
      <w:r w:rsidR="00971B72">
        <w:rPr>
          <w:b w:val="0"/>
          <w:bCs/>
        </w:rPr>
        <w:fldChar w:fldCharType="end"/>
      </w:r>
      <w:r w:rsidRPr="002C71E1">
        <w:rPr>
          <w:b w:val="0"/>
          <w:bCs/>
        </w:rPr>
        <w:t xml:space="preserve">. SNSs changes the way people interact and socialize in the learning process </w:t>
      </w:r>
      <w:r w:rsidR="00971B72">
        <w:rPr>
          <w:b w:val="0"/>
          <w:bCs/>
        </w:rPr>
        <w:fldChar w:fldCharType="begin" w:fldLock="1"/>
      </w:r>
      <w:r w:rsidR="00971B72">
        <w:rPr>
          <w:b w:val="0"/>
          <w:bCs/>
        </w:rPr>
        <w:instrText>ADDIN CSL_CITATION {"citationItems":[{"id":"ITEM-1","itemData":{"DOI":"10.3390/su11061683","ISSN":"20711050","abstract":"In today's world, social media is playing an indispensable role on the learning behavior of university students to achieve sustainable education. The impact of social media on sustainable education is becoming an essential and impelling factor. The world has become a global village and technology use has made it a smaller world through social media and how it is changing instruction. This original study is amongst the few to perform a focalized investigation on revealing the relationship between positive and negative characteristics of social media and the learning attitude of university students for sustainable education. However, this study aims to examine the constructive and adverse factors that impact on students' minds and how these helped students to share positive and negative aspects with others. It is increasingly noticeable that social networking sites and their applications present enormous benefits for as well as risks to university students and their implications on students' psychological adjustment or learning behaviors are not well understood. This study adapted the cluster sampling method, and respondents participated from five selected regions. Researchers distributed 1013 questionnaires among the targeted sample of university students with an age range of 16 to 35 years, and they collected 831 complete/valid responses. This study applied the social gratification theory to examine students' behavior practicing socialmedia usage. This study specifically identified 18 adversarial and constructive factors of social media from the previous literature. The findings revealed that the usage of social media in Pakistan has a negative influence on a student's behavior as compared to positive aspects. Results may not be generalized to the entire student community as findings are specific to the specific respondents only. This study presents a relationship between antithetical and creative characteristics of socialmedia and exhibits avenues for future studies by facilitating a better understanding of web-based social network use.","author":[{"dropping-particle":"","family":"Abbas","given":"Jaffar","non-dropping-particle":"","parse-names":false,"suffix":""},{"dropping-particle":"","family":"Aman","given":"Jaffar","non-dropping-particle":"","parse-names":false,"suffix":""},{"dropping-particle":"","family":"Nurunnabi","given":"Mohammad","non-dropping-particle":"","parse-names":false,"suffix":""},{"dropping-particle":"","family":"Bano","given":"Shaher","non-dropping-particle":"","parse-names":false,"suffix":""}],"container-title":"Sustainability (Switzerland)","id":"ITEM-1","issue":"6","issued":{"date-parts":[["2019"]]},"page":"1-23","title":"The impact of social media on learning behavior for sustainable education: Evidence of students from selected universities in Pakistan","type":"article-journal","volume":"11"},"uris":["http://www.mendeley.com/documents/?uuid=34c1c983-36fb-4c00-b24b-8ef6d2248efb"]}],"mendeley":{"formattedCitation":"[5]","plainTextFormattedCitation":"[5]","previouslyFormattedCitation":"[5]"},"properties":{"noteIndex":0},"schema":"https://github.com/citation-style-language/schema/raw/master/csl-citation.json"}</w:instrText>
      </w:r>
      <w:r w:rsidR="00971B72">
        <w:rPr>
          <w:b w:val="0"/>
          <w:bCs/>
        </w:rPr>
        <w:fldChar w:fldCharType="separate"/>
      </w:r>
      <w:r w:rsidR="00971B72" w:rsidRPr="00971B72">
        <w:rPr>
          <w:b w:val="0"/>
          <w:bCs/>
          <w:noProof/>
        </w:rPr>
        <w:t>[5]</w:t>
      </w:r>
      <w:r w:rsidR="00971B72">
        <w:rPr>
          <w:b w:val="0"/>
          <w:bCs/>
        </w:rPr>
        <w:fldChar w:fldCharType="end"/>
      </w:r>
      <w:r w:rsidRPr="002C71E1">
        <w:rPr>
          <w:b w:val="0"/>
          <w:bCs/>
        </w:rPr>
        <w:t xml:space="preserve">. Because the education targets in this study are the youths, social media is a better alternative by emphasizing the dietary arrangements as an effort to prevent insulin resistance in the future </w:t>
      </w:r>
      <w:r w:rsidR="00971B72">
        <w:rPr>
          <w:b w:val="0"/>
          <w:bCs/>
        </w:rPr>
        <w:fldChar w:fldCharType="begin" w:fldLock="1"/>
      </w:r>
      <w:r w:rsidR="00D826E2">
        <w:rPr>
          <w:b w:val="0"/>
          <w:bCs/>
        </w:rPr>
        <w:instrText>ADDIN CSL_CITATION {"citationItems":[{"id":"ITEM-1","itemData":{"ISSN":"10521372","PMID":"25083128","author":[{"dropping-particle":"","family":"Lee Ventola","given":"C.","non-dropping-particle":"","parse-names":false,"suffix":""}],"container-title":"P and T","id":"ITEM-1","issue":"7","issued":{"date-parts":[["2014"]]},"page":"491-500","title":"Social media and health care professionals: Benefits, risks, and best practices","type":"article-journal","volume":"39"},"uris":["http://www.mendeley.com/documents/?uuid=342170d7-1964-4f57-bf5a-61f5760358ce"]}],"mendeley":{"formattedCitation":"[6]","plainTextFormattedCitation":"[6]","previouslyFormattedCitation":"[6]"},"properties":{"noteIndex":0},"schema":"https://github.com/citation-style-language/schema/raw/master/csl-citation.json"}</w:instrText>
      </w:r>
      <w:r w:rsidR="00971B72">
        <w:rPr>
          <w:b w:val="0"/>
          <w:bCs/>
        </w:rPr>
        <w:fldChar w:fldCharType="separate"/>
      </w:r>
      <w:r w:rsidR="00971B72" w:rsidRPr="00971B72">
        <w:rPr>
          <w:b w:val="0"/>
          <w:bCs/>
          <w:noProof/>
        </w:rPr>
        <w:t>[6]</w:t>
      </w:r>
      <w:r w:rsidR="00971B72">
        <w:rPr>
          <w:b w:val="0"/>
          <w:bCs/>
        </w:rPr>
        <w:fldChar w:fldCharType="end"/>
      </w:r>
      <w:r w:rsidRPr="002C71E1">
        <w:rPr>
          <w:b w:val="0"/>
          <w:bCs/>
        </w:rPr>
        <w:t xml:space="preserve">. Social media also has the potential in bridging the gap between quantity of health services as a primary resource in educating and observing the public, following the increasing demands of nutrition education as an effort to prevent </w:t>
      </w:r>
      <w:r w:rsidR="00B52546">
        <w:rPr>
          <w:b w:val="0"/>
          <w:bCs/>
        </w:rPr>
        <w:t>DM</w:t>
      </w:r>
      <w:r w:rsidRPr="002C71E1">
        <w:rPr>
          <w:b w:val="0"/>
          <w:bCs/>
        </w:rPr>
        <w:t xml:space="preserve"> </w:t>
      </w:r>
      <w:r w:rsidR="00D826E2">
        <w:rPr>
          <w:b w:val="0"/>
          <w:bCs/>
        </w:rPr>
        <w:fldChar w:fldCharType="begin" w:fldLock="1"/>
      </w:r>
      <w:r w:rsidR="00D826E2">
        <w:rPr>
          <w:b w:val="0"/>
          <w:bCs/>
        </w:rPr>
        <w:instrText>ADDIN CSL_CITATION {"citationItems":[{"id":"ITEM-1","itemData":{"author":[{"dropping-particle":"","family":"Nutrition","given":"Diabetes","non-dropping-particle":"","parse-names":false,"suffix":""},{"dropping-particle":"","family":"Resource","given":"Education","non-dropping-particle":"","parse-names":false,"suffix":""}],"id":"ITEM-1","issued":{"date-parts":[["2019"]]},"page":"1-11","title":"Diabetes Nutrition Education Resource","type":"article-journal"},"uris":["http://www.mendeley.com/documents/?uuid=ed169202-deac-445b-96e5-bb51a32548a8"]}],"mendeley":{"formattedCitation":"[4]","plainTextFormattedCitation":"[4]","previouslyFormattedCitation":"[4]"},"properties":{"noteIndex":0},"schema":"https://github.com/citation-style-language/schema/raw/master/csl-citation.json"}</w:instrText>
      </w:r>
      <w:r w:rsidR="00D826E2">
        <w:rPr>
          <w:b w:val="0"/>
          <w:bCs/>
        </w:rPr>
        <w:fldChar w:fldCharType="separate"/>
      </w:r>
      <w:r w:rsidR="00D826E2" w:rsidRPr="00D826E2">
        <w:rPr>
          <w:b w:val="0"/>
          <w:bCs/>
          <w:noProof/>
        </w:rPr>
        <w:t>[4]</w:t>
      </w:r>
      <w:r w:rsidR="00D826E2">
        <w:rPr>
          <w:b w:val="0"/>
          <w:bCs/>
        </w:rPr>
        <w:fldChar w:fldCharType="end"/>
      </w:r>
      <w:r w:rsidRPr="002C71E1">
        <w:rPr>
          <w:b w:val="0"/>
          <w:bCs/>
        </w:rPr>
        <w:t xml:space="preserve">. Body mass index becomes a significant covariate, especially for overweight people. Table 2 shows that overweight people have less knowledge about DM, compared to non-overweight people, which also affects attitudes and </w:t>
      </w:r>
      <w:proofErr w:type="spellStart"/>
      <w:r w:rsidRPr="002C71E1">
        <w:rPr>
          <w:b w:val="0"/>
          <w:bCs/>
        </w:rPr>
        <w:t>behavior</w:t>
      </w:r>
      <w:proofErr w:type="spellEnd"/>
      <w:r w:rsidRPr="002C71E1">
        <w:rPr>
          <w:b w:val="0"/>
          <w:bCs/>
        </w:rPr>
        <w:t xml:space="preserve"> </w:t>
      </w:r>
      <w:r w:rsidR="00D826E2">
        <w:rPr>
          <w:b w:val="0"/>
          <w:bCs/>
        </w:rPr>
        <w:fldChar w:fldCharType="begin" w:fldLock="1"/>
      </w:r>
      <w:r w:rsidR="00665FE8">
        <w:rPr>
          <w:b w:val="0"/>
          <w:bCs/>
        </w:rPr>
        <w:instrText>ADDIN CSL_CITATION {"citationItems":[{"id":"ITEM-1","itemData":{"DOI":"10.4102/phcfm.v6i1.655","ISSN":"20712936","PMID":"26245424","abstract":"Background: The number of persons suffering from type 2 diabetes mellitus continues to rise worldwide and causes significant morbidity and mortality, especially in the developing world. Behaviour change and adoption of healthy lifestyle habits help to prevent or slow down the complications of type 2 diabetes mellitus. However, the knowledge and practice of healthy lifestyles in many diabetic patients have been inadequate. Aim: This study sought to establish the knowledge, attitude and practice regarding lifestyle modification amongst type 2 diabetic patients. Setting: The diabetic clinic of Mamelodi hospital, Pretoria, Gauteng Province, South Africa. Methods: A cross-sectional study was done using a structured questionnaire amongst 217 type 2 diabetic patients seen at the diabetic clinic of Mamelodi hospital. Baseline characteristics of the participants were obtained and their knowledge, attitude and practice regarding lifestyle modification were assessed. Results: Of the 217 participants, 154 (71%) were obese and 15 (7%) were morbidly obese. The majority of respondents (92.2%) had poor knowledge of the benefits of exercise, weight loss and a healthy diet. What is interesting is that the majority (97.7%) demonstrated bad practices in relation to lifestyle modifications, although over four-fifths (84.3%) had a positive attitude toward healthy lifestyle modifications. Conclusion: Despite the positive attitudes of respondents toward healthy lifestyle modifications, the knowledge and practice regarding lifestyle modifications amongst type 2 diabetes mellitus participants seen at Mamelodi hospital were generally poor.","author":[{"dropping-particle":"","family":"Okonta","given":"Henry I.","non-dropping-particle":"","parse-names":false,"suffix":""},{"dropping-particle":"","family":"Ikombele","given":"John B.","non-dropping-particle":"","parse-names":false,"suffix":""},{"dropping-particle":"","family":"Ogunbanjo","given":"Gboyega A.","non-dropping-particle":"","parse-names":false,"suffix":""}],"container-title":"African Journal of Primary Health Care and Family Medicine","id":"ITEM-1","issue":"1","issued":{"date-parts":[["2014"]]},"title":"Knowledge, attitude and practice regarding lifestyle modification in type 2 diabetic patients","type":"article-journal","volume":"6"},"uris":["http://www.mendeley.com/documents/?uuid=1fc18fc5-6db7-4516-86ad-3ebb727e6d60"]}],"mendeley":{"formattedCitation":"[15]","plainTextFormattedCitation":"[15]","previouslyFormattedCitation":"[15]"},"properties":{"noteIndex":0},"schema":"https://github.com/citation-style-language/schema/raw/master/csl-citation.json"}</w:instrText>
      </w:r>
      <w:r w:rsidR="00D826E2">
        <w:rPr>
          <w:b w:val="0"/>
          <w:bCs/>
        </w:rPr>
        <w:fldChar w:fldCharType="separate"/>
      </w:r>
      <w:r w:rsidR="00D826E2" w:rsidRPr="00D826E2">
        <w:rPr>
          <w:b w:val="0"/>
          <w:bCs/>
          <w:noProof/>
        </w:rPr>
        <w:t>[15]</w:t>
      </w:r>
      <w:r w:rsidR="00D826E2">
        <w:rPr>
          <w:b w:val="0"/>
          <w:bCs/>
        </w:rPr>
        <w:fldChar w:fldCharType="end"/>
      </w:r>
      <w:r w:rsidRPr="002C71E1">
        <w:rPr>
          <w:b w:val="0"/>
          <w:bCs/>
        </w:rPr>
        <w:t xml:space="preserve">. The lack of knowledge about food types that may increase blood sugar makes it hard for most people to control body weight </w:t>
      </w:r>
      <w:r w:rsidR="00665FE8">
        <w:rPr>
          <w:b w:val="0"/>
          <w:bCs/>
        </w:rPr>
        <w:fldChar w:fldCharType="begin" w:fldLock="1"/>
      </w:r>
      <w:r w:rsidR="003836F6">
        <w:rPr>
          <w:b w:val="0"/>
          <w:bCs/>
        </w:rPr>
        <w:instrText>ADDIN CSL_CITATION {"citationItems":[{"id":"ITEM-1","itemData":{"DOI":"10.4102/phcfm.v6i1.655","ISSN":"20712936","PMID":"26245424","abstract":"Background: The number of persons suffering from type 2 diabetes mellitus continues to rise worldwide and causes significant morbidity and mortality, especially in the developing world. Behaviour change and adoption of healthy lifestyle habits help to prevent or slow down the complications of type 2 diabetes mellitus. However, the knowledge and practice of healthy lifestyles in many diabetic patients have been inadequate. Aim: This study sought to establish the knowledge, attitude and practice regarding lifestyle modification amongst type 2 diabetic patients. Setting: The diabetic clinic of Mamelodi hospital, Pretoria, Gauteng Province, South Africa. Methods: A cross-sectional study was done using a structured questionnaire amongst 217 type 2 diabetic patients seen at the diabetic clinic of Mamelodi hospital. Baseline characteristics of the participants were obtained and their knowledge, attitude and practice regarding lifestyle modification were assessed. Results: Of the 217 participants, 154 (71%) were obese and 15 (7%) were morbidly obese. The majority of respondents (92.2%) had poor knowledge of the benefits of exercise, weight loss and a healthy diet. What is interesting is that the majority (97.7%) demonstrated bad practices in relation to lifestyle modifications, although over four-fifths (84.3%) had a positive attitude toward healthy lifestyle modifications. Conclusion: Despite the positive attitudes of respondents toward healthy lifestyle modifications, the knowledge and practice regarding lifestyle modifications amongst type 2 diabetes mellitus participants seen at Mamelodi hospital were generally poor.","author":[{"dropping-particle":"","family":"Okonta","given":"Henry I.","non-dropping-particle":"","parse-names":false,"suffix":""},{"dropping-particle":"","family":"Ikombele","given":"John B.","non-dropping-particle":"","parse-names":false,"suffix":""},{"dropping-particle":"","family":"Ogunbanjo","given":"Gboyega A.","non-dropping-particle":"","parse-names":false,"suffix":""}],"container-title":"African Journal of Primary Health Care and Family Medicine","id":"ITEM-1","issue":"1","issued":{"date-parts":[["2014"]]},"title":"Knowledge, attitude and practice regarding lifestyle modification in type 2 diabetic patients","type":"article-journal","volume":"6"},"uris":["http://www.mendeley.com/documents/?uuid=1fc18fc5-6db7-4516-86ad-3ebb727e6d60"]},{"id":"ITEM-2","itemData":{"DOI":"10.4081/jphia.2012.e8","ISSN":"20389930","abstract":"Prevention and management of obesity largely depends on patient motivation and education and these, in turn, can be greatly facilitated by adequate baseline data on the knowledge, attitude and practice (KAP) of patients. The aim of this study is to assess KAP on obesity among Bangladeshi type 2 diabetics. Under a cross-sectional design 160 type 2 diabetics were selected from outpatient department of Bangladesh Institute of Research and Rehabilitation in Diabetes, Endocrine &amp; Metabolic Disorders. A standard questionnaire was constructed in local language and interview was administrated. Age and body mass index (BMI) of the respondents were 45.17±5.68 years and 25.6 ±4 kg/m2 respectively. Among them 45% were male, 38% had primary education, 25% belonged to normal weight, 1/2 of them were overweight and rest were obese. KAP score of the respondents was [mean ±SD(%)] 60.03±13.82, 79.30±8.27, 55.50±19.21 respectively. Majority were unaware about ideal body weight, energy requirement and the weight measurement techniques. A substantial proportion of the respondents considered fast food, soft drinks, mayonnaise as healthier food. Majority of them positively agreed on willingness to follow proper diet, maintaining ideal body weight, dietary management and exercise. More than half of the normal weight and overweight respondents did exercise &gt;45 min, while 1/3 obese did not do exercise (35%). KAP score were significantly associated with respondents’ level of education (P=0.0001, P=0.007, P=0.05 respectively) practice score was significantly associated with sex (P=0.0001), occupation (P=0.003) and BMI (P=0.0001). There is a need for increased effort towards developing and making education programs focusing on empowering the persons to transform their knowledge and attitude into practice.","author":[{"dropping-particle":"","family":"Saleh","given":"Farzana","non-dropping-particle":"","parse-names":false,"suffix":""},{"dropping-particle":"","family":"Mumu","given":"Shirin Jahan","non-dropping-particle":"","parse-names":false,"suffix":""},{"dropping-particle":"","family":"Ara","given":"Ferdous","non-dropping-particle":"","parse-names":false,"suffix":""},{"dropping-particle":"","family":"Ali","given":"Liaquat","non-dropping-particle":"","parse-names":false,"suffix":""},{"dropping-particle":"","family":"Hossain","given":"Sharmin","non-dropping-particle":"","parse-names":false,"suffix":""},{"dropping-particle":"","family":"Ahmed","given":"Kazi Rumana","non-dropping-particle":"","parse-names":false,"suffix":""}],"container-title":"Journal of Public Health in Africa","id":"ITEM-2","issue":"1","issued":{"date-parts":[["2012"]]},"page":"29-32","title":"Knowledge, attitude and practice of type 2 diabetic patients regarding obesity: Study in a tertiary care hospital in Bangladesh","type":"article-journal","volume":"3"},"uris":["http://www.mendeley.com/documents/?uuid=0a267efb-d9f0-43c3-989e-98e39336b1b2"]}],"mendeley":{"formattedCitation":"[15,16]","plainTextFormattedCitation":"[15,16]","previouslyFormattedCitation":"[15,16]"},"properties":{"noteIndex":0},"schema":"https://github.com/citation-style-language/schema/raw/master/csl-citation.json"}</w:instrText>
      </w:r>
      <w:r w:rsidR="00665FE8">
        <w:rPr>
          <w:b w:val="0"/>
          <w:bCs/>
        </w:rPr>
        <w:fldChar w:fldCharType="separate"/>
      </w:r>
      <w:r w:rsidR="00665FE8" w:rsidRPr="00665FE8">
        <w:rPr>
          <w:b w:val="0"/>
          <w:bCs/>
          <w:noProof/>
        </w:rPr>
        <w:t>[15,16]</w:t>
      </w:r>
      <w:r w:rsidR="00665FE8">
        <w:rPr>
          <w:b w:val="0"/>
          <w:bCs/>
        </w:rPr>
        <w:fldChar w:fldCharType="end"/>
      </w:r>
      <w:r w:rsidRPr="002C71E1">
        <w:rPr>
          <w:b w:val="0"/>
          <w:bCs/>
        </w:rPr>
        <w:t>.</w:t>
      </w:r>
    </w:p>
    <w:p w14:paraId="3D26C8C9" w14:textId="6BD7D46B" w:rsidR="002C71E1" w:rsidRPr="002C71E1" w:rsidRDefault="002C71E1" w:rsidP="002C71E1">
      <w:pPr>
        <w:pStyle w:val="Section"/>
        <w:numPr>
          <w:ilvl w:val="0"/>
          <w:numId w:val="0"/>
        </w:numPr>
        <w:spacing w:before="0"/>
        <w:jc w:val="both"/>
        <w:rPr>
          <w:b w:val="0"/>
          <w:bCs/>
        </w:rPr>
      </w:pPr>
      <w:r w:rsidRPr="002C71E1">
        <w:rPr>
          <w:b w:val="0"/>
          <w:bCs/>
        </w:rPr>
        <w:t xml:space="preserve">Using Instagram as an educational media helps to increase fruit and vegetable intake more significantly when compared with the lecture and pocket note methods as shown in Table 2 and </w:t>
      </w:r>
      <w:r w:rsidR="00F81BD6">
        <w:rPr>
          <w:b w:val="0"/>
          <w:bCs/>
        </w:rPr>
        <w:t>Figure</w:t>
      </w:r>
      <w:r w:rsidRPr="002C71E1">
        <w:rPr>
          <w:b w:val="0"/>
          <w:bCs/>
        </w:rPr>
        <w:t xml:space="preserve"> 2</w:t>
      </w:r>
      <w:r w:rsidR="00374011">
        <w:rPr>
          <w:b w:val="0"/>
          <w:bCs/>
        </w:rPr>
        <w:t xml:space="preserve">. </w:t>
      </w:r>
      <w:r w:rsidRPr="002C71E1">
        <w:rPr>
          <w:b w:val="0"/>
          <w:bCs/>
        </w:rPr>
        <w:t xml:space="preserve">The surplus in the frequency of vegetable consumption using Instagram intervention is due to a change in health </w:t>
      </w:r>
      <w:proofErr w:type="spellStart"/>
      <w:r w:rsidRPr="002C71E1">
        <w:rPr>
          <w:b w:val="0"/>
          <w:bCs/>
        </w:rPr>
        <w:t>behavior</w:t>
      </w:r>
      <w:proofErr w:type="spellEnd"/>
      <w:r w:rsidRPr="002C71E1">
        <w:rPr>
          <w:b w:val="0"/>
          <w:bCs/>
        </w:rPr>
        <w:t xml:space="preserve"> control and the mean of conveying and facilitating supports for lifestyle changes. Dynamic presentation by social media can inspire, motivate, and facilitate social supports</w:t>
      </w:r>
      <w:r w:rsidR="00AF25B5" w:rsidRPr="00AF25B5">
        <w:rPr>
          <w:b w:val="0"/>
          <w:bCs/>
        </w:rPr>
        <w:t xml:space="preserve"> </w:t>
      </w:r>
      <w:r w:rsidR="00AF25B5">
        <w:rPr>
          <w:b w:val="0"/>
          <w:bCs/>
        </w:rPr>
        <w:fldChar w:fldCharType="begin" w:fldLock="1"/>
      </w:r>
      <w:r w:rsidR="002F237A">
        <w:rPr>
          <w:b w:val="0"/>
          <w:bCs/>
        </w:rPr>
        <w:instrText>ADDIN CSL_CITATION {"citationItems":[{"id":"ITEM-1","itemData":{"DOI":"10.1177/0009922816653385","ISSN":"19382707","abstract":"We developed and pilot tested a mHealth intervention, \"Tweeting to Health,\" which used Fitbits, Twitter, and gamification to facilitate support for healthy lifestyle changes in overweight/obese (OW) and healthy weight (HW) young adults. Participants tracked activity and diet using Fitbits and used Twitter for messaging for 2 months. Physical activity, dietary intake, and Tweets were tracked and participants completed surveys at enrollment, 1 month, and 2 months. Descriptive statistics were used to examine steps/day, physical activity intensity, lifestyle changes, and total Tweets. Participants were on average 19 to 20 years old and had familiarity with Twitter. OW participants had on average 11 222 daily steps versus 11 686 (HW). One-day challenges were successful in increasing steps. Participants increased fruit/vegetable intake (92%) and decreased their sugar-sweetened beverage intake (67%). Compliance with daily Fitbit wear (99% of all days OW vs 73% HW) and daily dietary logging (82% OW vs 73% HW) and satisfaction was high.","author":[{"dropping-particle":"","family":"Chung","given":"Arlene E.","non-dropping-particle":"","parse-names":false,"suffix":""},{"dropping-particle":"","family":"Skinner","given":"Asheley C.","non-dropping-particle":"","parse-names":false,"suffix":""},{"dropping-particle":"","family":"Hasty","given":"Stephanie E.","non-dropping-particle":"","parse-names":false,"suffix":""},{"dropping-particle":"","family":"Perrin","given":"Eliana M.","non-dropping-particle":"","parse-names":false,"suffix":""}],"container-title":"Clinical Pediatrics","id":"ITEM-1","issue":"1","issued":{"date-parts":[["2017"]]},"page":"26-32","title":"Tweeting to Health: A Novel mHealth Intervention Using Fitbits and Twitter to Foster Healthy Lifestyles","type":"article-journal","volume":"56"},"uris":["http://www.mendeley.com/documents/?uuid=4fdf0778-45a0-4d75-a392-c001dd66cdd7"]},{"id":"ITEM-2","itemData":{"DOI":"10.1186/s12966-018-0696-y","ISSN":"14795868","abstract":"Background: Social media has been widely adopted by young adults, consequently health researchers are looking for ways to leverage this engagement with social media for the delivery of interventions and health promotion campaigns. Weight gain and sub-optimal dietary choices are common in young adults, and social media may be a potential tool to facilitate and support healthier choices. Methods: We conducted a mixed-methods systematic review of studies examining social media use for nutrition-related outcomes in young adults. Seven databases [EBscohost, ERIC, ProQuest Central, PubMed, Ovid, Scopus, and Emerald] were systematically searched; 1225 abstracts were screened, and 47 full-text articles were assessed for eligibility. Study designs included both quantitative, such as experimental and observational studies, and qualitative, such as focus groups and interviews, approaches. Quality was assessed using the Mixed Methods Appraisal Tool. Quantitative and qualitative results were examined separately, and then synthesized. Results: Twenty-one studies were included although their use of social media was highly variable. The main purpose of social media was to provide information and social support to participants. In the nine randomized controlled trials, social media was used as one aspect of a multi-faceted intervention. Interventions had a positive statistically significant impact on nutritional outcomes in 1/9 trials. Engagement with the social media component of interventions varied, from 3 to 69%. Young adults appear to be open to receiving healthy eating and recipe tips through social media, however, they are reluctant to share personal weight-related information on their online social networks. Conclusions: Information-dissemination is now an acceptable use of social media by young adults. Using social media effectively for social support, either via private groups or public pages, requires careful evaluation as its effectiveness is yet to be demonstrated in experimental designs. Concerns about public social media use may be a contributing factor to poor engagement with social media in research intervention studies aimed at influencing weight. Future research should consider how to best engage with young adults using social media, how to more effectively use social media to support young adults and to facilitate social and peer-to-peer support in making healthier choices.","author":[{"dropping-particle":"","family":"Klassen","given":"Karen M.","non-dropping-particle":"","parse-names":false,"suffix":""},{"dropping-particle":"","family":"Douglass","given":"Caitlin H.","non-dropping-particle":"","parse-names":false,"suffix":""},{"dropping-particle":"","family":"Brennan","given":"Linda","non-dropping-particle":"","parse-names":false,"suffix":""},{"dropping-particle":"","family":"Truby","given":"Helen","non-dropping-particle":"","parse-names":false,"suffix":""},{"dropping-particle":"","family":"Lim","given":"Megan S.C.","non-dropping-particle":"","parse-names":false,"suffix":""}],"container-title":"International Journal of Behavioral Nutrition and Physical Activity","id":"ITEM-2","issue":"1","issued":{"date-parts":[["2018"]]},"page":"1-18","publisher":"International Journal of Behavioral Nutrition and Physical Activity","title":"Social media use for nutrition outcomes in young adults: A mixed-methods systematic review","type":"article-journal","volume":"15"},"uris":["http://www.mendeley.com/documents/?uuid=afcb5909-72e4-4ec4-bf06-403cc6b79c5a"]}],"mendeley":{"formattedCitation":"[17,18]","plainTextFormattedCitation":"[17,18]","previouslyFormattedCitation":"[17,18]"},"properties":{"noteIndex":0},"schema":"https://github.com/citation-style-language/schema/raw/master/csl-citation.json"}</w:instrText>
      </w:r>
      <w:r w:rsidR="00AF25B5">
        <w:rPr>
          <w:b w:val="0"/>
          <w:bCs/>
        </w:rPr>
        <w:fldChar w:fldCharType="separate"/>
      </w:r>
      <w:r w:rsidR="00AF25B5" w:rsidRPr="00C256FD">
        <w:rPr>
          <w:b w:val="0"/>
          <w:bCs/>
          <w:noProof/>
        </w:rPr>
        <w:t>[17,18]</w:t>
      </w:r>
      <w:r w:rsidR="00AF25B5">
        <w:rPr>
          <w:b w:val="0"/>
          <w:bCs/>
        </w:rPr>
        <w:fldChar w:fldCharType="end"/>
      </w:r>
      <w:r w:rsidRPr="002C71E1">
        <w:rPr>
          <w:b w:val="0"/>
          <w:bCs/>
        </w:rPr>
        <w:t xml:space="preserve">. Stronger social support from the social media method is due to the sustainability and an over-time engagement in implementing the </w:t>
      </w:r>
      <w:proofErr w:type="spellStart"/>
      <w:r w:rsidRPr="002C71E1">
        <w:rPr>
          <w:b w:val="0"/>
          <w:bCs/>
        </w:rPr>
        <w:t>behavioral</w:t>
      </w:r>
      <w:proofErr w:type="spellEnd"/>
      <w:r w:rsidRPr="002C71E1">
        <w:rPr>
          <w:b w:val="0"/>
          <w:bCs/>
        </w:rPr>
        <w:t xml:space="preserve"> changes when compared with the participants who attended the lecture </w:t>
      </w:r>
      <w:r w:rsidR="002F237A">
        <w:rPr>
          <w:b w:val="0"/>
          <w:bCs/>
        </w:rPr>
        <w:fldChar w:fldCharType="begin" w:fldLock="1"/>
      </w:r>
      <w:r w:rsidR="002F237A">
        <w:rPr>
          <w:b w:val="0"/>
          <w:bCs/>
        </w:rPr>
        <w:instrText>ADDIN CSL_CITATION {"citationItems":[{"id":"ITEM-1","itemData":{"DOI":"10.1177/0009922816653385","ISSN":"19382707","abstract":"We developed and pilot tested a mHealth intervention, \"Tweeting to Health,\" which used Fitbits, Twitter, and gamification to facilitate support for healthy lifestyle changes in overweight/obese (OW) and healthy weight (HW) young adults. Participants tracked activity and diet using Fitbits and used Twitter for messaging for 2 months. Physical activity, dietary intake, and Tweets were tracked and participants completed surveys at enrollment, 1 month, and 2 months. Descriptive statistics were used to examine steps/day, physical activity intensity, lifestyle changes, and total Tweets. Participants were on average 19 to 20 years old and had familiarity with Twitter. OW participants had on average 11 222 daily steps versus 11 686 (HW). One-day challenges were successful in increasing steps. Participants increased fruit/vegetable intake (92%) and decreased their sugar-sweetened beverage intake (67%). Compliance with daily Fitbit wear (99% of all days OW vs 73% HW) and daily dietary logging (82% OW vs 73% HW) and satisfaction was high.","author":[{"dropping-particle":"","family":"Chung","given":"Arlene E.","non-dropping-particle":"","parse-names":false,"suffix":""},{"dropping-particle":"","family":"Skinner","given":"Asheley C.","non-dropping-particle":"","parse-names":false,"suffix":""},{"dropping-particle":"","family":"Hasty","given":"Stephanie E.","non-dropping-particle":"","parse-names":false,"suffix":""},{"dropping-particle":"","family":"Perrin","given":"Eliana M.","non-dropping-particle":"","parse-names":false,"suffix":""}],"container-title":"Clinical Pediatrics","id":"ITEM-1","issue":"1","issued":{"date-parts":[["2017"]]},"page":"26-32","title":"Tweeting to Health: A Novel mHealth Intervention Using Fitbits and Twitter to Foster Healthy Lifestyles","type":"article-journal","volume":"56"},"uris":["http://www.mendeley.com/documents/?uuid=4fdf0778-45a0-4d75-a392-c001dd66cdd7"]}],"mendeley":{"formattedCitation":"[17]","plainTextFormattedCitation":"[17]","previouslyFormattedCitation":"[17]"},"properties":{"noteIndex":0},"schema":"https://github.com/citation-style-language/schema/raw/master/csl-citation.json"}</w:instrText>
      </w:r>
      <w:r w:rsidR="002F237A">
        <w:rPr>
          <w:b w:val="0"/>
          <w:bCs/>
        </w:rPr>
        <w:fldChar w:fldCharType="separate"/>
      </w:r>
      <w:r w:rsidR="002F237A" w:rsidRPr="002F237A">
        <w:rPr>
          <w:b w:val="0"/>
          <w:bCs/>
          <w:noProof/>
        </w:rPr>
        <w:t>[17]</w:t>
      </w:r>
      <w:r w:rsidR="002F237A">
        <w:rPr>
          <w:b w:val="0"/>
          <w:bCs/>
        </w:rPr>
        <w:fldChar w:fldCharType="end"/>
      </w:r>
      <w:r w:rsidRPr="002C71E1">
        <w:rPr>
          <w:b w:val="0"/>
          <w:bCs/>
        </w:rPr>
        <w:t>. The engagement using Instagram measured with the “likes” on each post also helps to observe all contents passively. Food consumption pattern using Instagram is observed through the daily messages with menu frequency containing fruits and vegetables</w:t>
      </w:r>
      <w:r w:rsidR="002F237A">
        <w:rPr>
          <w:b w:val="0"/>
          <w:bCs/>
        </w:rPr>
        <w:t xml:space="preserve"> </w:t>
      </w:r>
      <w:r w:rsidR="002F237A">
        <w:rPr>
          <w:b w:val="0"/>
          <w:bCs/>
        </w:rPr>
        <w:fldChar w:fldCharType="begin" w:fldLock="1"/>
      </w:r>
      <w:r w:rsidR="000B5779">
        <w:rPr>
          <w:b w:val="0"/>
          <w:bCs/>
        </w:rPr>
        <w:instrText>ADDIN CSL_CITATION {"citationItems":[{"id":"ITEM-1","itemData":{"DOI":"10.1016/S2213-8587(16)30105-X","abstract":"Background—Few weight-loss interventions are evaluated for longer than a year, and even fewer employ social and mobile technologies commonly used among young adults. We assessed the efficacy of a two-year, theory-based weight-loss intervention that was remotely and adaptively delivered via integrated user-experiences with 1) Facebook, 2) mobile apps, 3) text messaging, 4) emails, 5) a website, and 6) technology-mediated communication with a health coach. Methods—From May 2011 to May 2012, 404 overweight or obese college students (aged 18 to 35 years) from three universities in San Diego, CA were randomized using a computer-based procedure to receive either the intervention (n=202) or general information about health and wellness (control group, n=202). The primary outcome was objectively measured weight in kg at 24 months, and differences between groups were evaluated using linear mixed-effects regression and an intention-to-treat framework. The trial was registered with ClinicalTrials.gov NCT01200459. Findings—Participants’ mean (standard deviation (SD)) age was 22·7 (3.8) years. They were 70% female and 31% Hispanic. Mean (SD) body mass index was 29·0 (2.8) kg/m2. At 24 months, weight was assessed in 341 (84%) participants, but all 404 were included in analyses. Weight, adjusted for sex, ethnicity, and college, was significantly less in the intervention group compared to the control group at 6 months (−1·33 kg, 95% confidence interval (CI) = −2·36 to −0·30, p = 0·011) and 12 months (−1·33 kg, 95% CI =−2·30 to −0·35, p = 0·008). However, differences between groups at 18 months (−0·67 kg, 95% CI = −1·69 to 0·35, p = 0·200) and 24 months (−0·79 kg, 95% CI = −2·02 to 0·43, p = 0·204) were not significant. Interpretation—Social and mobile technologies may facilitate limited short-term weight loss among young adults, but as utilized in this intervention, these approaches did not produce sustained reductions in weight.","author":[{"dropping-particle":"","family":"Godino","given":"Job G","non-dropping-particle":"","parse-names":false,"suffix":""},{"dropping-particle":"","family":"Merchant","given":"Gina","non-dropping-particle":"","parse-names":false,"suffix":""},{"dropping-particle":"","family":"Norman","given":"Gregory J","non-dropping-particle":"","parse-names":false,"suffix":""},{"dropping-particle":"","family":"Donohue","given":"Michael C","non-dropping-particle":"","parse-names":false,"suffix":""},{"dropping-particle":"al","family":"Marshall","given":"Simon J. et","non-dropping-particle":"","parse-names":false,"suffix":""}],"container-title":"Lancet Diabetes Endocrinol","id":"ITEM-1","issue":"9","issued":{"date-parts":[["2016"]]},"page":"747-755","title":"Using Social and Mobile Tools for Weight Loss in Overweight and Obese Young Adults (Project SMART): A 2-Year Parallel Group Randomized Controlled Trial Acquisition, analysis, or interpretation of data: HHS Public Access","type":"article-journal","volume":"4"},"uris":["http://www.mendeley.com/documents/?uuid=4ac932a7-fd98-46dd-8ac8-bfb0062b2e69"]}],"mendeley":{"formattedCitation":"[19]","plainTextFormattedCitation":"[19]","previouslyFormattedCitation":"[19]"},"properties":{"noteIndex":0},"schema":"https://github.com/citation-style-language/schema/raw/master/csl-citation.json"}</w:instrText>
      </w:r>
      <w:r w:rsidR="002F237A">
        <w:rPr>
          <w:b w:val="0"/>
          <w:bCs/>
        </w:rPr>
        <w:fldChar w:fldCharType="separate"/>
      </w:r>
      <w:r w:rsidR="002F237A" w:rsidRPr="002F237A">
        <w:rPr>
          <w:b w:val="0"/>
          <w:bCs/>
          <w:noProof/>
        </w:rPr>
        <w:t>[19]</w:t>
      </w:r>
      <w:r w:rsidR="002F237A">
        <w:rPr>
          <w:b w:val="0"/>
          <w:bCs/>
        </w:rPr>
        <w:fldChar w:fldCharType="end"/>
      </w:r>
      <w:r w:rsidRPr="002C71E1">
        <w:rPr>
          <w:b w:val="0"/>
          <w:bCs/>
        </w:rPr>
        <w:t>. Individuals have a better understanding of eating habits, informing the choice of food, and learning to be able to choose healthy food over unhealthy ones</w:t>
      </w:r>
      <w:r w:rsidR="000B5779">
        <w:rPr>
          <w:b w:val="0"/>
          <w:bCs/>
        </w:rPr>
        <w:t xml:space="preserve"> </w:t>
      </w:r>
      <w:r w:rsidR="000B5779">
        <w:rPr>
          <w:b w:val="0"/>
          <w:bCs/>
        </w:rPr>
        <w:fldChar w:fldCharType="begin" w:fldLock="1"/>
      </w:r>
      <w:r w:rsidR="00F2150E">
        <w:rPr>
          <w:b w:val="0"/>
          <w:bCs/>
        </w:rPr>
        <w:instrText>ADDIN CSL_CITATION {"citationItems":[{"id":"ITEM-1","itemData":{"DOI":"10.1038/s41395-018-0061-4.","ISBN":"2163684814","abstract":"file:///C:/Users/Marika/Desktop/università di pavia/articoli/strategie per l'infertilità/nihms964087.pdf","author":[{"dropping-particle":"","family":"Michelle M. Chau, Burgermaster Marissa","given":"Mamykina Lena","non-dropping-particle":"","parse-names":false,"suffix":""}],"container-title":"Physiology &amp; behavior","id":"ITEM-1","issue":"1","issued":{"date-parts":[["2018"]]},"page":"77-91","title":"The use of social media in nutrition interventions for adolescents and young adults—A systematic review","type":"article-journal","volume":"120"},"uris":["http://www.mendeley.com/documents/?uuid=c028d3c0-fe7a-4673-9377-4a34d5fd8095"]}],"mendeley":{"formattedCitation":"[20]","plainTextFormattedCitation":"[20]","previouslyFormattedCitation":"[20]"},"properties":{"noteIndex":0},"schema":"https://github.com/citation-style-language/schema/raw/master/csl-citation.json"}</w:instrText>
      </w:r>
      <w:r w:rsidR="000B5779">
        <w:rPr>
          <w:b w:val="0"/>
          <w:bCs/>
        </w:rPr>
        <w:fldChar w:fldCharType="separate"/>
      </w:r>
      <w:r w:rsidR="000B5779" w:rsidRPr="000B5779">
        <w:rPr>
          <w:b w:val="0"/>
          <w:bCs/>
          <w:noProof/>
        </w:rPr>
        <w:t>[20]</w:t>
      </w:r>
      <w:r w:rsidR="000B5779">
        <w:rPr>
          <w:b w:val="0"/>
          <w:bCs/>
        </w:rPr>
        <w:fldChar w:fldCharType="end"/>
      </w:r>
      <w:r w:rsidRPr="002C71E1">
        <w:rPr>
          <w:b w:val="0"/>
          <w:bCs/>
        </w:rPr>
        <w:t xml:space="preserve">. There is also an influential covariate on the consumption of vegetables, namely sleep duration within a day. The table shows that individuals with 4 until 6 hours of daily sleep duration consume fewer vegetables. There is an underlying mechanism that a short sleep duration or disturbed sleep can increase emotions, stress, sensitivity to high-calorie foods, and low consumption of fruits and vegetables. A change of appetite hormones, ghrelin and leptin due to a short sleep duration also triggers an appetite for high-calorie foods to replace the energy </w:t>
      </w:r>
      <w:r w:rsidRPr="002C71E1">
        <w:rPr>
          <w:b w:val="0"/>
          <w:bCs/>
        </w:rPr>
        <w:lastRenderedPageBreak/>
        <w:t xml:space="preserve">needs and causes low consumption of fruits and vegetables </w:t>
      </w:r>
      <w:r w:rsidR="00F2150E">
        <w:rPr>
          <w:b w:val="0"/>
          <w:bCs/>
        </w:rPr>
        <w:fldChar w:fldCharType="begin" w:fldLock="1"/>
      </w:r>
      <w:r w:rsidR="00F2150E">
        <w:rPr>
          <w:b w:val="0"/>
          <w:bCs/>
        </w:rPr>
        <w:instrText>ADDIN CSL_CITATION {"citationItems":[{"id":"ITEM-1","itemData":{"DOI":"10.1186/s12889-019-6739-8","ISSN":"14712458","PMID":"31088522","abstract":"Background: The relationship between sleep duration and food intake is unclear. This study aims to examine the relationship among children aged 6-17 years in China. Methods: The sample consisted of 70,519 children aged 6-17 years, which were randomly selected from 7 representative areas from China, from September to November, 2013. In the structured questionnaire, children reported daily sleep hours (less than 7 h, 7-9 h and more than 9 h), weekly food intake amount (including vegetables, fruit, sugar beverages and meat), physical activity and sedentary time. The relationship of sleep duration with vegetable, sugar beverage, fruit and meat intake was evaluated by multi-nominal logistic regression and multi-variable adjusted. Results: A total of 62,517 children (51.6% boys) completed the study. Short sleep duration (SSD, &lt; 7 h) was independently associated with increased sugar beverage intake (SBI, Odd Ratio, OR: 1.29, 95% CI: 1.19-1.40) but decreased vegetable (VI, OR: 0.94, 95% CI: 0.90-0.98) &amp; fruit intake (FI, OR: 0.94, 95% CI: 0.88-0.99). Stratified by age and gender, SSD increased SBI for boys of both young (6-12 years) &amp; older (13-17 years) groups and older girls (ORs: 1.25, 1.25, 1.49, 95% CI: 1.08-1.44, 1.04-1.50, 1.22-1.81, respectively), but decreased VI and FI for older girls (ORs: 0.84&amp; 0.81, 95% CI: 0.74-0.96&amp; 0.68-0.96, respectively). Conclusions: Among school-aged children in China, short sleep duration was associated with increased risks of more sugar beverage intake among those younger and boys but less vegetable &amp; fruit intake among those older and girls. Longitudinal research is needed to clarify the causation in between.","author":[{"dropping-particle":"","family":"Cao","given":"Muqing","non-dropping-particle":"","parse-names":false,"suffix":""},{"dropping-particle":"","family":"Zhu","given":"Yanna","non-dropping-particle":"","parse-names":false,"suffix":""},{"dropping-particle":"","family":"Sun","given":"Fan","non-dropping-particle":"","parse-names":false,"suffix":""},{"dropping-particle":"","family":"Luo","given":"Jingyin","non-dropping-particle":"","parse-names":false,"suffix":""},{"dropping-particle":"","family":"Jing","given":"Jin","non-dropping-particle":"","parse-names":false,"suffix":""}],"container-title":"BMC Public Health","id":"ITEM-1","issue":"1","issued":{"date-parts":[["2019"]]},"page":"1-9","publisher":"BMC Public Health","title":"Short sleep duration is associated with specific food intake increase among school-aged children in China: A national cross-sectional study","type":"article-journal","volume":"19"},"uris":["http://www.mendeley.com/documents/?uuid=02a7348f-7d7a-4414-b85e-8c2c45f080cb"]},{"id":"ITEM-2","itemData":{"DOI":"10.1136/bmjopen-2017-020810","ISSN":"20446055","PMID":"29703857","abstract":"Objectives There is increasing evidence to suggest an association between sleep and diet. The aim of the present study was to examine the association between sleep duration and fruit/vegetable (FV) intakes and their associated biomarkers in UK adults. Design Cross-sectional. Setting Data from The National Diet and Nutrition Survey. Participants 1612 adults aged 19-65 years were included, pregnant/breastfeeding women were excluded from the analyses. Outcome measures Sleep duration was assessed by self-report, and diet was assessed by 4-day food diaries, disaggregation of foods containing FV into their components was conducted to determine total FV intakes. Sleep duration was divided into: short (&lt;7 hours/day), reference (7-8 hours/day) and long (&gt;8 hours/day) sleep periods. Multiple regression adjusting for confounders was used for analyses where sleep duration was the exposure and FV intakes and their associated biomarkers were the outcomes. Restricted cubic spline models were developed to explore potential non-linear associations. Results In adjusted models, long sleepers (LS) consumed on average 28 (95% CI -50 to -6, p=0.01) g/day less of total FV compared to reference sleepers (RS), whereas short sleepers (SS) consumed 24 g/day less (95% CI -42 to -6, p=0.006) and had lower levels of FV biomarkers (total carotenoids, β-carotene and lycopene) compared to RS. Restricted cubic spline models showed that the association between sleep duration and FV intakes was non-linear (p&lt;0.001) with RS having the highest intakes compared to SS and LS. The associations between sleep duration and plasma total carotenoids (p=0.0035), plasma vitamin C (p=0.009) and lycopene (p&lt;0.001) were non-linear with RS having the highest levels. Conclusions These findings show a link between sleep duration and FV consumption. This may have important implications for lifestyle and behavioural change policy.","author":[{"dropping-particle":"","family":"Noorwali","given":"Essra A.","non-dropping-particle":"","parse-names":false,"suffix":""},{"dropping-particle":"","family":"Cade","given":"Janet E.","non-dropping-particle":"","parse-names":false,"suffix":""},{"dropping-particle":"","family":"Burley","given":"Victoria J.","non-dropping-particle":"","parse-names":false,"suffix":""},{"dropping-particle":"","family":"Hardie","given":"Laura J.","non-dropping-particle":"","parse-names":false,"suffix":""}],"container-title":"BMJ Open","id":"ITEM-2","issue":"4","issued":{"date-parts":[["2018"]]},"page":"1-9","title":"The relationship between sleep duration and fruit/vegetable intakes in UK adults: A cross-sectional study from the National Diet and Nutrition Survey","type":"article-journal","volume":"8"},"uris":["http://www.mendeley.com/documents/?uuid=93fffb96-e55a-4314-8ddb-9341251eb8d4"]}],"mendeley":{"formattedCitation":"[21,22]","plainTextFormattedCitation":"[21,22]","previouslyFormattedCitation":"[21,22]"},"properties":{"noteIndex":0},"schema":"https://github.com/citation-style-language/schema/raw/master/csl-citation.json"}</w:instrText>
      </w:r>
      <w:r w:rsidR="00F2150E">
        <w:rPr>
          <w:b w:val="0"/>
          <w:bCs/>
        </w:rPr>
        <w:fldChar w:fldCharType="separate"/>
      </w:r>
      <w:r w:rsidR="00F2150E" w:rsidRPr="00F2150E">
        <w:rPr>
          <w:b w:val="0"/>
          <w:bCs/>
          <w:noProof/>
        </w:rPr>
        <w:t>[21,22]</w:t>
      </w:r>
      <w:r w:rsidR="00F2150E">
        <w:rPr>
          <w:b w:val="0"/>
          <w:bCs/>
        </w:rPr>
        <w:fldChar w:fldCharType="end"/>
      </w:r>
      <w:r w:rsidRPr="002C71E1">
        <w:rPr>
          <w:b w:val="0"/>
          <w:bCs/>
        </w:rPr>
        <w:t xml:space="preserve">. This condition also occurred on the respondents included in this study with 4 until 6 hours of sleep duration, when an increase of high fat and sugar foods intake occurred. Individuals who live in rental houses eat more fruits. According to Menezes et al., the frequency of fruits and vegetables consumption is significantly influenced by geographical access to healthy meals or fruit markets and low exposure to unhealthy foods </w:t>
      </w:r>
      <w:r w:rsidR="00F2150E">
        <w:rPr>
          <w:b w:val="0"/>
          <w:bCs/>
        </w:rPr>
        <w:fldChar w:fldCharType="begin" w:fldLock="1"/>
      </w:r>
      <w:r w:rsidR="00547AD6">
        <w:rPr>
          <w:b w:val="0"/>
          <w:bCs/>
        </w:rPr>
        <w:instrText>ADDIN CSL_CITATION {"citationItems":[{"id":"ITEM-1","itemData":{"DOI":"10.1016/j.pmedr.2016.10.015","ISSN":"22113355","abstract":"Ecological studies are essential for understanding the environment-diet relationship. The purpose of this study was to describe environmental conditions and their relationship with fruit and vegetable (FV) consumption among Brazilian public health service users in the city of Belo Horizonte. We evaluated food stores contained within 1600 m buffer zones at 18 Health Academy Programme sites, from 2013 to 2014. Variables at the community (density, proximity and type) and the consumer (sectional location of FV; availability, quality, variety, price and advertising of FV and ultra-processed foods) nutrition environment were measured by direct observation, while aggregate data from users (income and FV consumption) were obtained by interview. Data were analysed using the Kernel intensity estimator, average nearest neighbour value and Local Moran's Index for local spatial autocorrelation. We interviewed 3414 users and analysed 336 food stores. Major geographical variations in the FV consumption were identified. Average consumption was higher (site 2A: 410.5 ± 185.7 g vs. site 4B: 311.2 ± 159.9 g) in neighbourhoods with higher income and concentration of food stores, and better index of access to healthy foods. Sites with poor FV consumption had the most stores with poor access to healthy foods (index in the first tertile, ≤ 10). In conclusion, negative characteristics of the food environment, as seen in the present study, may contribute to low FV consumption, suggesting the need for the development and consolidation of public policies aimed at creating healthy environments through built environment interventions that increase access to and consumption of healthy foods like FV.","author":[{"dropping-particle":"","family":"Menezes","given":"Mariana Carvalho","non-dropping-particle":"","parse-names":false,"suffix":""},{"dropping-particle":"","family":"Costa","given":"Bruna Vieirade Lima","non-dropping-particle":"","parse-names":false,"suffix":""},{"dropping-particle":"","family":"Oliveira","given":"Cláudia Di Lorenzo","non-dropping-particle":"","parse-names":false,"suffix":""},{"dropping-particle":"","family":"Lopes","given":"Aline Cristine Souza","non-dropping-particle":"","parse-names":false,"suffix":""}],"container-title":"Preventive Medicine Reports","id":"ITEM-1","issued":{"date-parts":[["2017"]]},"page":"13-20","publisher":"The Authors","title":"Local food environment and fruit and vegetable consumption: An ecological study","type":"article-journal","volume":"5"},"uris":["http://www.mendeley.com/documents/?uuid=1f05d6a7-64bf-4295-a3cd-d4b9d24ac192"]}],"mendeley":{"formattedCitation":"[23]","plainTextFormattedCitation":"[23]","previouslyFormattedCitation":"[23]"},"properties":{"noteIndex":0},"schema":"https://github.com/citation-style-language/schema/raw/master/csl-citation.json"}</w:instrText>
      </w:r>
      <w:r w:rsidR="00F2150E">
        <w:rPr>
          <w:b w:val="0"/>
          <w:bCs/>
        </w:rPr>
        <w:fldChar w:fldCharType="separate"/>
      </w:r>
      <w:r w:rsidR="00F2150E" w:rsidRPr="00F2150E">
        <w:rPr>
          <w:b w:val="0"/>
          <w:bCs/>
          <w:noProof/>
        </w:rPr>
        <w:t>[23]</w:t>
      </w:r>
      <w:r w:rsidR="00F2150E">
        <w:rPr>
          <w:b w:val="0"/>
          <w:bCs/>
        </w:rPr>
        <w:fldChar w:fldCharType="end"/>
      </w:r>
      <w:r w:rsidRPr="002C71E1">
        <w:rPr>
          <w:b w:val="0"/>
          <w:bCs/>
        </w:rPr>
        <w:t>. Individuals with no history of DM also eat more fruits. Low consumption of snacks with a high amount of sugar and fat on females, students participating in sports activities, and smokers.</w:t>
      </w:r>
    </w:p>
    <w:p w14:paraId="13F1977F" w14:textId="4AF3AF58" w:rsidR="002C71E1" w:rsidRPr="002C71E1" w:rsidRDefault="002C71E1" w:rsidP="00374011">
      <w:pPr>
        <w:pStyle w:val="Section"/>
        <w:numPr>
          <w:ilvl w:val="0"/>
          <w:numId w:val="0"/>
        </w:numPr>
        <w:spacing w:before="0"/>
        <w:jc w:val="both"/>
        <w:rPr>
          <w:b w:val="0"/>
          <w:bCs/>
        </w:rPr>
      </w:pPr>
      <w:r w:rsidRPr="002C71E1">
        <w:rPr>
          <w:b w:val="0"/>
          <w:bCs/>
        </w:rPr>
        <w:t xml:space="preserve">However, education via Instagram lowers MET value more than those in the lecture group. This is the adverse impact of social media, where individuals spend more time surfing on social media. To overcome that adverse impact of social media, individuals need to maintain awareness and monitoring actions for social media usage </w:t>
      </w:r>
      <w:r w:rsidR="00547AD6">
        <w:rPr>
          <w:b w:val="0"/>
          <w:bCs/>
        </w:rPr>
        <w:fldChar w:fldCharType="begin" w:fldLock="1"/>
      </w:r>
      <w:r w:rsidR="00547AD6">
        <w:rPr>
          <w:b w:val="0"/>
          <w:bCs/>
        </w:rPr>
        <w:instrText>ADDIN CSL_CITATION {"citationItems":[{"id":"ITEM-1","itemData":{"DOI":"10.3390/su11061683","ISSN":"20711050","abstract":"In today's world, social media is playing an indispensable role on the learning behavior of university students to achieve sustainable education. The impact of social media on sustainable education is becoming an essential and impelling factor. The world has become a global village and technology use has made it a smaller world through social media and how it is changing instruction. This original study is amongst the few to perform a focalized investigation on revealing the relationship between positive and negative characteristics of social media and the learning attitude of university students for sustainable education. However, this study aims to examine the constructive and adverse factors that impact on students' minds and how these helped students to share positive and negative aspects with others. It is increasingly noticeable that social networking sites and their applications present enormous benefits for as well as risks to university students and their implications on students' psychological adjustment or learning behaviors are not well understood. This study adapted the cluster sampling method, and respondents participated from five selected regions. Researchers distributed 1013 questionnaires among the targeted sample of university students with an age range of 16 to 35 years, and they collected 831 complete/valid responses. This study applied the social gratification theory to examine students' behavior practicing socialmedia usage. This study specifically identified 18 adversarial and constructive factors of social media from the previous literature. The findings revealed that the usage of social media in Pakistan has a negative influence on a student's behavior as compared to positive aspects. Results may not be generalized to the entire student community as findings are specific to the specific respondents only. This study presents a relationship between antithetical and creative characteristics of socialmedia and exhibits avenues for future studies by facilitating a better understanding of web-based social network use.","author":[{"dropping-particle":"","family":"Abbas","given":"Jaffar","non-dropping-particle":"","parse-names":false,"suffix":""},{"dropping-particle":"","family":"Aman","given":"Jaffar","non-dropping-particle":"","parse-names":false,"suffix":""},{"dropping-particle":"","family":"Nurunnabi","given":"Mohammad","non-dropping-particle":"","parse-names":false,"suffix":""},{"dropping-particle":"","family":"Bano","given":"Shaher","non-dropping-particle":"","parse-names":false,"suffix":""}],"container-title":"Sustainability (Switzerland)","id":"ITEM-1","issue":"6","issued":{"date-parts":[["2019"]]},"page":"1-23","title":"The impact of social media on learning behavior for sustainable education: Evidence of students from selected universities in Pakistan","type":"article-journal","volume":"11"},"uris":["http://www.mendeley.com/documents/?uuid=34c1c983-36fb-4c00-b24b-8ef6d2248efb"]}],"mendeley":{"formattedCitation":"[5]","plainTextFormattedCitation":"[5]"},"properties":{"noteIndex":0},"schema":"https://github.com/citation-style-language/schema/raw/master/csl-citation.json"}</w:instrText>
      </w:r>
      <w:r w:rsidR="00547AD6">
        <w:rPr>
          <w:b w:val="0"/>
          <w:bCs/>
        </w:rPr>
        <w:fldChar w:fldCharType="separate"/>
      </w:r>
      <w:r w:rsidR="00547AD6" w:rsidRPr="00547AD6">
        <w:rPr>
          <w:b w:val="0"/>
          <w:bCs/>
          <w:noProof/>
        </w:rPr>
        <w:t>[5]</w:t>
      </w:r>
      <w:r w:rsidR="00547AD6">
        <w:rPr>
          <w:b w:val="0"/>
          <w:bCs/>
        </w:rPr>
        <w:fldChar w:fldCharType="end"/>
      </w:r>
      <w:r w:rsidRPr="002C71E1">
        <w:rPr>
          <w:b w:val="0"/>
          <w:bCs/>
        </w:rPr>
        <w:t>. The majority of individuals with low physical activity are also included in the overweight category in this study.</w:t>
      </w:r>
    </w:p>
    <w:p w14:paraId="6F19CF1D" w14:textId="364D99C3" w:rsidR="002C71E1" w:rsidRPr="002C71E1" w:rsidRDefault="002C71E1" w:rsidP="00374011">
      <w:pPr>
        <w:pStyle w:val="Section"/>
        <w:numPr>
          <w:ilvl w:val="0"/>
          <w:numId w:val="0"/>
        </w:numPr>
        <w:spacing w:before="0"/>
        <w:jc w:val="both"/>
        <w:rPr>
          <w:b w:val="0"/>
          <w:bCs/>
        </w:rPr>
      </w:pPr>
      <w:r w:rsidRPr="002C71E1">
        <w:rPr>
          <w:b w:val="0"/>
          <w:bCs/>
        </w:rPr>
        <w:t xml:space="preserve">The limitation of this study is the unbalanced composition between male and female </w:t>
      </w:r>
      <w:proofErr w:type="gramStart"/>
      <w:r w:rsidRPr="002C71E1">
        <w:rPr>
          <w:b w:val="0"/>
          <w:bCs/>
        </w:rPr>
        <w:t>students,</w:t>
      </w:r>
      <w:proofErr w:type="gramEnd"/>
      <w:r w:rsidRPr="002C71E1">
        <w:rPr>
          <w:b w:val="0"/>
          <w:bCs/>
        </w:rPr>
        <w:t xml:space="preserve"> therefore, this study cannot project a significant impact of using social media as an educational media for males. Short-term intervention and no follow-ups to learn the long-term impacts of physical activities and eating frequency categories. The Instagram intervention is also unable to measure engagement in health intervention in depth.</w:t>
      </w:r>
    </w:p>
    <w:p w14:paraId="6C00D1BE" w14:textId="33C491BC" w:rsidR="002C71E1" w:rsidRPr="002C71E1" w:rsidRDefault="002C71E1" w:rsidP="00D925FA">
      <w:pPr>
        <w:pStyle w:val="Section"/>
        <w:numPr>
          <w:ilvl w:val="0"/>
          <w:numId w:val="5"/>
        </w:numPr>
      </w:pPr>
      <w:r>
        <w:t>Conclusion</w:t>
      </w:r>
    </w:p>
    <w:p w14:paraId="2A649225" w14:textId="5EF08F05" w:rsidR="00330AAC" w:rsidRDefault="001359F6" w:rsidP="00330AAC">
      <w:pPr>
        <w:jc w:val="both"/>
        <w:rPr>
          <w:rFonts w:asciiTheme="majorBidi" w:hAnsiTheme="majorBidi" w:cstheme="majorBidi"/>
          <w:szCs w:val="22"/>
        </w:rPr>
      </w:pPr>
      <w:r w:rsidRPr="009D17BB">
        <w:rPr>
          <w:rFonts w:ascii="Times New Roman" w:hAnsi="Times New Roman"/>
          <w:szCs w:val="22"/>
        </w:rPr>
        <w:t>Using Instagram to educate individuals about the threat of diabetes mellitus, increasing fruits and vegetables consumption, and lowering the consumption of snacks with a high content of fat and sugar is proven better than using the conventional method. However, this method also has a drawback, namely lowering the MET value more than using the conventional technique.</w:t>
      </w:r>
    </w:p>
    <w:p w14:paraId="76EF2976" w14:textId="50168B4D" w:rsidR="002C71E1" w:rsidRDefault="002C71E1" w:rsidP="00330AAC">
      <w:pPr>
        <w:jc w:val="both"/>
        <w:rPr>
          <w:rFonts w:asciiTheme="majorBidi" w:hAnsiTheme="majorBidi" w:cstheme="majorBidi"/>
          <w:szCs w:val="22"/>
        </w:rPr>
      </w:pPr>
    </w:p>
    <w:p w14:paraId="0BEAF77F" w14:textId="5D035DC0" w:rsidR="002C71E1" w:rsidRPr="002E29CC" w:rsidRDefault="00362AFA" w:rsidP="00330AAC">
      <w:pPr>
        <w:jc w:val="both"/>
        <w:rPr>
          <w:b/>
          <w:bCs/>
        </w:rPr>
      </w:pPr>
      <w:r w:rsidRPr="002E29CC">
        <w:rPr>
          <w:b/>
          <w:bCs/>
        </w:rPr>
        <w:t>Acknow</w:t>
      </w:r>
      <w:r w:rsidR="001D4984" w:rsidRPr="002E29CC">
        <w:rPr>
          <w:b/>
          <w:bCs/>
        </w:rPr>
        <w:t>ledgements</w:t>
      </w:r>
    </w:p>
    <w:p w14:paraId="6530862F" w14:textId="10FC2A96" w:rsidR="001D4984" w:rsidRDefault="001D4984" w:rsidP="00330AAC">
      <w:pPr>
        <w:jc w:val="both"/>
      </w:pPr>
      <w:r>
        <w:t xml:space="preserve">We thank the study participants and the </w:t>
      </w:r>
      <w:proofErr w:type="spellStart"/>
      <w:r>
        <w:t>Universitas</w:t>
      </w:r>
      <w:proofErr w:type="spellEnd"/>
      <w:r>
        <w:t xml:space="preserve"> Ma Chung</w:t>
      </w:r>
    </w:p>
    <w:p w14:paraId="34FA76CA" w14:textId="07ABEE81" w:rsidR="001D4984" w:rsidRDefault="001D4984" w:rsidP="00330AAC">
      <w:pPr>
        <w:jc w:val="both"/>
      </w:pPr>
    </w:p>
    <w:p w14:paraId="69E96ECA" w14:textId="41E11B00" w:rsidR="001D4984" w:rsidRPr="002E29CC" w:rsidRDefault="001D4984" w:rsidP="00330AAC">
      <w:pPr>
        <w:jc w:val="both"/>
        <w:rPr>
          <w:b/>
          <w:bCs/>
        </w:rPr>
      </w:pPr>
      <w:r w:rsidRPr="002E29CC">
        <w:rPr>
          <w:b/>
          <w:bCs/>
        </w:rPr>
        <w:t>Funding</w:t>
      </w:r>
    </w:p>
    <w:p w14:paraId="73D5B6B3" w14:textId="592C7F26" w:rsidR="00611C98" w:rsidRDefault="007866FF" w:rsidP="00330AAC">
      <w:pPr>
        <w:jc w:val="both"/>
        <w:rPr>
          <w:szCs w:val="22"/>
        </w:rPr>
      </w:pPr>
      <w:proofErr w:type="gramStart"/>
      <w:r w:rsidRPr="004A5386">
        <w:rPr>
          <w:szCs w:val="22"/>
        </w:rPr>
        <w:t>This stud</w:t>
      </w:r>
      <w:r w:rsidR="004A5386">
        <w:rPr>
          <w:szCs w:val="22"/>
        </w:rPr>
        <w:t>i</w:t>
      </w:r>
      <w:r w:rsidR="002E29CC">
        <w:rPr>
          <w:szCs w:val="22"/>
        </w:rPr>
        <w:t>e</w:t>
      </w:r>
      <w:r w:rsidR="004A5386">
        <w:rPr>
          <w:szCs w:val="22"/>
        </w:rPr>
        <w:t>s</w:t>
      </w:r>
      <w:proofErr w:type="gramEnd"/>
      <w:r w:rsidRPr="004A5386">
        <w:rPr>
          <w:szCs w:val="22"/>
        </w:rPr>
        <w:t xml:space="preserve"> was funded by the </w:t>
      </w:r>
      <w:r w:rsidR="004A5386" w:rsidRPr="004A5386">
        <w:rPr>
          <w:szCs w:val="22"/>
        </w:rPr>
        <w:t>Ma Chung Research Grant</w:t>
      </w:r>
      <w:r w:rsidR="003C323E">
        <w:rPr>
          <w:szCs w:val="22"/>
        </w:rPr>
        <w:t xml:space="preserve"> (MRG) grant no: </w:t>
      </w:r>
      <w:r w:rsidR="004A5386" w:rsidRPr="004A5386">
        <w:rPr>
          <w:szCs w:val="22"/>
        </w:rPr>
        <w:t>068O/MACHUNG/STP/III/2019</w:t>
      </w:r>
    </w:p>
    <w:p w14:paraId="54534714" w14:textId="19DABCC2" w:rsidR="00BF6BE2" w:rsidRDefault="00BF6BE2" w:rsidP="00330AAC">
      <w:pPr>
        <w:jc w:val="both"/>
        <w:rPr>
          <w:szCs w:val="22"/>
        </w:rPr>
      </w:pPr>
    </w:p>
    <w:p w14:paraId="778826EE" w14:textId="3773FA0B" w:rsidR="00BF6BE2" w:rsidRPr="002E29CC" w:rsidRDefault="00BF6BE2" w:rsidP="00330AAC">
      <w:pPr>
        <w:jc w:val="both"/>
        <w:rPr>
          <w:b/>
          <w:bCs/>
          <w:szCs w:val="22"/>
        </w:rPr>
      </w:pPr>
      <w:r w:rsidRPr="002E29CC">
        <w:rPr>
          <w:b/>
          <w:bCs/>
          <w:szCs w:val="22"/>
        </w:rPr>
        <w:t xml:space="preserve">Competing interests </w:t>
      </w:r>
    </w:p>
    <w:p w14:paraId="1FF2AC72" w14:textId="6293BFA8" w:rsidR="00330AAC" w:rsidRPr="002E29CC" w:rsidRDefault="00BF6BE2" w:rsidP="002E29CC">
      <w:pPr>
        <w:jc w:val="both"/>
        <w:rPr>
          <w:szCs w:val="22"/>
        </w:rPr>
      </w:pPr>
      <w:r>
        <w:rPr>
          <w:szCs w:val="22"/>
        </w:rPr>
        <w:t>None decla</w:t>
      </w:r>
      <w:r w:rsidR="00B21036">
        <w:rPr>
          <w:szCs w:val="22"/>
        </w:rPr>
        <w:t>red</w:t>
      </w:r>
    </w:p>
    <w:p w14:paraId="28773B14" w14:textId="73185533" w:rsidR="009A0487" w:rsidRDefault="009A0487">
      <w:pPr>
        <w:pStyle w:val="Sectionnonumber"/>
      </w:pPr>
      <w:r>
        <w:t>References</w:t>
      </w:r>
    </w:p>
    <w:p w14:paraId="42E2AD32" w14:textId="647E66E7" w:rsidR="00547AD6" w:rsidRPr="00547AD6" w:rsidRDefault="002B6004" w:rsidP="007F4B56">
      <w:pPr>
        <w:widowControl w:val="0"/>
        <w:tabs>
          <w:tab w:val="left" w:pos="720"/>
        </w:tabs>
        <w:autoSpaceDE w:val="0"/>
        <w:autoSpaceDN w:val="0"/>
        <w:adjustRightInd w:val="0"/>
        <w:ind w:left="540" w:hanging="540"/>
        <w:jc w:val="thaiDistribute"/>
        <w:rPr>
          <w:noProof/>
        </w:rPr>
      </w:pPr>
      <w:r>
        <w:fldChar w:fldCharType="begin" w:fldLock="1"/>
      </w:r>
      <w:r w:rsidRPr="004C2A51">
        <w:rPr>
          <w:lang w:val="en-US"/>
        </w:rPr>
        <w:instrText xml:space="preserve">ADDIN Mendeley Bibliography CSL_BIBLIOGRAPHY </w:instrText>
      </w:r>
      <w:r>
        <w:fldChar w:fldCharType="separate"/>
      </w:r>
      <w:r w:rsidR="00547AD6" w:rsidRPr="00547AD6">
        <w:rPr>
          <w:noProof/>
        </w:rPr>
        <w:t>[1]</w:t>
      </w:r>
      <w:r w:rsidR="00547AD6" w:rsidRPr="00547AD6">
        <w:rPr>
          <w:noProof/>
        </w:rPr>
        <w:tab/>
        <w:t xml:space="preserve">Diseases N, Diseases N. Political Declaration of the High-level Meeting of the General </w:t>
      </w:r>
      <w:r w:rsidR="00281F2B">
        <w:rPr>
          <w:noProof/>
        </w:rPr>
        <w:t xml:space="preserve">  </w:t>
      </w:r>
      <w:r w:rsidR="007F4B56">
        <w:rPr>
          <w:noProof/>
        </w:rPr>
        <w:t xml:space="preserve"> </w:t>
      </w:r>
      <w:r w:rsidR="00547AD6" w:rsidRPr="00547AD6">
        <w:rPr>
          <w:noProof/>
        </w:rPr>
        <w:t>Assembly 2012.</w:t>
      </w:r>
    </w:p>
    <w:p w14:paraId="0D1B2146" w14:textId="77777777" w:rsidR="00547AD6" w:rsidRPr="00547AD6" w:rsidRDefault="00547AD6" w:rsidP="00F87AC0">
      <w:pPr>
        <w:widowControl w:val="0"/>
        <w:tabs>
          <w:tab w:val="left" w:pos="720"/>
        </w:tabs>
        <w:autoSpaceDE w:val="0"/>
        <w:autoSpaceDN w:val="0"/>
        <w:adjustRightInd w:val="0"/>
        <w:ind w:left="540" w:hanging="540"/>
        <w:jc w:val="thaiDistribute"/>
        <w:rPr>
          <w:noProof/>
        </w:rPr>
      </w:pPr>
      <w:r w:rsidRPr="00547AD6">
        <w:rPr>
          <w:noProof/>
        </w:rPr>
        <w:t>[2]</w:t>
      </w:r>
      <w:r w:rsidRPr="00547AD6">
        <w:rPr>
          <w:noProof/>
        </w:rPr>
        <w:tab/>
        <w:t>Cho NH, Shaw JE, Karuranga S, Huang Y, da Rocha Fernandes JD, Ohlrogge AW, et al. IDF Diabetes Atlas: Global estimates of diabetes prevalence for 2017 and projections for 2045. Diabetes Res Clin Pract 2018;138:271–81. https://doi.org/10.1016/j.diabres.2018.02.023.</w:t>
      </w:r>
    </w:p>
    <w:p w14:paraId="64D82031" w14:textId="77777777" w:rsidR="00547AD6" w:rsidRPr="004C2A51" w:rsidRDefault="00547AD6" w:rsidP="00F87AC0">
      <w:pPr>
        <w:widowControl w:val="0"/>
        <w:tabs>
          <w:tab w:val="left" w:pos="720"/>
          <w:tab w:val="left" w:pos="810"/>
        </w:tabs>
        <w:autoSpaceDE w:val="0"/>
        <w:autoSpaceDN w:val="0"/>
        <w:adjustRightInd w:val="0"/>
        <w:ind w:left="540" w:hanging="540"/>
        <w:jc w:val="thaiDistribute"/>
        <w:rPr>
          <w:noProof/>
          <w:lang w:val="fr-FR"/>
        </w:rPr>
      </w:pPr>
      <w:r w:rsidRPr="00547AD6">
        <w:rPr>
          <w:noProof/>
        </w:rPr>
        <w:t>[3]</w:t>
      </w:r>
      <w:r w:rsidRPr="00547AD6">
        <w:rPr>
          <w:noProof/>
        </w:rPr>
        <w:tab/>
        <w:t xml:space="preserve">Kementerian Kesehatan RI. Riset Kesehatan Dasar (Riskerdas) Tahun 2013. vol. 3. </w:t>
      </w:r>
      <w:r w:rsidRPr="004C2A51">
        <w:rPr>
          <w:noProof/>
          <w:lang w:val="fr-FR"/>
        </w:rPr>
        <w:t>2013. https://doi.org/10.22201/fq.18708404e.2004.3.66178.</w:t>
      </w:r>
    </w:p>
    <w:p w14:paraId="5257E69E" w14:textId="77777777" w:rsidR="00547AD6" w:rsidRPr="004C2A51" w:rsidRDefault="00547AD6" w:rsidP="00F87AC0">
      <w:pPr>
        <w:widowControl w:val="0"/>
        <w:tabs>
          <w:tab w:val="left" w:pos="720"/>
          <w:tab w:val="left" w:pos="810"/>
        </w:tabs>
        <w:autoSpaceDE w:val="0"/>
        <w:autoSpaceDN w:val="0"/>
        <w:adjustRightInd w:val="0"/>
        <w:ind w:left="540" w:hanging="540"/>
        <w:jc w:val="thaiDistribute"/>
        <w:rPr>
          <w:noProof/>
          <w:lang w:val="fr-FR"/>
        </w:rPr>
      </w:pPr>
      <w:r w:rsidRPr="004C2A51">
        <w:rPr>
          <w:noProof/>
          <w:lang w:val="fr-FR"/>
        </w:rPr>
        <w:t>[4]</w:t>
      </w:r>
      <w:r w:rsidRPr="004C2A51">
        <w:rPr>
          <w:noProof/>
          <w:lang w:val="fr-FR"/>
        </w:rPr>
        <w:tab/>
        <w:t>Nutrition D, Resource E. Diabetes Nutrition Education Resource 2019:1–11.</w:t>
      </w:r>
    </w:p>
    <w:p w14:paraId="11372E0B" w14:textId="77777777" w:rsidR="00547AD6" w:rsidRPr="00547AD6" w:rsidRDefault="00547AD6" w:rsidP="00F87AC0">
      <w:pPr>
        <w:widowControl w:val="0"/>
        <w:tabs>
          <w:tab w:val="left" w:pos="720"/>
          <w:tab w:val="left" w:pos="810"/>
        </w:tabs>
        <w:autoSpaceDE w:val="0"/>
        <w:autoSpaceDN w:val="0"/>
        <w:adjustRightInd w:val="0"/>
        <w:ind w:left="540" w:hanging="540"/>
        <w:jc w:val="thaiDistribute"/>
        <w:rPr>
          <w:noProof/>
        </w:rPr>
      </w:pPr>
      <w:r w:rsidRPr="00547AD6">
        <w:rPr>
          <w:noProof/>
        </w:rPr>
        <w:t>[5]</w:t>
      </w:r>
      <w:r w:rsidRPr="00547AD6">
        <w:rPr>
          <w:noProof/>
        </w:rPr>
        <w:tab/>
        <w:t>Abbas J, Aman J, Nurunnabi M, Bano S. The impact of social media on learning behavior for sustainable education: Evidence of students from selected universities in Pakistan. Sustain 2019;11:1–23. https://doi.org/10.3390/su11061683.</w:t>
      </w:r>
    </w:p>
    <w:p w14:paraId="0CEE0C07" w14:textId="77777777" w:rsidR="00547AD6" w:rsidRPr="00547AD6" w:rsidRDefault="00547AD6" w:rsidP="00F87AC0">
      <w:pPr>
        <w:widowControl w:val="0"/>
        <w:tabs>
          <w:tab w:val="left" w:pos="720"/>
          <w:tab w:val="left" w:pos="810"/>
        </w:tabs>
        <w:autoSpaceDE w:val="0"/>
        <w:autoSpaceDN w:val="0"/>
        <w:adjustRightInd w:val="0"/>
        <w:ind w:left="540" w:hanging="540"/>
        <w:jc w:val="thaiDistribute"/>
        <w:rPr>
          <w:noProof/>
        </w:rPr>
      </w:pPr>
      <w:r w:rsidRPr="00547AD6">
        <w:rPr>
          <w:noProof/>
        </w:rPr>
        <w:t>[6]</w:t>
      </w:r>
      <w:r w:rsidRPr="00547AD6">
        <w:rPr>
          <w:noProof/>
        </w:rPr>
        <w:tab/>
        <w:t>Lee Ventola C. Social media and health care professionals: Benefits, risks, and best practices. P T 2014;39:491–500.</w:t>
      </w:r>
    </w:p>
    <w:p w14:paraId="23502C94" w14:textId="77777777" w:rsidR="00547AD6" w:rsidRPr="00547AD6" w:rsidRDefault="00547AD6" w:rsidP="00F87AC0">
      <w:pPr>
        <w:widowControl w:val="0"/>
        <w:tabs>
          <w:tab w:val="left" w:pos="720"/>
          <w:tab w:val="left" w:pos="810"/>
        </w:tabs>
        <w:autoSpaceDE w:val="0"/>
        <w:autoSpaceDN w:val="0"/>
        <w:adjustRightInd w:val="0"/>
        <w:ind w:left="540" w:hanging="540"/>
        <w:jc w:val="thaiDistribute"/>
        <w:rPr>
          <w:noProof/>
        </w:rPr>
      </w:pPr>
      <w:r w:rsidRPr="00547AD6">
        <w:rPr>
          <w:noProof/>
        </w:rPr>
        <w:t>[7]</w:t>
      </w:r>
      <w:r w:rsidRPr="00547AD6">
        <w:rPr>
          <w:noProof/>
        </w:rPr>
        <w:tab/>
        <w:t>We Are Social. Trends shaping social in 2019. We Are Soc 2019.</w:t>
      </w:r>
    </w:p>
    <w:p w14:paraId="55CB00E8" w14:textId="77777777" w:rsidR="00547AD6" w:rsidRPr="00547AD6" w:rsidRDefault="00547AD6" w:rsidP="00F87AC0">
      <w:pPr>
        <w:widowControl w:val="0"/>
        <w:tabs>
          <w:tab w:val="left" w:pos="720"/>
          <w:tab w:val="left" w:pos="810"/>
        </w:tabs>
        <w:autoSpaceDE w:val="0"/>
        <w:autoSpaceDN w:val="0"/>
        <w:adjustRightInd w:val="0"/>
        <w:ind w:left="540" w:hanging="540"/>
        <w:jc w:val="thaiDistribute"/>
        <w:rPr>
          <w:noProof/>
        </w:rPr>
      </w:pPr>
      <w:r w:rsidRPr="00547AD6">
        <w:rPr>
          <w:noProof/>
        </w:rPr>
        <w:t>[8]</w:t>
      </w:r>
      <w:r w:rsidRPr="00547AD6">
        <w:rPr>
          <w:noProof/>
        </w:rPr>
        <w:tab/>
        <w:t>Vahedian M, Sade</w:t>
      </w:r>
      <w:bookmarkStart w:id="6" w:name="_GoBack"/>
      <w:bookmarkEnd w:id="6"/>
      <w:r w:rsidRPr="00547AD6">
        <w:rPr>
          <w:noProof/>
        </w:rPr>
        <w:t xml:space="preserve">ghi R, Farhadlu R, Nazeri A, Dehghan A, Barati H. Effect of Educational Booklet and Lecture on Nutritional Behavior Knowledge and Attitude on Third-Grade Male </w:t>
      </w:r>
      <w:r w:rsidRPr="00547AD6">
        <w:rPr>
          <w:noProof/>
        </w:rPr>
        <w:lastRenderedPageBreak/>
        <w:t>Guidance School Students. J Community Heal Res 2014;3:1–12.</w:t>
      </w:r>
    </w:p>
    <w:p w14:paraId="67EEA7A2" w14:textId="77777777" w:rsidR="00547AD6" w:rsidRPr="004C2A51" w:rsidRDefault="00547AD6" w:rsidP="00F87AC0">
      <w:pPr>
        <w:widowControl w:val="0"/>
        <w:tabs>
          <w:tab w:val="left" w:pos="720"/>
          <w:tab w:val="left" w:pos="810"/>
        </w:tabs>
        <w:autoSpaceDE w:val="0"/>
        <w:autoSpaceDN w:val="0"/>
        <w:adjustRightInd w:val="0"/>
        <w:ind w:left="540" w:hanging="540"/>
        <w:jc w:val="thaiDistribute"/>
        <w:rPr>
          <w:noProof/>
          <w:lang w:val="it-IT"/>
        </w:rPr>
      </w:pPr>
      <w:r w:rsidRPr="00547AD6">
        <w:rPr>
          <w:noProof/>
        </w:rPr>
        <w:t>[9]</w:t>
      </w:r>
      <w:r w:rsidRPr="00547AD6">
        <w:rPr>
          <w:noProof/>
        </w:rPr>
        <w:tab/>
        <w:t xml:space="preserve">Zarei E, Jabbarzadeh A. Knowledge management and social media: A scientometrics survey. </w:t>
      </w:r>
      <w:r w:rsidRPr="004C2A51">
        <w:rPr>
          <w:noProof/>
          <w:lang w:val="it-IT"/>
        </w:rPr>
        <w:t>Int J Data Netw Sci 2019;3:359–78. https://doi.org/10.5267/j.ijdns.2019.2.008.</w:t>
      </w:r>
    </w:p>
    <w:p w14:paraId="49A1EC82" w14:textId="77777777" w:rsidR="00547AD6" w:rsidRPr="004C2A51" w:rsidRDefault="00547AD6" w:rsidP="00F87AC0">
      <w:pPr>
        <w:widowControl w:val="0"/>
        <w:tabs>
          <w:tab w:val="left" w:pos="720"/>
          <w:tab w:val="left" w:pos="810"/>
        </w:tabs>
        <w:autoSpaceDE w:val="0"/>
        <w:autoSpaceDN w:val="0"/>
        <w:adjustRightInd w:val="0"/>
        <w:ind w:left="540" w:hanging="540"/>
        <w:jc w:val="thaiDistribute"/>
        <w:rPr>
          <w:noProof/>
          <w:lang w:val="it-IT"/>
        </w:rPr>
      </w:pPr>
      <w:r w:rsidRPr="00547AD6">
        <w:rPr>
          <w:noProof/>
        </w:rPr>
        <w:t>[10]</w:t>
      </w:r>
      <w:r w:rsidRPr="00547AD6">
        <w:rPr>
          <w:noProof/>
        </w:rPr>
        <w:tab/>
        <w:t xml:space="preserve">Dibb B. Social media use and perceptions of physical health. </w:t>
      </w:r>
      <w:r w:rsidRPr="004C2A51">
        <w:rPr>
          <w:noProof/>
          <w:lang w:val="it-IT"/>
        </w:rPr>
        <w:t>Heliyon 2019;5:e00989. https://doi.org/10.1016/j.heliyon.2018.e00989.</w:t>
      </w:r>
    </w:p>
    <w:p w14:paraId="63FB1E53" w14:textId="77777777" w:rsidR="00547AD6" w:rsidRPr="00547AD6" w:rsidRDefault="00547AD6" w:rsidP="00F87AC0">
      <w:pPr>
        <w:widowControl w:val="0"/>
        <w:tabs>
          <w:tab w:val="left" w:pos="720"/>
          <w:tab w:val="left" w:pos="810"/>
        </w:tabs>
        <w:autoSpaceDE w:val="0"/>
        <w:autoSpaceDN w:val="0"/>
        <w:adjustRightInd w:val="0"/>
        <w:ind w:left="540" w:hanging="540"/>
        <w:jc w:val="thaiDistribute"/>
        <w:rPr>
          <w:noProof/>
        </w:rPr>
      </w:pPr>
      <w:r w:rsidRPr="004C2A51">
        <w:rPr>
          <w:noProof/>
          <w:lang w:val="it-IT"/>
        </w:rPr>
        <w:t>[11]</w:t>
      </w:r>
      <w:r w:rsidRPr="004C2A51">
        <w:rPr>
          <w:noProof/>
          <w:lang w:val="it-IT"/>
        </w:rPr>
        <w:tab/>
        <w:t xml:space="preserve">Gurcan HI. </w:t>
      </w:r>
      <w:r w:rsidRPr="00547AD6">
        <w:rPr>
          <w:noProof/>
        </w:rPr>
        <w:t>Contribution of Social Media to the Students’ Academic Development. Int J Inf Educ Technol 2015;5:965–8. https://doi.org/10.7763/ijiet.2015.v5.647.</w:t>
      </w:r>
    </w:p>
    <w:p w14:paraId="33C753F5" w14:textId="77777777" w:rsidR="00547AD6" w:rsidRPr="00547AD6" w:rsidRDefault="00547AD6" w:rsidP="00F87AC0">
      <w:pPr>
        <w:widowControl w:val="0"/>
        <w:tabs>
          <w:tab w:val="left" w:pos="720"/>
          <w:tab w:val="left" w:pos="810"/>
        </w:tabs>
        <w:autoSpaceDE w:val="0"/>
        <w:autoSpaceDN w:val="0"/>
        <w:adjustRightInd w:val="0"/>
        <w:ind w:left="540" w:hanging="540"/>
        <w:jc w:val="thaiDistribute"/>
        <w:rPr>
          <w:noProof/>
        </w:rPr>
      </w:pPr>
      <w:r w:rsidRPr="004C2A51">
        <w:rPr>
          <w:noProof/>
          <w:lang w:val="pt-BR"/>
        </w:rPr>
        <w:t>[12]</w:t>
      </w:r>
      <w:r w:rsidRPr="004C2A51">
        <w:rPr>
          <w:noProof/>
          <w:lang w:val="pt-BR"/>
        </w:rPr>
        <w:tab/>
        <w:t xml:space="preserve">Laranjo L, Arguel A, Neves AL, Gallagher AM, Kaplan R, Mortimer N, et al. </w:t>
      </w:r>
      <w:r w:rsidRPr="00547AD6">
        <w:rPr>
          <w:noProof/>
        </w:rPr>
        <w:t>The influence of social networking sites on health behavior change: A systematic review and meta-analysis. J Am Med Informatics Assoc 2014;22:243–56. https://doi.org/10.1136/amiajnl-2014-002841.</w:t>
      </w:r>
    </w:p>
    <w:p w14:paraId="00ECB6DF" w14:textId="77777777" w:rsidR="00547AD6" w:rsidRPr="004C2A51" w:rsidRDefault="00547AD6" w:rsidP="00F87AC0">
      <w:pPr>
        <w:widowControl w:val="0"/>
        <w:autoSpaceDE w:val="0"/>
        <w:autoSpaceDN w:val="0"/>
        <w:adjustRightInd w:val="0"/>
        <w:ind w:left="540" w:hanging="540"/>
        <w:jc w:val="thaiDistribute"/>
        <w:rPr>
          <w:noProof/>
          <w:lang w:val="fr-FR"/>
        </w:rPr>
      </w:pPr>
      <w:r w:rsidRPr="00547AD6">
        <w:rPr>
          <w:noProof/>
        </w:rPr>
        <w:t>[13]</w:t>
      </w:r>
      <w:r w:rsidRPr="00547AD6">
        <w:rPr>
          <w:noProof/>
        </w:rPr>
        <w:tab/>
        <w:t xml:space="preserve">Sales AE, Estabrooks CA, Valente TW. The impact of social networks on knowledge transfer in long-term care facilities: Protocol for a study. </w:t>
      </w:r>
      <w:r w:rsidRPr="004C2A51">
        <w:rPr>
          <w:noProof/>
          <w:lang w:val="fr-FR"/>
        </w:rPr>
        <w:t>Implement Sci 2010;5:1–10. https://doi.org/10.1186/1748-5908-5-49.</w:t>
      </w:r>
    </w:p>
    <w:p w14:paraId="14304CD3" w14:textId="77777777" w:rsidR="00547AD6" w:rsidRPr="00547AD6" w:rsidRDefault="00547AD6" w:rsidP="00F87AC0">
      <w:pPr>
        <w:widowControl w:val="0"/>
        <w:tabs>
          <w:tab w:val="left" w:pos="720"/>
          <w:tab w:val="left" w:pos="810"/>
        </w:tabs>
        <w:autoSpaceDE w:val="0"/>
        <w:autoSpaceDN w:val="0"/>
        <w:adjustRightInd w:val="0"/>
        <w:ind w:left="540" w:hanging="540"/>
        <w:jc w:val="thaiDistribute"/>
        <w:rPr>
          <w:noProof/>
        </w:rPr>
      </w:pPr>
      <w:r w:rsidRPr="004C2A51">
        <w:rPr>
          <w:noProof/>
          <w:lang w:val="fr-FR"/>
        </w:rPr>
        <w:t>[14]</w:t>
      </w:r>
      <w:r w:rsidRPr="004C2A51">
        <w:rPr>
          <w:noProof/>
          <w:lang w:val="fr-FR"/>
        </w:rPr>
        <w:tab/>
        <w:t xml:space="preserve">Hong M, Shin H, De Gagne JC. </w:t>
      </w:r>
      <w:r w:rsidRPr="00547AD6">
        <w:rPr>
          <w:noProof/>
        </w:rPr>
        <w:t>Social networks, health-promoting behaviors, and health-related quality of life in older adults with and without arthritis. PLoS One 2019;14:e0220180. https://doi.org/10.1371/journal.pone.0220180.</w:t>
      </w:r>
    </w:p>
    <w:p w14:paraId="1BFFFCE5" w14:textId="77777777" w:rsidR="00547AD6" w:rsidRPr="00547AD6" w:rsidRDefault="00547AD6" w:rsidP="00F87AC0">
      <w:pPr>
        <w:widowControl w:val="0"/>
        <w:tabs>
          <w:tab w:val="left" w:pos="720"/>
          <w:tab w:val="left" w:pos="810"/>
        </w:tabs>
        <w:autoSpaceDE w:val="0"/>
        <w:autoSpaceDN w:val="0"/>
        <w:adjustRightInd w:val="0"/>
        <w:ind w:left="540" w:hanging="540"/>
        <w:jc w:val="thaiDistribute"/>
        <w:rPr>
          <w:noProof/>
        </w:rPr>
      </w:pPr>
      <w:r w:rsidRPr="00547AD6">
        <w:rPr>
          <w:noProof/>
        </w:rPr>
        <w:t>[15]</w:t>
      </w:r>
      <w:r w:rsidRPr="00547AD6">
        <w:rPr>
          <w:noProof/>
        </w:rPr>
        <w:tab/>
        <w:t>Okonta HI, Ikombele JB, Ogunbanjo GA. Knowledge, attitude and practice regarding lifestyle modification in type 2 diabetic patients. African J Prim Heal Care Fam Med 2014;6. https://doi.org/10.4102/phcfm.v6i1.655.</w:t>
      </w:r>
    </w:p>
    <w:p w14:paraId="46958BAF" w14:textId="77777777" w:rsidR="00547AD6" w:rsidRPr="00547AD6" w:rsidRDefault="00547AD6" w:rsidP="00F87AC0">
      <w:pPr>
        <w:widowControl w:val="0"/>
        <w:tabs>
          <w:tab w:val="left" w:pos="720"/>
          <w:tab w:val="left" w:pos="810"/>
        </w:tabs>
        <w:autoSpaceDE w:val="0"/>
        <w:autoSpaceDN w:val="0"/>
        <w:adjustRightInd w:val="0"/>
        <w:ind w:left="540" w:hanging="540"/>
        <w:jc w:val="thaiDistribute"/>
        <w:rPr>
          <w:noProof/>
        </w:rPr>
      </w:pPr>
      <w:r w:rsidRPr="004C2A51">
        <w:rPr>
          <w:noProof/>
          <w:lang w:val="da-DK"/>
        </w:rPr>
        <w:t>[16]</w:t>
      </w:r>
      <w:r w:rsidRPr="004C2A51">
        <w:rPr>
          <w:noProof/>
          <w:lang w:val="da-DK"/>
        </w:rPr>
        <w:tab/>
        <w:t xml:space="preserve">Saleh F, Mumu SJ, Ara F, Ali L, Hossain S, Ahmed KR. </w:t>
      </w:r>
      <w:r w:rsidRPr="00547AD6">
        <w:rPr>
          <w:noProof/>
        </w:rPr>
        <w:t>Knowledge, attitude and practice of type 2 diabetic patients regarding obesity: Study in a tertiary care hospital in Bangladesh. J Public Health Africa 2012;3:29–32. https://doi.org/10.4081/jphia.2012.e8.</w:t>
      </w:r>
    </w:p>
    <w:p w14:paraId="721C9A64" w14:textId="77777777" w:rsidR="00547AD6" w:rsidRPr="00547AD6" w:rsidRDefault="00547AD6" w:rsidP="00F87AC0">
      <w:pPr>
        <w:widowControl w:val="0"/>
        <w:tabs>
          <w:tab w:val="left" w:pos="720"/>
          <w:tab w:val="left" w:pos="810"/>
        </w:tabs>
        <w:autoSpaceDE w:val="0"/>
        <w:autoSpaceDN w:val="0"/>
        <w:adjustRightInd w:val="0"/>
        <w:ind w:left="540" w:hanging="540"/>
        <w:jc w:val="thaiDistribute"/>
        <w:rPr>
          <w:noProof/>
        </w:rPr>
      </w:pPr>
      <w:r w:rsidRPr="00547AD6">
        <w:rPr>
          <w:noProof/>
        </w:rPr>
        <w:t>[17]</w:t>
      </w:r>
      <w:r w:rsidRPr="00547AD6">
        <w:rPr>
          <w:noProof/>
        </w:rPr>
        <w:tab/>
        <w:t>Chung AE, Skinner AC, Hasty SE, Perrin EM. Tweeting to Health: A Novel mHealth Intervention Using Fitbits and Twitter to Foster Healthy Lifestyles. Clin Pediatr (Phila) 2017;56:26–32. https://doi.org/10.1177/0009922816653385.</w:t>
      </w:r>
    </w:p>
    <w:p w14:paraId="4E5BE05E" w14:textId="77777777" w:rsidR="00547AD6" w:rsidRPr="00547AD6" w:rsidRDefault="00547AD6" w:rsidP="00F87AC0">
      <w:pPr>
        <w:widowControl w:val="0"/>
        <w:tabs>
          <w:tab w:val="left" w:pos="720"/>
          <w:tab w:val="left" w:pos="810"/>
        </w:tabs>
        <w:autoSpaceDE w:val="0"/>
        <w:autoSpaceDN w:val="0"/>
        <w:adjustRightInd w:val="0"/>
        <w:ind w:left="540" w:hanging="540"/>
        <w:jc w:val="thaiDistribute"/>
        <w:rPr>
          <w:noProof/>
        </w:rPr>
      </w:pPr>
      <w:r w:rsidRPr="00547AD6">
        <w:rPr>
          <w:noProof/>
        </w:rPr>
        <w:t>[18]</w:t>
      </w:r>
      <w:r w:rsidRPr="00547AD6">
        <w:rPr>
          <w:noProof/>
        </w:rPr>
        <w:tab/>
        <w:t>Klassen KM, Douglass CH, Brennan L, Truby H, Lim MSC. Social media use for nutrition outcomes in young adults: A mixed-methods systematic review. Int J Behav Nutr Phys Act 2018;15:1–18. https://doi.org/10.1186/s12966-018-0696-y.</w:t>
      </w:r>
    </w:p>
    <w:p w14:paraId="35BB61AC" w14:textId="77777777" w:rsidR="00547AD6" w:rsidRPr="00547AD6" w:rsidRDefault="00547AD6" w:rsidP="00F87AC0">
      <w:pPr>
        <w:widowControl w:val="0"/>
        <w:tabs>
          <w:tab w:val="left" w:pos="720"/>
          <w:tab w:val="left" w:pos="810"/>
        </w:tabs>
        <w:autoSpaceDE w:val="0"/>
        <w:autoSpaceDN w:val="0"/>
        <w:adjustRightInd w:val="0"/>
        <w:ind w:left="540" w:hanging="540"/>
        <w:jc w:val="thaiDistribute"/>
        <w:rPr>
          <w:noProof/>
        </w:rPr>
      </w:pPr>
      <w:r w:rsidRPr="00547AD6">
        <w:rPr>
          <w:noProof/>
        </w:rPr>
        <w:t>[19]</w:t>
      </w:r>
      <w:r w:rsidRPr="00547AD6">
        <w:rPr>
          <w:noProof/>
        </w:rPr>
        <w:tab/>
        <w:t>Godino JG, Merchant G, Norman GJ, Donohue MC, Marshall SJ et al. Using Social and Mobile Tools for Weight Loss in Overweight and Obese Young Adults (Project SMART): A 2-Year Parallel Group Randomized Controlled Trial Acquisition, analysis, or interpretation of data: HHS Public Access. Lancet Diabetes Endocrinol 2016;4:747–55. https://doi.org/10.1016/S2213-8587(16)30105-X.</w:t>
      </w:r>
    </w:p>
    <w:p w14:paraId="709ED00F" w14:textId="77777777" w:rsidR="00547AD6" w:rsidRPr="00547AD6" w:rsidRDefault="00547AD6" w:rsidP="00F87AC0">
      <w:pPr>
        <w:widowControl w:val="0"/>
        <w:tabs>
          <w:tab w:val="left" w:pos="720"/>
          <w:tab w:val="left" w:pos="810"/>
        </w:tabs>
        <w:autoSpaceDE w:val="0"/>
        <w:autoSpaceDN w:val="0"/>
        <w:adjustRightInd w:val="0"/>
        <w:ind w:left="540" w:hanging="540"/>
        <w:jc w:val="thaiDistribute"/>
        <w:rPr>
          <w:noProof/>
        </w:rPr>
      </w:pPr>
      <w:r w:rsidRPr="00547AD6">
        <w:rPr>
          <w:noProof/>
        </w:rPr>
        <w:t>[20]</w:t>
      </w:r>
      <w:r w:rsidRPr="00547AD6">
        <w:rPr>
          <w:noProof/>
        </w:rPr>
        <w:tab/>
        <w:t>Michelle M. Chau, Burgermaster Marissa ML. The use of social media in nutrition interventions for adolescents and young adults—A systematic review. Physiol Behav 2018;120:77–91. https://doi.org/10.1038/s41395-018-0061-4.</w:t>
      </w:r>
    </w:p>
    <w:p w14:paraId="17A0C1B8" w14:textId="77777777" w:rsidR="00547AD6" w:rsidRPr="00547AD6" w:rsidRDefault="00547AD6" w:rsidP="00F87AC0">
      <w:pPr>
        <w:widowControl w:val="0"/>
        <w:tabs>
          <w:tab w:val="left" w:pos="720"/>
          <w:tab w:val="left" w:pos="810"/>
        </w:tabs>
        <w:autoSpaceDE w:val="0"/>
        <w:autoSpaceDN w:val="0"/>
        <w:adjustRightInd w:val="0"/>
        <w:ind w:left="540" w:hanging="540"/>
        <w:jc w:val="thaiDistribute"/>
        <w:rPr>
          <w:noProof/>
        </w:rPr>
      </w:pPr>
      <w:r w:rsidRPr="00547AD6">
        <w:rPr>
          <w:noProof/>
        </w:rPr>
        <w:t>[21]</w:t>
      </w:r>
      <w:r w:rsidRPr="00547AD6">
        <w:rPr>
          <w:noProof/>
        </w:rPr>
        <w:tab/>
        <w:t>Cao M, Zhu Y, Sun F, Luo J, Jing J. Short sleep duration is associated with specific food intake increase among school-aged children in China: A national cross-sectional study. BMC Public Health 2019;19:1–9. https://doi.org/10.1186/s12889-019-6739-8.</w:t>
      </w:r>
    </w:p>
    <w:p w14:paraId="0D346379" w14:textId="77777777" w:rsidR="00547AD6" w:rsidRPr="004C2A51" w:rsidRDefault="00547AD6" w:rsidP="00F87AC0">
      <w:pPr>
        <w:widowControl w:val="0"/>
        <w:tabs>
          <w:tab w:val="left" w:pos="720"/>
          <w:tab w:val="left" w:pos="810"/>
        </w:tabs>
        <w:autoSpaceDE w:val="0"/>
        <w:autoSpaceDN w:val="0"/>
        <w:adjustRightInd w:val="0"/>
        <w:ind w:left="540" w:hanging="540"/>
        <w:jc w:val="thaiDistribute"/>
        <w:rPr>
          <w:noProof/>
          <w:lang w:val="pt-BR"/>
        </w:rPr>
      </w:pPr>
      <w:r w:rsidRPr="00547AD6">
        <w:rPr>
          <w:noProof/>
        </w:rPr>
        <w:t>[22]</w:t>
      </w:r>
      <w:r w:rsidRPr="00547AD6">
        <w:rPr>
          <w:noProof/>
        </w:rPr>
        <w:tab/>
        <w:t xml:space="preserve">Noorwali EA, Cade JE, Burley VJ, Hardie LJ. The relationship between sleep duration and fruit/vegetable intakes in UK adults: A cross-sectional study from the National Diet and Nutrition Survey. </w:t>
      </w:r>
      <w:r w:rsidRPr="004C2A51">
        <w:rPr>
          <w:noProof/>
          <w:lang w:val="pt-BR"/>
        </w:rPr>
        <w:t>BMJ Open 2018;8:1–9. https://doi.org/10.1136/bmjopen-2017-020810.</w:t>
      </w:r>
    </w:p>
    <w:p w14:paraId="2DD8D234" w14:textId="77777777" w:rsidR="00547AD6" w:rsidRPr="00547AD6" w:rsidRDefault="00547AD6" w:rsidP="00F87AC0">
      <w:pPr>
        <w:widowControl w:val="0"/>
        <w:tabs>
          <w:tab w:val="left" w:pos="720"/>
          <w:tab w:val="left" w:pos="810"/>
        </w:tabs>
        <w:autoSpaceDE w:val="0"/>
        <w:autoSpaceDN w:val="0"/>
        <w:adjustRightInd w:val="0"/>
        <w:ind w:left="540" w:hanging="540"/>
        <w:jc w:val="thaiDistribute"/>
        <w:rPr>
          <w:noProof/>
        </w:rPr>
      </w:pPr>
      <w:r w:rsidRPr="004C2A51">
        <w:rPr>
          <w:noProof/>
          <w:lang w:val="pt-BR"/>
        </w:rPr>
        <w:t>[23]</w:t>
      </w:r>
      <w:r w:rsidRPr="004C2A51">
        <w:rPr>
          <w:noProof/>
          <w:lang w:val="pt-BR"/>
        </w:rPr>
        <w:tab/>
        <w:t xml:space="preserve">Menezes MC, Costa BVL, Oliveira CDL, Lopes ACS. </w:t>
      </w:r>
      <w:r w:rsidRPr="00547AD6">
        <w:rPr>
          <w:noProof/>
        </w:rPr>
        <w:t>Local food environment and fruit and vegetable consumption: An ecological study. Prev Med Reports 2017;5:13–20. https://doi.org/10.1016/j.pmedr.2016.10.015.</w:t>
      </w:r>
    </w:p>
    <w:p w14:paraId="07896836" w14:textId="6F891D72" w:rsidR="002B6004" w:rsidRPr="002B6004" w:rsidRDefault="002B6004" w:rsidP="00A7143C">
      <w:pPr>
        <w:widowControl w:val="0"/>
        <w:autoSpaceDE w:val="0"/>
        <w:autoSpaceDN w:val="0"/>
        <w:adjustRightInd w:val="0"/>
        <w:ind w:left="630" w:hanging="630"/>
        <w:jc w:val="both"/>
      </w:pPr>
      <w:r>
        <w:fldChar w:fldCharType="end"/>
      </w:r>
    </w:p>
    <w:p w14:paraId="28773B19" w14:textId="77777777" w:rsidR="009A0487" w:rsidRDefault="009A0487"/>
    <w:p w14:paraId="28773B1A" w14:textId="77777777" w:rsidR="006F45A4" w:rsidRPr="00C05E48" w:rsidRDefault="006F45A4"/>
    <w:sectPr w:rsidR="006F45A4" w:rsidRPr="00C05E48">
      <w:headerReference w:type="default" r:id="rId13"/>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0-11-17T15:14:00Z" w:initials="MNH">
    <w:p w14:paraId="274CD8BC" w14:textId="0A687498" w:rsidR="000510CA" w:rsidRDefault="000510CA">
      <w:pPr>
        <w:pStyle w:val="CommentText"/>
      </w:pPr>
      <w:r>
        <w:rPr>
          <w:rStyle w:val="CommentReference"/>
        </w:rPr>
        <w:annotationRef/>
      </w:r>
      <w:r>
        <w:t xml:space="preserve">Paper </w:t>
      </w:r>
      <w:proofErr w:type="spellStart"/>
      <w:r>
        <w:t>tdk</w:t>
      </w:r>
      <w:proofErr w:type="spellEnd"/>
      <w:r>
        <w:t xml:space="preserve"> </w:t>
      </w:r>
      <w:proofErr w:type="spellStart"/>
      <w:r>
        <w:t>lebih</w:t>
      </w:r>
      <w:proofErr w:type="spellEnd"/>
      <w:r>
        <w:t xml:space="preserve"> </w:t>
      </w:r>
      <w:proofErr w:type="spellStart"/>
      <w:r>
        <w:t>dari</w:t>
      </w:r>
      <w:proofErr w:type="spellEnd"/>
      <w:r>
        <w:t xml:space="preserve"> 6 </w:t>
      </w:r>
      <w:proofErr w:type="spellStart"/>
      <w:r>
        <w:t>halaman</w:t>
      </w:r>
      <w:proofErr w:type="spellEnd"/>
    </w:p>
  </w:comment>
  <w:comment w:id="1" w:author="power rangers" w:date="2020-11-17T15:18:00Z" w:initials="MNH">
    <w:p w14:paraId="055B993D" w14:textId="77777777" w:rsidR="000510CA" w:rsidRDefault="000510CA" w:rsidP="000510CA">
      <w:pPr>
        <w:pStyle w:val="ListParagraph"/>
        <w:ind w:left="0"/>
      </w:pPr>
      <w:r>
        <w:rPr>
          <w:rStyle w:val="CommentReference"/>
        </w:rPr>
        <w:annotationRef/>
      </w:r>
      <w:proofErr w:type="spellStart"/>
      <w:r>
        <w:t>Abstrak</w:t>
      </w:r>
      <w:proofErr w:type="spellEnd"/>
      <w:r>
        <w:t xml:space="preserve"> </w:t>
      </w:r>
      <w:proofErr w:type="spellStart"/>
      <w:r>
        <w:t>harus</w:t>
      </w:r>
      <w:proofErr w:type="spellEnd"/>
      <w:r>
        <w:t xml:space="preserve"> </w:t>
      </w:r>
      <w:proofErr w:type="spellStart"/>
      <w:r>
        <w:t>berisi</w:t>
      </w:r>
      <w:proofErr w:type="spellEnd"/>
      <w:r>
        <w:t xml:space="preserve"> </w:t>
      </w:r>
      <w:proofErr w:type="spellStart"/>
      <w:r>
        <w:t>tujuan</w:t>
      </w:r>
      <w:proofErr w:type="spellEnd"/>
      <w:r>
        <w:t xml:space="preserve">, method, </w:t>
      </w:r>
      <w:proofErr w:type="spellStart"/>
      <w:r>
        <w:t>hasil</w:t>
      </w:r>
      <w:proofErr w:type="spellEnd"/>
      <w:r>
        <w:t xml:space="preserve"> </w:t>
      </w:r>
      <w:proofErr w:type="spellStart"/>
      <w:r>
        <w:t>utama</w:t>
      </w:r>
      <w:proofErr w:type="spellEnd"/>
      <w:r>
        <w:t xml:space="preserve">, dan </w:t>
      </w:r>
      <w:proofErr w:type="spellStart"/>
      <w:r>
        <w:t>implikasi</w:t>
      </w:r>
      <w:proofErr w:type="spellEnd"/>
      <w:r>
        <w:t xml:space="preserve">. </w:t>
      </w:r>
    </w:p>
    <w:p w14:paraId="1C75728A" w14:textId="26125B08" w:rsidR="000510CA" w:rsidRDefault="000510CA">
      <w:pPr>
        <w:pStyle w:val="CommentText"/>
      </w:pPr>
    </w:p>
  </w:comment>
  <w:comment w:id="2" w:author="power rangers" w:date="2020-11-17T15:26:00Z" w:initials="MNH">
    <w:p w14:paraId="197FFFDA" w14:textId="77777777" w:rsidR="00150FAE" w:rsidRDefault="00150FAE" w:rsidP="00150FAE">
      <w:pPr>
        <w:pStyle w:val="ListParagraph"/>
        <w:numPr>
          <w:ilvl w:val="0"/>
          <w:numId w:val="8"/>
        </w:numPr>
      </w:pPr>
      <w:r>
        <w:rPr>
          <w:rStyle w:val="CommentReference"/>
        </w:rPr>
        <w:annotationRef/>
      </w:r>
      <w:proofErr w:type="spellStart"/>
      <w:r>
        <w:t>harus</w:t>
      </w:r>
      <w:proofErr w:type="spellEnd"/>
      <w:r>
        <w:t xml:space="preserve"> </w:t>
      </w:r>
      <w:proofErr w:type="spellStart"/>
      <w:r>
        <w:t>ada</w:t>
      </w:r>
      <w:proofErr w:type="spellEnd"/>
      <w:r>
        <w:t xml:space="preserve"> state of the art/</w:t>
      </w:r>
      <w:proofErr w:type="spellStart"/>
      <w:r>
        <w:t>originalitas</w:t>
      </w:r>
      <w:proofErr w:type="spellEnd"/>
      <w:r>
        <w:t xml:space="preserve"> (</w:t>
      </w:r>
      <w:proofErr w:type="spellStart"/>
      <w:r>
        <w:t>perbedaan</w:t>
      </w:r>
      <w:proofErr w:type="spellEnd"/>
      <w:r>
        <w:t xml:space="preserve"> </w:t>
      </w:r>
      <w:proofErr w:type="spellStart"/>
      <w:r>
        <w:t>dengan</w:t>
      </w:r>
      <w:proofErr w:type="spellEnd"/>
      <w:r>
        <w:t xml:space="preserve"> </w:t>
      </w:r>
      <w:proofErr w:type="spellStart"/>
      <w:r>
        <w:t>penilitian</w:t>
      </w:r>
      <w:proofErr w:type="spellEnd"/>
      <w:r>
        <w:t xml:space="preserve"> yang lain), minimum </w:t>
      </w:r>
      <w:proofErr w:type="spellStart"/>
      <w:r>
        <w:t>ada</w:t>
      </w:r>
      <w:proofErr w:type="spellEnd"/>
      <w:r>
        <w:t xml:space="preserve"> 5 </w:t>
      </w:r>
      <w:proofErr w:type="spellStart"/>
      <w:r>
        <w:t>rujukan</w:t>
      </w:r>
      <w:proofErr w:type="spellEnd"/>
      <w:r>
        <w:t>/</w:t>
      </w:r>
      <w:proofErr w:type="spellStart"/>
      <w:r>
        <w:t>referensi</w:t>
      </w:r>
      <w:proofErr w:type="spellEnd"/>
    </w:p>
    <w:p w14:paraId="5E87003F" w14:textId="77777777" w:rsidR="00150FAE" w:rsidRDefault="00150FAE" w:rsidP="00150FAE">
      <w:pPr>
        <w:pStyle w:val="ListParagraph"/>
        <w:numPr>
          <w:ilvl w:val="0"/>
          <w:numId w:val="8"/>
        </w:numPr>
      </w:pPr>
      <w:r>
        <w:t xml:space="preserve">Paragraph </w:t>
      </w:r>
      <w:proofErr w:type="spellStart"/>
      <w:r>
        <w:t>terakhir</w:t>
      </w:r>
      <w:proofErr w:type="spellEnd"/>
      <w:r>
        <w:t xml:space="preserve"> </w:t>
      </w:r>
      <w:proofErr w:type="spellStart"/>
      <w:r>
        <w:t>harus</w:t>
      </w:r>
      <w:proofErr w:type="spellEnd"/>
      <w:r>
        <w:t xml:space="preserve"> </w:t>
      </w:r>
      <w:proofErr w:type="spellStart"/>
      <w:r>
        <w:t>mencantumkan</w:t>
      </w:r>
      <w:proofErr w:type="spellEnd"/>
      <w:r>
        <w:t xml:space="preserve"> </w:t>
      </w:r>
      <w:proofErr w:type="spellStart"/>
      <w:r>
        <w:t>tujuan</w:t>
      </w:r>
      <w:proofErr w:type="spellEnd"/>
      <w:r>
        <w:t xml:space="preserve"> </w:t>
      </w:r>
      <w:proofErr w:type="spellStart"/>
      <w:r>
        <w:t>penelitian</w:t>
      </w:r>
      <w:proofErr w:type="spellEnd"/>
    </w:p>
    <w:p w14:paraId="7C21579C" w14:textId="77777777" w:rsidR="00150FAE" w:rsidRDefault="00150FAE" w:rsidP="00150FAE">
      <w:pPr>
        <w:pStyle w:val="ListParagraph"/>
        <w:numPr>
          <w:ilvl w:val="0"/>
          <w:numId w:val="8"/>
        </w:numPr>
      </w:pPr>
      <w:proofErr w:type="spellStart"/>
      <w:r>
        <w:t>Literatur</w:t>
      </w:r>
      <w:proofErr w:type="spellEnd"/>
      <w:r>
        <w:t xml:space="preserve"> review </w:t>
      </w:r>
      <w:proofErr w:type="spellStart"/>
      <w:r>
        <w:t>menjelasan</w:t>
      </w:r>
      <w:proofErr w:type="spellEnd"/>
      <w:r>
        <w:t xml:space="preserve"> gap </w:t>
      </w:r>
      <w:proofErr w:type="spellStart"/>
      <w:r>
        <w:t>riset</w:t>
      </w:r>
      <w:proofErr w:type="spellEnd"/>
      <w:r>
        <w:t xml:space="preserve"> </w:t>
      </w:r>
      <w:proofErr w:type="spellStart"/>
      <w:r>
        <w:t>bukan</w:t>
      </w:r>
      <w:proofErr w:type="spellEnd"/>
      <w:r>
        <w:t xml:space="preserve"> </w:t>
      </w:r>
      <w:proofErr w:type="spellStart"/>
      <w:r>
        <w:t>definisi-definisi</w:t>
      </w:r>
      <w:proofErr w:type="spellEnd"/>
      <w:r>
        <w:t xml:space="preserve"> yang </w:t>
      </w:r>
      <w:proofErr w:type="spellStart"/>
      <w:r>
        <w:t>sudah</w:t>
      </w:r>
      <w:proofErr w:type="spellEnd"/>
      <w:r>
        <w:t xml:space="preserve"> </w:t>
      </w:r>
      <w:proofErr w:type="spellStart"/>
      <w:r>
        <w:t>baku</w:t>
      </w:r>
      <w:proofErr w:type="spellEnd"/>
    </w:p>
    <w:p w14:paraId="3B340A81" w14:textId="262AFD00" w:rsidR="00150FAE" w:rsidRDefault="00150FAE">
      <w:pPr>
        <w:pStyle w:val="CommentText"/>
      </w:pPr>
    </w:p>
  </w:comment>
  <w:comment w:id="3" w:author="power rangers" w:date="2020-11-17T15:26:00Z" w:initials="MNH">
    <w:p w14:paraId="754494C6" w14:textId="77777777" w:rsidR="00150FAE" w:rsidRDefault="00150FAE" w:rsidP="00150FAE">
      <w:pPr>
        <w:pStyle w:val="ListParagraph"/>
        <w:numPr>
          <w:ilvl w:val="0"/>
          <w:numId w:val="9"/>
        </w:numPr>
      </w:pPr>
      <w:r>
        <w:rPr>
          <w:rStyle w:val="CommentReference"/>
        </w:rPr>
        <w:annotationRef/>
      </w:r>
      <w:r>
        <w:t xml:space="preserve">Design </w:t>
      </w:r>
      <w:proofErr w:type="spellStart"/>
      <w:r>
        <w:t>Peneletian</w:t>
      </w:r>
      <w:proofErr w:type="spellEnd"/>
      <w:r>
        <w:t xml:space="preserve"> </w:t>
      </w:r>
      <w:proofErr w:type="spellStart"/>
      <w:r>
        <w:t>harus</w:t>
      </w:r>
      <w:proofErr w:type="spellEnd"/>
      <w:r>
        <w:t xml:space="preserve"> </w:t>
      </w:r>
      <w:proofErr w:type="spellStart"/>
      <w:r>
        <w:t>dipaparkan</w:t>
      </w:r>
      <w:proofErr w:type="spellEnd"/>
      <w:r>
        <w:t xml:space="preserve"> </w:t>
      </w:r>
      <w:proofErr w:type="spellStart"/>
      <w:r>
        <w:t>dengan</w:t>
      </w:r>
      <w:proofErr w:type="spellEnd"/>
      <w:r>
        <w:t xml:space="preserve"> </w:t>
      </w:r>
      <w:proofErr w:type="spellStart"/>
      <w:r>
        <w:t>jelas</w:t>
      </w:r>
      <w:proofErr w:type="spellEnd"/>
    </w:p>
    <w:p w14:paraId="630C5DB3" w14:textId="77777777" w:rsidR="00150FAE" w:rsidRDefault="00150FAE" w:rsidP="00150FAE">
      <w:pPr>
        <w:pStyle w:val="ListParagraph"/>
        <w:numPr>
          <w:ilvl w:val="0"/>
          <w:numId w:val="9"/>
        </w:numPr>
      </w:pPr>
      <w:proofErr w:type="spellStart"/>
      <w:r>
        <w:t>Dalam</w:t>
      </w:r>
      <w:proofErr w:type="spellEnd"/>
      <w:r>
        <w:t xml:space="preserve"> method </w:t>
      </w:r>
      <w:proofErr w:type="spellStart"/>
      <w:r>
        <w:t>harus</w:t>
      </w:r>
      <w:proofErr w:type="spellEnd"/>
      <w:r>
        <w:t xml:space="preserve"> </w:t>
      </w:r>
      <w:proofErr w:type="spellStart"/>
      <w:r>
        <w:t>mencantumkan</w:t>
      </w:r>
      <w:proofErr w:type="spellEnd"/>
      <w:r>
        <w:t xml:space="preserve"> </w:t>
      </w:r>
      <w:proofErr w:type="spellStart"/>
      <w:r>
        <w:t>karakteristik</w:t>
      </w:r>
      <w:proofErr w:type="spellEnd"/>
      <w:r>
        <w:t xml:space="preserve"> </w:t>
      </w:r>
      <w:proofErr w:type="spellStart"/>
      <w:r>
        <w:t>objek</w:t>
      </w:r>
      <w:proofErr w:type="spellEnd"/>
      <w:r>
        <w:t xml:space="preserve"> dan subject </w:t>
      </w:r>
      <w:proofErr w:type="spellStart"/>
      <w:r>
        <w:t>penelitian</w:t>
      </w:r>
      <w:proofErr w:type="spellEnd"/>
      <w:r>
        <w:t xml:space="preserve"> </w:t>
      </w:r>
      <w:proofErr w:type="spellStart"/>
      <w:r>
        <w:t>secara</w:t>
      </w:r>
      <w:proofErr w:type="spellEnd"/>
      <w:r>
        <w:t xml:space="preserve"> </w:t>
      </w:r>
      <w:proofErr w:type="spellStart"/>
      <w:r>
        <w:t>rinci</w:t>
      </w:r>
      <w:proofErr w:type="spellEnd"/>
      <w:r>
        <w:t>/detail</w:t>
      </w:r>
    </w:p>
    <w:p w14:paraId="6C7379E9" w14:textId="77777777" w:rsidR="00150FAE" w:rsidRDefault="00150FAE" w:rsidP="00150FAE">
      <w:pPr>
        <w:pStyle w:val="ListParagraph"/>
        <w:numPr>
          <w:ilvl w:val="0"/>
          <w:numId w:val="9"/>
        </w:numPr>
      </w:pPr>
      <w:r>
        <w:t xml:space="preserve">Method </w:t>
      </w:r>
      <w:proofErr w:type="spellStart"/>
      <w:r>
        <w:t>tidak</w:t>
      </w:r>
      <w:proofErr w:type="spellEnd"/>
      <w:r>
        <w:t xml:space="preserve"> </w:t>
      </w:r>
      <w:proofErr w:type="spellStart"/>
      <w:r>
        <w:t>terlalu</w:t>
      </w:r>
      <w:proofErr w:type="spellEnd"/>
      <w:r>
        <w:t xml:space="preserve"> textbook</w:t>
      </w:r>
    </w:p>
    <w:p w14:paraId="2518D057" w14:textId="77777777" w:rsidR="00150FAE" w:rsidRDefault="00150FAE" w:rsidP="00150FAE">
      <w:pPr>
        <w:pStyle w:val="ListParagraph"/>
        <w:numPr>
          <w:ilvl w:val="0"/>
          <w:numId w:val="9"/>
        </w:numPr>
      </w:pPr>
      <w:r>
        <w:t xml:space="preserve">Teknik </w:t>
      </w:r>
      <w:proofErr w:type="spellStart"/>
      <w:r>
        <w:t>pengambilan</w:t>
      </w:r>
      <w:proofErr w:type="spellEnd"/>
      <w:r>
        <w:t xml:space="preserve"> sample </w:t>
      </w:r>
      <w:proofErr w:type="spellStart"/>
      <w:r>
        <w:t>harus</w:t>
      </w:r>
      <w:proofErr w:type="spellEnd"/>
      <w:r>
        <w:t xml:space="preserve"> </w:t>
      </w:r>
      <w:proofErr w:type="spellStart"/>
      <w:r>
        <w:t>dipaparkan</w:t>
      </w:r>
      <w:proofErr w:type="spellEnd"/>
      <w:r>
        <w:t xml:space="preserve"> </w:t>
      </w:r>
      <w:proofErr w:type="spellStart"/>
      <w:r>
        <w:t>dengan</w:t>
      </w:r>
      <w:proofErr w:type="spellEnd"/>
      <w:r>
        <w:t xml:space="preserve"> </w:t>
      </w:r>
      <w:proofErr w:type="spellStart"/>
      <w:r>
        <w:t>jelas</w:t>
      </w:r>
      <w:proofErr w:type="spellEnd"/>
    </w:p>
    <w:p w14:paraId="43FD5446" w14:textId="77777777" w:rsidR="00150FAE" w:rsidRDefault="00150FAE" w:rsidP="00150FAE">
      <w:pPr>
        <w:pStyle w:val="ListParagraph"/>
        <w:numPr>
          <w:ilvl w:val="0"/>
          <w:numId w:val="9"/>
        </w:numPr>
      </w:pPr>
      <w:proofErr w:type="spellStart"/>
      <w:r>
        <w:t>Paparan</w:t>
      </w:r>
      <w:proofErr w:type="spellEnd"/>
      <w:r>
        <w:t xml:space="preserve"> </w:t>
      </w:r>
      <w:proofErr w:type="spellStart"/>
      <w:r>
        <w:t>tidak</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poin</w:t>
      </w:r>
      <w:proofErr w:type="spellEnd"/>
      <w:r>
        <w:t xml:space="preserve">, </w:t>
      </w:r>
      <w:proofErr w:type="spellStart"/>
      <w:r>
        <w:t>harus</w:t>
      </w:r>
      <w:proofErr w:type="spellEnd"/>
      <w:r>
        <w:t xml:space="preserve"> </w:t>
      </w:r>
      <w:proofErr w:type="spellStart"/>
      <w:r>
        <w:t>dinarasikan</w:t>
      </w:r>
      <w:proofErr w:type="spellEnd"/>
      <w:r>
        <w:t xml:space="preserve"> </w:t>
      </w:r>
      <w:proofErr w:type="spellStart"/>
      <w:r>
        <w:t>dalam</w:t>
      </w:r>
      <w:proofErr w:type="spellEnd"/>
      <w:r>
        <w:t xml:space="preserve"> </w:t>
      </w:r>
      <w:proofErr w:type="spellStart"/>
      <w:r>
        <w:t>bentuk</w:t>
      </w:r>
      <w:proofErr w:type="spellEnd"/>
      <w:r>
        <w:t xml:space="preserve"> paragraph</w:t>
      </w:r>
    </w:p>
    <w:p w14:paraId="5170ADCC" w14:textId="6896E3E2" w:rsidR="00150FAE" w:rsidRDefault="00150FAE">
      <w:pPr>
        <w:pStyle w:val="CommentText"/>
      </w:pPr>
    </w:p>
  </w:comment>
  <w:comment w:id="4" w:author="power rangers" w:date="2020-11-17T15:27:00Z" w:initials="MNH">
    <w:p w14:paraId="33A6C6A1" w14:textId="77777777" w:rsidR="00150FAE" w:rsidRDefault="00150FAE" w:rsidP="00150FAE">
      <w:pPr>
        <w:pStyle w:val="ListParagraph"/>
        <w:numPr>
          <w:ilvl w:val="0"/>
          <w:numId w:val="10"/>
        </w:numPr>
      </w:pPr>
      <w:r>
        <w:rPr>
          <w:rStyle w:val="CommentReference"/>
        </w:rPr>
        <w:annotationRef/>
      </w:r>
      <w:r>
        <w:t xml:space="preserve">Gambar </w:t>
      </w:r>
      <w:proofErr w:type="spellStart"/>
      <w:r>
        <w:t>harus</w:t>
      </w:r>
      <w:proofErr w:type="spellEnd"/>
      <w:r>
        <w:t xml:space="preserve"> </w:t>
      </w:r>
      <w:proofErr w:type="spellStart"/>
      <w:r>
        <w:t>memiliki</w:t>
      </w:r>
      <w:proofErr w:type="spellEnd"/>
      <w:r>
        <w:t xml:space="preserve"> </w:t>
      </w:r>
      <w:proofErr w:type="spellStart"/>
      <w:r>
        <w:t>resolusi</w:t>
      </w:r>
      <w:proofErr w:type="spellEnd"/>
      <w:r>
        <w:t xml:space="preserve"> yang </w:t>
      </w:r>
      <w:proofErr w:type="spellStart"/>
      <w:r>
        <w:t>baik</w:t>
      </w:r>
      <w:proofErr w:type="spellEnd"/>
      <w:r>
        <w:t xml:space="preserve"> (</w:t>
      </w:r>
      <w:proofErr w:type="spellStart"/>
      <w:r>
        <w:t>tidak</w:t>
      </w:r>
      <w:proofErr w:type="spellEnd"/>
      <w:r>
        <w:t xml:space="preserve"> blur)</w:t>
      </w:r>
    </w:p>
    <w:p w14:paraId="201ED55F" w14:textId="77777777" w:rsidR="00150FAE" w:rsidRDefault="00150FAE" w:rsidP="00150FAE">
      <w:pPr>
        <w:pStyle w:val="ListParagraph"/>
        <w:numPr>
          <w:ilvl w:val="0"/>
          <w:numId w:val="10"/>
        </w:numPr>
      </w:pPr>
      <w:proofErr w:type="spellStart"/>
      <w:r>
        <w:t>Perbaiki</w:t>
      </w:r>
      <w:proofErr w:type="spellEnd"/>
      <w:r>
        <w:t xml:space="preserve"> </w:t>
      </w:r>
      <w:proofErr w:type="spellStart"/>
      <w:r>
        <w:t>gambar</w:t>
      </w:r>
      <w:proofErr w:type="spellEnd"/>
      <w:r>
        <w:t xml:space="preserve"> dan table agar </w:t>
      </w:r>
      <w:proofErr w:type="spellStart"/>
      <w:r>
        <w:t>terbaca</w:t>
      </w:r>
      <w:proofErr w:type="spellEnd"/>
      <w:r>
        <w:t xml:space="preserve"> </w:t>
      </w:r>
    </w:p>
    <w:p w14:paraId="59EC70E8" w14:textId="77777777" w:rsidR="00150FAE" w:rsidRDefault="00150FAE" w:rsidP="00150FAE">
      <w:pPr>
        <w:pStyle w:val="ListParagraph"/>
        <w:numPr>
          <w:ilvl w:val="0"/>
          <w:numId w:val="10"/>
        </w:numPr>
      </w:pPr>
      <w:r>
        <w:t xml:space="preserve">Gambar dan table </w:t>
      </w:r>
      <w:proofErr w:type="spellStart"/>
      <w:r>
        <w:t>harus</w:t>
      </w:r>
      <w:proofErr w:type="spellEnd"/>
      <w:r>
        <w:t xml:space="preserve"> </w:t>
      </w:r>
      <w:proofErr w:type="spellStart"/>
      <w:r>
        <w:t>dalam</w:t>
      </w:r>
      <w:proofErr w:type="spellEnd"/>
      <w:r>
        <w:t xml:space="preserve"> Bahasa </w:t>
      </w:r>
      <w:proofErr w:type="spellStart"/>
      <w:r>
        <w:t>inggris</w:t>
      </w:r>
      <w:proofErr w:type="spellEnd"/>
    </w:p>
    <w:p w14:paraId="5EB4547D" w14:textId="77777777" w:rsidR="00150FAE" w:rsidRDefault="00150FAE" w:rsidP="00150FAE">
      <w:pPr>
        <w:pStyle w:val="ListParagraph"/>
        <w:numPr>
          <w:ilvl w:val="0"/>
          <w:numId w:val="10"/>
        </w:numPr>
      </w:pPr>
      <w:r>
        <w:t xml:space="preserve">Gambar dan 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dan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dan table </w:t>
      </w:r>
      <w:proofErr w:type="spellStart"/>
      <w:r>
        <w:t>tersebut</w:t>
      </w:r>
      <w:proofErr w:type="spellEnd"/>
    </w:p>
    <w:p w14:paraId="08E657E0" w14:textId="471A21F1" w:rsidR="00150FAE" w:rsidRDefault="00150FAE">
      <w:pPr>
        <w:pStyle w:val="CommentText"/>
      </w:pPr>
    </w:p>
  </w:comment>
  <w:comment w:id="5" w:author="power rangers" w:date="2020-11-17T15:27:00Z" w:initials="MNH">
    <w:p w14:paraId="2D947344" w14:textId="31B1B12A" w:rsidR="00150FAE" w:rsidRDefault="00150FAE">
      <w:pPr>
        <w:pStyle w:val="CommentText"/>
      </w:pPr>
      <w:r>
        <w:rPr>
          <w:rStyle w:val="CommentReference"/>
        </w:rPr>
        <w:annotationRef/>
      </w:r>
      <w:proofErr w:type="spellStart"/>
      <w:r>
        <w:t>Digabungkan</w:t>
      </w:r>
      <w:proofErr w:type="spellEnd"/>
      <w:r>
        <w:t xml:space="preserve"> </w:t>
      </w:r>
      <w:proofErr w:type="spellStart"/>
      <w:r>
        <w:t>dgn</w:t>
      </w:r>
      <w:proofErr w:type="spellEnd"/>
      <w:r>
        <w:t xml:space="preserve"> result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4CD8BC" w15:done="0"/>
  <w15:commentEx w15:paraId="1C75728A" w15:done="0"/>
  <w15:commentEx w15:paraId="3B340A81" w15:done="0"/>
  <w15:commentEx w15:paraId="5170ADCC" w15:done="0"/>
  <w15:commentEx w15:paraId="08E657E0" w15:done="0"/>
  <w15:commentEx w15:paraId="2D9473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4CD8BC" w16cid:durableId="235E6740"/>
  <w16cid:commentId w16cid:paraId="1C75728A" w16cid:durableId="235E6851"/>
  <w16cid:commentId w16cid:paraId="3B340A81" w16cid:durableId="235E6A26"/>
  <w16cid:commentId w16cid:paraId="5170ADCC" w16cid:durableId="235E6A2B"/>
  <w16cid:commentId w16cid:paraId="08E657E0" w16cid:durableId="235E6A66"/>
  <w16cid:commentId w16cid:paraId="2D947344" w16cid:durableId="235E6A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84095" w14:textId="77777777" w:rsidR="00422DAD" w:rsidRDefault="00422DAD">
      <w:r>
        <w:separator/>
      </w:r>
    </w:p>
  </w:endnote>
  <w:endnote w:type="continuationSeparator" w:id="0">
    <w:p w14:paraId="0136C354" w14:textId="77777777" w:rsidR="00422DAD" w:rsidRDefault="0042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bon">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077A4" w14:textId="77777777" w:rsidR="00422DAD" w:rsidRPr="00043761" w:rsidRDefault="00422DAD">
      <w:pPr>
        <w:pStyle w:val="Bulleted"/>
        <w:numPr>
          <w:ilvl w:val="0"/>
          <w:numId w:val="0"/>
        </w:numPr>
        <w:rPr>
          <w:rFonts w:ascii="Sabon" w:hAnsi="Sabon"/>
          <w:color w:val="auto"/>
          <w:szCs w:val="20"/>
        </w:rPr>
      </w:pPr>
      <w:r>
        <w:separator/>
      </w:r>
    </w:p>
  </w:footnote>
  <w:footnote w:type="continuationSeparator" w:id="0">
    <w:p w14:paraId="7AED1589" w14:textId="77777777" w:rsidR="00422DAD" w:rsidRDefault="00422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3B20" w14:textId="77777777" w:rsidR="000510CA" w:rsidRDefault="000510CA"/>
  <w:p w14:paraId="28773B21" w14:textId="77777777" w:rsidR="000510CA" w:rsidRDefault="000510CA"/>
  <w:p w14:paraId="28773B22" w14:textId="77777777" w:rsidR="000510CA" w:rsidRDefault="000510CA"/>
  <w:p w14:paraId="28773B23" w14:textId="77777777" w:rsidR="000510CA" w:rsidRDefault="000510CA"/>
  <w:p w14:paraId="28773B24" w14:textId="77777777" w:rsidR="000510CA" w:rsidRDefault="000510CA"/>
  <w:p w14:paraId="28773B25" w14:textId="77777777" w:rsidR="000510CA" w:rsidRDefault="000510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FC344B"/>
    <w:multiLevelType w:val="hybridMultilevel"/>
    <w:tmpl w:val="F3A8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891A86"/>
    <w:multiLevelType w:val="hybridMultilevel"/>
    <w:tmpl w:val="E708E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44DBF"/>
    <w:multiLevelType w:val="hybridMultilevel"/>
    <w:tmpl w:val="563A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2159C"/>
    <w:multiLevelType w:val="multilevel"/>
    <w:tmpl w:val="F32EE2E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A4D561E"/>
    <w:multiLevelType w:val="multilevel"/>
    <w:tmpl w:val="12C0927A"/>
    <w:lvl w:ilvl="0">
      <w:start w:val="2"/>
      <w:numFmt w:val="decimal"/>
      <w:lvlText w:val="%1"/>
      <w:lvlJc w:val="left"/>
      <w:pPr>
        <w:ind w:left="360" w:hanging="360"/>
      </w:pPr>
      <w:rPr>
        <w:rFonts w:ascii="Times" w:hAnsi="Times" w:cs="Times New Roman" w:hint="default"/>
      </w:rPr>
    </w:lvl>
    <w:lvl w:ilvl="1">
      <w:start w:val="5"/>
      <w:numFmt w:val="decimal"/>
      <w:lvlText w:val="%1.%2"/>
      <w:lvlJc w:val="left"/>
      <w:pPr>
        <w:ind w:left="360" w:hanging="360"/>
      </w:pPr>
      <w:rPr>
        <w:rFonts w:ascii="Times" w:hAnsi="Times" w:cs="Times New Roman" w:hint="default"/>
      </w:rPr>
    </w:lvl>
    <w:lvl w:ilvl="2">
      <w:start w:val="1"/>
      <w:numFmt w:val="decimal"/>
      <w:lvlText w:val="%1.%2.%3"/>
      <w:lvlJc w:val="left"/>
      <w:pPr>
        <w:ind w:left="720" w:hanging="720"/>
      </w:pPr>
      <w:rPr>
        <w:rFonts w:ascii="Times" w:hAnsi="Times" w:cs="Times New Roman" w:hint="default"/>
      </w:rPr>
    </w:lvl>
    <w:lvl w:ilvl="3">
      <w:start w:val="1"/>
      <w:numFmt w:val="decimal"/>
      <w:lvlText w:val="%1.%2.%3.%4"/>
      <w:lvlJc w:val="left"/>
      <w:pPr>
        <w:ind w:left="720" w:hanging="720"/>
      </w:pPr>
      <w:rPr>
        <w:rFonts w:ascii="Times" w:hAnsi="Times" w:cs="Times New Roman" w:hint="default"/>
      </w:rPr>
    </w:lvl>
    <w:lvl w:ilvl="4">
      <w:start w:val="1"/>
      <w:numFmt w:val="decimal"/>
      <w:lvlText w:val="%1.%2.%3.%4.%5"/>
      <w:lvlJc w:val="left"/>
      <w:pPr>
        <w:ind w:left="1080" w:hanging="1080"/>
      </w:pPr>
      <w:rPr>
        <w:rFonts w:ascii="Times" w:hAnsi="Times" w:cs="Times New Roman" w:hint="default"/>
      </w:rPr>
    </w:lvl>
    <w:lvl w:ilvl="5">
      <w:start w:val="1"/>
      <w:numFmt w:val="decimal"/>
      <w:lvlText w:val="%1.%2.%3.%4.%5.%6"/>
      <w:lvlJc w:val="left"/>
      <w:pPr>
        <w:ind w:left="1080" w:hanging="1080"/>
      </w:pPr>
      <w:rPr>
        <w:rFonts w:ascii="Times" w:hAnsi="Times" w:cs="Times New Roman" w:hint="default"/>
      </w:rPr>
    </w:lvl>
    <w:lvl w:ilvl="6">
      <w:start w:val="1"/>
      <w:numFmt w:val="decimal"/>
      <w:lvlText w:val="%1.%2.%3.%4.%5.%6.%7"/>
      <w:lvlJc w:val="left"/>
      <w:pPr>
        <w:ind w:left="1440" w:hanging="1440"/>
      </w:pPr>
      <w:rPr>
        <w:rFonts w:ascii="Times" w:hAnsi="Times" w:cs="Times New Roman" w:hint="default"/>
      </w:rPr>
    </w:lvl>
    <w:lvl w:ilvl="7">
      <w:start w:val="1"/>
      <w:numFmt w:val="decimal"/>
      <w:lvlText w:val="%1.%2.%3.%4.%5.%6.%7.%8"/>
      <w:lvlJc w:val="left"/>
      <w:pPr>
        <w:ind w:left="1440" w:hanging="1440"/>
      </w:pPr>
      <w:rPr>
        <w:rFonts w:ascii="Times" w:hAnsi="Times" w:cs="Times New Roman" w:hint="default"/>
      </w:rPr>
    </w:lvl>
    <w:lvl w:ilvl="8">
      <w:start w:val="1"/>
      <w:numFmt w:val="decimal"/>
      <w:lvlText w:val="%1.%2.%3.%4.%5.%6.%7.%8.%9"/>
      <w:lvlJc w:val="left"/>
      <w:pPr>
        <w:ind w:left="1440" w:hanging="1440"/>
      </w:pPr>
      <w:rPr>
        <w:rFonts w:ascii="Times" w:hAnsi="Times" w:cs="Times New Roman" w:hint="default"/>
      </w:rPr>
    </w:lvl>
  </w:abstractNum>
  <w:abstractNum w:abstractNumId="8"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9" w15:restartNumberingAfterBreak="0">
    <w:nsid w:val="7FD15A3B"/>
    <w:multiLevelType w:val="hybridMultilevel"/>
    <w:tmpl w:val="72CA5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6"/>
  </w:num>
  <w:num w:numId="5">
    <w:abstractNumId w:val="5"/>
  </w:num>
  <w:num w:numId="6">
    <w:abstractNumId w:val="7"/>
  </w:num>
  <w:num w:numId="7">
    <w:abstractNumId w:val="3"/>
  </w:num>
  <w:num w:numId="8">
    <w:abstractNumId w:val="1"/>
  </w:num>
  <w:num w:numId="9">
    <w:abstractNumId w:val="9"/>
  </w:num>
  <w:num w:numId="10">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fi-FI"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da-DK"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033343"/>
    <w:rsid w:val="000510CA"/>
    <w:rsid w:val="0005181C"/>
    <w:rsid w:val="000542F5"/>
    <w:rsid w:val="0009379C"/>
    <w:rsid w:val="000B5779"/>
    <w:rsid w:val="000D3E13"/>
    <w:rsid w:val="000F5717"/>
    <w:rsid w:val="001359F6"/>
    <w:rsid w:val="00150FAE"/>
    <w:rsid w:val="00154CE3"/>
    <w:rsid w:val="00157F3D"/>
    <w:rsid w:val="00174A31"/>
    <w:rsid w:val="00193070"/>
    <w:rsid w:val="001B6C89"/>
    <w:rsid w:val="001D27F5"/>
    <w:rsid w:val="001D4984"/>
    <w:rsid w:val="00217A99"/>
    <w:rsid w:val="00254A95"/>
    <w:rsid w:val="00257C61"/>
    <w:rsid w:val="00281F2B"/>
    <w:rsid w:val="002A18DD"/>
    <w:rsid w:val="002B6004"/>
    <w:rsid w:val="002C71E1"/>
    <w:rsid w:val="002E29CC"/>
    <w:rsid w:val="002E45B0"/>
    <w:rsid w:val="002E53A7"/>
    <w:rsid w:val="002F237A"/>
    <w:rsid w:val="00300269"/>
    <w:rsid w:val="003048E8"/>
    <w:rsid w:val="00322CF9"/>
    <w:rsid w:val="00330AAC"/>
    <w:rsid w:val="00362AFA"/>
    <w:rsid w:val="00374011"/>
    <w:rsid w:val="00374ADB"/>
    <w:rsid w:val="003771CC"/>
    <w:rsid w:val="003836F6"/>
    <w:rsid w:val="0038593F"/>
    <w:rsid w:val="00392890"/>
    <w:rsid w:val="003A1607"/>
    <w:rsid w:val="003B0FE0"/>
    <w:rsid w:val="003C323E"/>
    <w:rsid w:val="003F7BFD"/>
    <w:rsid w:val="00404F8C"/>
    <w:rsid w:val="00416EB2"/>
    <w:rsid w:val="00422DAD"/>
    <w:rsid w:val="004468AB"/>
    <w:rsid w:val="004A5386"/>
    <w:rsid w:val="004B5867"/>
    <w:rsid w:val="004C2A51"/>
    <w:rsid w:val="004D1B82"/>
    <w:rsid w:val="004D7BEF"/>
    <w:rsid w:val="004E6904"/>
    <w:rsid w:val="00512A4D"/>
    <w:rsid w:val="005158FA"/>
    <w:rsid w:val="00547AD6"/>
    <w:rsid w:val="00556F61"/>
    <w:rsid w:val="005A2ED0"/>
    <w:rsid w:val="005B27D0"/>
    <w:rsid w:val="0061183F"/>
    <w:rsid w:val="00611C98"/>
    <w:rsid w:val="00665FE8"/>
    <w:rsid w:val="006B11E6"/>
    <w:rsid w:val="006C5A99"/>
    <w:rsid w:val="006F45A4"/>
    <w:rsid w:val="00713EDA"/>
    <w:rsid w:val="00733CB3"/>
    <w:rsid w:val="007524B9"/>
    <w:rsid w:val="0078233D"/>
    <w:rsid w:val="007866FF"/>
    <w:rsid w:val="007A6EE9"/>
    <w:rsid w:val="007C2A58"/>
    <w:rsid w:val="007E145A"/>
    <w:rsid w:val="007F4B56"/>
    <w:rsid w:val="008063E9"/>
    <w:rsid w:val="00822492"/>
    <w:rsid w:val="008500FA"/>
    <w:rsid w:val="00887BE4"/>
    <w:rsid w:val="008A162D"/>
    <w:rsid w:val="008A3687"/>
    <w:rsid w:val="008A3ECB"/>
    <w:rsid w:val="008B51F3"/>
    <w:rsid w:val="008D1DD3"/>
    <w:rsid w:val="008D457D"/>
    <w:rsid w:val="008D7561"/>
    <w:rsid w:val="00933B73"/>
    <w:rsid w:val="009365B5"/>
    <w:rsid w:val="00960169"/>
    <w:rsid w:val="0096171D"/>
    <w:rsid w:val="00971B72"/>
    <w:rsid w:val="00980C30"/>
    <w:rsid w:val="0098119C"/>
    <w:rsid w:val="009949CD"/>
    <w:rsid w:val="009A0487"/>
    <w:rsid w:val="009E2905"/>
    <w:rsid w:val="009E66F1"/>
    <w:rsid w:val="00A0223A"/>
    <w:rsid w:val="00A04F81"/>
    <w:rsid w:val="00A46BA6"/>
    <w:rsid w:val="00A519BC"/>
    <w:rsid w:val="00A7143C"/>
    <w:rsid w:val="00A73DC8"/>
    <w:rsid w:val="00AB0A07"/>
    <w:rsid w:val="00AB5758"/>
    <w:rsid w:val="00AD298A"/>
    <w:rsid w:val="00AE6A5D"/>
    <w:rsid w:val="00AF25B5"/>
    <w:rsid w:val="00AF5F2A"/>
    <w:rsid w:val="00B05982"/>
    <w:rsid w:val="00B12430"/>
    <w:rsid w:val="00B21036"/>
    <w:rsid w:val="00B2321E"/>
    <w:rsid w:val="00B43CC5"/>
    <w:rsid w:val="00B52546"/>
    <w:rsid w:val="00B53A89"/>
    <w:rsid w:val="00B54E99"/>
    <w:rsid w:val="00B83F45"/>
    <w:rsid w:val="00B875B4"/>
    <w:rsid w:val="00B94CC4"/>
    <w:rsid w:val="00BB349A"/>
    <w:rsid w:val="00BB4429"/>
    <w:rsid w:val="00BD090E"/>
    <w:rsid w:val="00BF2948"/>
    <w:rsid w:val="00BF6BE2"/>
    <w:rsid w:val="00C1387F"/>
    <w:rsid w:val="00C23B98"/>
    <w:rsid w:val="00C256FD"/>
    <w:rsid w:val="00C362A5"/>
    <w:rsid w:val="00C46BCC"/>
    <w:rsid w:val="00C93A4C"/>
    <w:rsid w:val="00C97486"/>
    <w:rsid w:val="00CA3D55"/>
    <w:rsid w:val="00CD35FC"/>
    <w:rsid w:val="00CD4623"/>
    <w:rsid w:val="00CF4DA0"/>
    <w:rsid w:val="00CF73F5"/>
    <w:rsid w:val="00D3744B"/>
    <w:rsid w:val="00D415CA"/>
    <w:rsid w:val="00D415F5"/>
    <w:rsid w:val="00D44465"/>
    <w:rsid w:val="00D76B39"/>
    <w:rsid w:val="00D826E2"/>
    <w:rsid w:val="00D8463E"/>
    <w:rsid w:val="00D925FA"/>
    <w:rsid w:val="00DB2C46"/>
    <w:rsid w:val="00DB2CFC"/>
    <w:rsid w:val="00DE0143"/>
    <w:rsid w:val="00E00EB5"/>
    <w:rsid w:val="00E02370"/>
    <w:rsid w:val="00E16610"/>
    <w:rsid w:val="00E22EA0"/>
    <w:rsid w:val="00E252F2"/>
    <w:rsid w:val="00E5514F"/>
    <w:rsid w:val="00EB742B"/>
    <w:rsid w:val="00ED65A0"/>
    <w:rsid w:val="00ED6E78"/>
    <w:rsid w:val="00EF6BE4"/>
    <w:rsid w:val="00F03EB8"/>
    <w:rsid w:val="00F2150E"/>
    <w:rsid w:val="00F32B7D"/>
    <w:rsid w:val="00F343F7"/>
    <w:rsid w:val="00F34AA8"/>
    <w:rsid w:val="00F61E53"/>
    <w:rsid w:val="00F64F12"/>
    <w:rsid w:val="00F65ABF"/>
    <w:rsid w:val="00F67605"/>
    <w:rsid w:val="00F81BD6"/>
    <w:rsid w:val="00F87AC0"/>
    <w:rsid w:val="00FA4076"/>
    <w:rsid w:val="00FB01C1"/>
    <w:rsid w:val="00FB0DEE"/>
    <w:rsid w:val="00FD4B7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773B05"/>
  <w15:docId w15:val="{09C2758F-C8B3-FE4B-845D-597EAC4A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CommentText">
    <w:name w:val="annotation text"/>
    <w:basedOn w:val="Normal"/>
    <w:link w:val="CommentTextChar"/>
    <w:uiPriority w:val="99"/>
    <w:semiHidden/>
    <w:unhideWhenUsed/>
    <w:rsid w:val="00ED6E78"/>
    <w:pPr>
      <w:spacing w:after="160"/>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uiPriority w:val="99"/>
    <w:semiHidden/>
    <w:rsid w:val="00ED6E78"/>
    <w:rPr>
      <w:rFonts w:asciiTheme="minorHAnsi" w:eastAsiaTheme="minorHAnsi" w:hAnsiTheme="minorHAnsi" w:cstheme="minorBidi"/>
      <w:lang w:val="en-US" w:eastAsia="en-US"/>
    </w:rPr>
  </w:style>
  <w:style w:type="character" w:styleId="CommentReference">
    <w:name w:val="annotation reference"/>
    <w:basedOn w:val="DefaultParagraphFont"/>
    <w:uiPriority w:val="99"/>
    <w:semiHidden/>
    <w:unhideWhenUsed/>
    <w:qFormat/>
    <w:rsid w:val="0005181C"/>
    <w:rPr>
      <w:sz w:val="16"/>
      <w:szCs w:val="16"/>
    </w:rPr>
  </w:style>
  <w:style w:type="paragraph" w:styleId="BalloonText">
    <w:name w:val="Balloon Text"/>
    <w:basedOn w:val="Normal"/>
    <w:link w:val="BalloonTextChar"/>
    <w:uiPriority w:val="99"/>
    <w:semiHidden/>
    <w:unhideWhenUsed/>
    <w:rsid w:val="0005181C"/>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5181C"/>
    <w:rPr>
      <w:sz w:val="18"/>
      <w:szCs w:val="18"/>
      <w:lang w:eastAsia="en-US"/>
    </w:rPr>
  </w:style>
  <w:style w:type="paragraph" w:styleId="CommentSubject">
    <w:name w:val="annotation subject"/>
    <w:basedOn w:val="CommentText"/>
    <w:next w:val="CommentText"/>
    <w:link w:val="CommentSubjectChar"/>
    <w:uiPriority w:val="99"/>
    <w:semiHidden/>
    <w:unhideWhenUsed/>
    <w:rsid w:val="00F65ABF"/>
    <w:rPr>
      <w:b/>
      <w:bCs/>
    </w:rPr>
  </w:style>
  <w:style w:type="character" w:customStyle="1" w:styleId="CommentSubjectChar">
    <w:name w:val="Comment Subject Char"/>
    <w:basedOn w:val="CommentTextChar"/>
    <w:link w:val="CommentSubject"/>
    <w:uiPriority w:val="99"/>
    <w:semiHidden/>
    <w:rsid w:val="00F65ABF"/>
    <w:rPr>
      <w:rFonts w:asciiTheme="minorHAnsi" w:eastAsiaTheme="minorHAnsi" w:hAnsiTheme="minorHAnsi" w:cstheme="minorBidi"/>
      <w:b/>
      <w:bCs/>
      <w:lang w:val="en-US" w:eastAsia="en-US"/>
    </w:rPr>
  </w:style>
  <w:style w:type="table" w:styleId="TableGrid">
    <w:name w:val="Table Grid"/>
    <w:basedOn w:val="TableNormal"/>
    <w:uiPriority w:val="39"/>
    <w:qFormat/>
    <w:rsid w:val="00CD35FC"/>
    <w:rPr>
      <w:rFonts w:ascii="Arial" w:eastAsia="Arial"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10CA"/>
    <w:pPr>
      <w:spacing w:after="160" w:line="259" w:lineRule="auto"/>
      <w:ind w:left="720"/>
      <w:contextualSpacing/>
    </w:pPr>
    <w:rPr>
      <w:rFonts w:asciiTheme="minorHAnsi" w:eastAsiaTheme="minorHAnsi"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685655">
      <w:bodyDiv w:val="1"/>
      <w:marLeft w:val="0"/>
      <w:marRight w:val="0"/>
      <w:marTop w:val="0"/>
      <w:marBottom w:val="0"/>
      <w:divBdr>
        <w:top w:val="none" w:sz="0" w:space="0" w:color="auto"/>
        <w:left w:val="none" w:sz="0" w:space="0" w:color="auto"/>
        <w:bottom w:val="none" w:sz="0" w:space="0" w:color="auto"/>
        <w:right w:val="none" w:sz="0" w:space="0" w:color="auto"/>
      </w:divBdr>
    </w:div>
    <w:div w:id="203222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3D098-3897-488D-ACF7-D6315819F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TotalTime>
  <Pages>9</Pages>
  <Words>14327</Words>
  <Characters>81668</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95804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power rangers</cp:lastModifiedBy>
  <cp:revision>2</cp:revision>
  <cp:lastPrinted>2005-02-25T09:52:00Z</cp:lastPrinted>
  <dcterms:created xsi:type="dcterms:W3CDTF">2020-11-17T08:28:00Z</dcterms:created>
  <dcterms:modified xsi:type="dcterms:W3CDTF">2020-11-17T08:28:00Z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54d61310-5ef7-3e0a-aafc-16e30b288bc8</vt:lpwstr>
  </property>
  <property fmtid="{D5CDD505-2E9C-101B-9397-08002B2CF9AE}" pid="4" name="Mendeley Citation Style_1">
    <vt:lpwstr>http://www.zotero.org/styles/elsevier-vancouver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http://www.zotero.org/styles/elsevier-vancouver</vt:lpwstr>
  </property>
  <property fmtid="{D5CDD505-2E9C-101B-9397-08002B2CF9AE}" pid="14" name="Mendeley Recent Style Name 4_1">
    <vt:lpwstr>Elsevier - Vancouver</vt:lpwstr>
  </property>
  <property fmtid="{D5CDD505-2E9C-101B-9397-08002B2CF9AE}" pid="15" name="Mendeley Recent Style Id 5_1">
    <vt:lpwstr>http://www.zotero.org/styles/modern-language-association</vt:lpwstr>
  </property>
  <property fmtid="{D5CDD505-2E9C-101B-9397-08002B2CF9AE}" pid="16" name="Mendeley Recent Style Name 5_1">
    <vt:lpwstr>Modern Language Association 8th edition</vt:lpwstr>
  </property>
  <property fmtid="{D5CDD505-2E9C-101B-9397-08002B2CF9AE}" pid="17" name="Mendeley Recent Style Id 6_1">
    <vt:lpwstr>http://www.zotero.org/styles/nature</vt:lpwstr>
  </property>
  <property fmtid="{D5CDD505-2E9C-101B-9397-08002B2CF9AE}" pid="18" name="Mendeley Recent Style Name 6_1">
    <vt:lpwstr>Nature</vt:lpwstr>
  </property>
  <property fmtid="{D5CDD505-2E9C-101B-9397-08002B2CF9AE}" pid="19" name="Mendeley Recent Style Id 7_1">
    <vt:lpwstr>http://www.zotero.org/styles/springer-vancouver</vt:lpwstr>
  </property>
  <property fmtid="{D5CDD505-2E9C-101B-9397-08002B2CF9AE}" pid="20" name="Mendeley Recent Style Name 7_1">
    <vt:lpwstr>Springer - Vancouver</vt:lpwstr>
  </property>
  <property fmtid="{D5CDD505-2E9C-101B-9397-08002B2CF9AE}" pid="21" name="Mendeley Recent Style Id 8_1">
    <vt:lpwstr>http://www.zotero.org/styles/springer-vancouver-brackets</vt:lpwstr>
  </property>
  <property fmtid="{D5CDD505-2E9C-101B-9397-08002B2CF9AE}" pid="22" name="Mendeley Recent Style Name 8_1">
    <vt:lpwstr>Springer - Vancouver (brackets)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