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E3F6B" w14:textId="77777777" w:rsidR="009A0487" w:rsidRPr="00B64A89" w:rsidRDefault="009C304B">
      <w:pPr>
        <w:pStyle w:val="Title"/>
        <w:rPr>
          <w:lang w:eastAsia="ja-JP"/>
        </w:rPr>
      </w:pPr>
      <w:r w:rsidRPr="00B64A89">
        <w:rPr>
          <w:rFonts w:hint="eastAsia"/>
          <w:lang w:eastAsia="ja-JP"/>
        </w:rPr>
        <w:t xml:space="preserve">Raman spectra </w:t>
      </w:r>
      <w:r w:rsidR="003F65A5" w:rsidRPr="00B64A89">
        <w:rPr>
          <w:rFonts w:hint="eastAsia"/>
          <w:lang w:eastAsia="ja-JP"/>
        </w:rPr>
        <w:t xml:space="preserve">of </w:t>
      </w:r>
      <w:r w:rsidR="003F65A5" w:rsidRPr="00B64A89">
        <w:rPr>
          <w:lang w:eastAsia="ja-JP"/>
        </w:rPr>
        <w:t>polyethylene</w:t>
      </w:r>
      <w:r w:rsidR="003F65A5" w:rsidRPr="00B64A89">
        <w:rPr>
          <w:rFonts w:hint="eastAsia"/>
          <w:lang w:eastAsia="ja-JP"/>
        </w:rPr>
        <w:t xml:space="preserve"> glycol / cellulose acetate butyrate biopolymer blend</w:t>
      </w:r>
    </w:p>
    <w:p w14:paraId="4EA3C8B5" w14:textId="77777777" w:rsidR="009A0487" w:rsidRPr="00B64A89" w:rsidRDefault="00FE5FDA">
      <w:pPr>
        <w:pStyle w:val="Authors"/>
        <w:rPr>
          <w:lang w:eastAsia="ja-JP"/>
        </w:rPr>
      </w:pPr>
      <w:r w:rsidRPr="00B64A89">
        <w:rPr>
          <w:rFonts w:hint="eastAsia"/>
          <w:lang w:eastAsia="ja-JP"/>
        </w:rPr>
        <w:t>Dian Marlina</w:t>
      </w:r>
      <w:r w:rsidRPr="00B64A89">
        <w:rPr>
          <w:rFonts w:hint="eastAsia"/>
          <w:vertAlign w:val="superscript"/>
          <w:lang w:eastAsia="ja-JP"/>
        </w:rPr>
        <w:t>1</w:t>
      </w:r>
      <w:r w:rsidRPr="00B64A89">
        <w:rPr>
          <w:rFonts w:hint="eastAsia"/>
          <w:lang w:eastAsia="ja-JP"/>
        </w:rPr>
        <w:t>, Mega Novita</w:t>
      </w:r>
      <w:r w:rsidRPr="00B64A89">
        <w:rPr>
          <w:rFonts w:hint="eastAsia"/>
          <w:vertAlign w:val="superscript"/>
          <w:lang w:eastAsia="ja-JP"/>
        </w:rPr>
        <w:t>2</w:t>
      </w:r>
      <w:r w:rsidRPr="00B64A89">
        <w:rPr>
          <w:rFonts w:hint="eastAsia"/>
          <w:lang w:eastAsia="ja-JP"/>
        </w:rPr>
        <w:t>, Muchamad Taufiq Anwar</w:t>
      </w:r>
      <w:r w:rsidRPr="00B64A89">
        <w:rPr>
          <w:rFonts w:hint="eastAsia"/>
          <w:vertAlign w:val="superscript"/>
          <w:lang w:eastAsia="ja-JP"/>
        </w:rPr>
        <w:t>3</w:t>
      </w:r>
      <w:r w:rsidRPr="00B64A89">
        <w:rPr>
          <w:rFonts w:hint="eastAsia"/>
          <w:lang w:eastAsia="ja-JP"/>
        </w:rPr>
        <w:t>, Haryo Kusumo</w:t>
      </w:r>
      <w:r w:rsidRPr="00B64A89">
        <w:rPr>
          <w:rFonts w:hint="eastAsia"/>
          <w:vertAlign w:val="superscript"/>
          <w:lang w:eastAsia="ja-JP"/>
        </w:rPr>
        <w:t>4</w:t>
      </w:r>
      <w:r w:rsidRPr="00B64A89">
        <w:rPr>
          <w:rFonts w:hint="eastAsia"/>
          <w:lang w:eastAsia="ja-JP"/>
        </w:rPr>
        <w:t>, Harumi Sato</w:t>
      </w:r>
      <w:r w:rsidRPr="00B64A89">
        <w:rPr>
          <w:rFonts w:hint="eastAsia"/>
          <w:vertAlign w:val="superscript"/>
          <w:lang w:eastAsia="ja-JP"/>
        </w:rPr>
        <w:t>5</w:t>
      </w:r>
    </w:p>
    <w:p w14:paraId="7C57A39D" w14:textId="77777777" w:rsidR="00FE5FDA" w:rsidRPr="00B64A89" w:rsidRDefault="00FE5FDA" w:rsidP="005B72F0">
      <w:pPr>
        <w:pStyle w:val="E-mail"/>
        <w:spacing w:after="0"/>
        <w:jc w:val="both"/>
        <w:rPr>
          <w:noProof w:val="0"/>
          <w:lang w:val="en-GB" w:eastAsia="ja-JP"/>
        </w:rPr>
      </w:pPr>
      <w:r w:rsidRPr="00B64A89">
        <w:rPr>
          <w:rFonts w:hint="eastAsia"/>
          <w:noProof w:val="0"/>
          <w:vertAlign w:val="superscript"/>
          <w:lang w:val="en-GB" w:eastAsia="ja-JP"/>
        </w:rPr>
        <w:t>1</w:t>
      </w:r>
      <w:r w:rsidRPr="00B64A89">
        <w:rPr>
          <w:noProof w:val="0"/>
          <w:lang w:val="en-GB"/>
        </w:rPr>
        <w:t>Faculty of Pharmacy, Universitas Setia Budi, Jl. Letjen Sutoyo, Mojosongo, Kec. Jebres, Kota Surakarta, Central Java 57127, Indonesia</w:t>
      </w:r>
    </w:p>
    <w:p w14:paraId="492CB266" w14:textId="77777777" w:rsidR="00FE5FDA" w:rsidRPr="00B64A89" w:rsidRDefault="00FE5FDA" w:rsidP="005B72F0">
      <w:pPr>
        <w:pStyle w:val="E-mail"/>
        <w:spacing w:after="0"/>
        <w:jc w:val="both"/>
        <w:rPr>
          <w:lang w:eastAsia="ja-JP"/>
        </w:rPr>
      </w:pPr>
      <w:r w:rsidRPr="00B64A89">
        <w:rPr>
          <w:rFonts w:hint="eastAsia"/>
          <w:vertAlign w:val="superscript"/>
          <w:lang w:eastAsia="ja-JP"/>
        </w:rPr>
        <w:t>2</w:t>
      </w:r>
      <w:r w:rsidRPr="00B64A89">
        <w:rPr>
          <w:lang w:eastAsia="ja-JP"/>
        </w:rPr>
        <w:t>Faculty of Engineering and Informatics, Universitas PGRI Semarang, Jl. Sidodadi-Timur No.24 Semarang, Central Java 50232, Indonesia</w:t>
      </w:r>
    </w:p>
    <w:p w14:paraId="52C4D057" w14:textId="77777777" w:rsidR="00FE5FDA" w:rsidRPr="00B64A89" w:rsidRDefault="00FE5FDA" w:rsidP="005B72F0">
      <w:pPr>
        <w:pStyle w:val="E-mail"/>
        <w:spacing w:after="0"/>
        <w:jc w:val="both"/>
        <w:rPr>
          <w:lang w:eastAsia="ja-JP"/>
        </w:rPr>
      </w:pPr>
      <w:r w:rsidRPr="00B64A89">
        <w:rPr>
          <w:rFonts w:hint="eastAsia"/>
          <w:vertAlign w:val="superscript"/>
          <w:lang w:eastAsia="ja-JP"/>
        </w:rPr>
        <w:t>3</w:t>
      </w:r>
      <w:r w:rsidRPr="00B64A89">
        <w:rPr>
          <w:lang w:eastAsia="ja-JP"/>
        </w:rPr>
        <w:t>Faculty of Information Technology, Universitas Stikubank, Jl. Trilomba Juang No 1 Semarang, Central Java 50241, Indonesia</w:t>
      </w:r>
    </w:p>
    <w:p w14:paraId="637978EA" w14:textId="77777777" w:rsidR="00FE5FDA" w:rsidRPr="00B64A89" w:rsidRDefault="00FE5FDA" w:rsidP="005B72F0">
      <w:pPr>
        <w:pStyle w:val="E-mail"/>
        <w:spacing w:after="0"/>
        <w:jc w:val="both"/>
        <w:rPr>
          <w:lang w:eastAsia="ja-JP"/>
        </w:rPr>
      </w:pPr>
      <w:r w:rsidRPr="00B64A89">
        <w:rPr>
          <w:rFonts w:hint="eastAsia"/>
          <w:vertAlign w:val="superscript"/>
          <w:lang w:eastAsia="ja-JP"/>
        </w:rPr>
        <w:t>4</w:t>
      </w:r>
      <w:r w:rsidRPr="00B64A89">
        <w:rPr>
          <w:lang w:eastAsia="ja-JP"/>
        </w:rPr>
        <w:t>Department of Informatics Management, Universitas Stekom, Jl. Majapahit 605, Kec. Pedurungan, Semarang, Central Java 50192</w:t>
      </w:r>
      <w:r w:rsidRPr="00B64A89">
        <w:rPr>
          <w:rFonts w:hint="eastAsia"/>
          <w:lang w:eastAsia="ja-JP"/>
        </w:rPr>
        <w:t xml:space="preserve">, </w:t>
      </w:r>
      <w:r w:rsidRPr="00B64A89">
        <w:rPr>
          <w:lang w:eastAsia="ja-JP"/>
        </w:rPr>
        <w:t>Indonesia</w:t>
      </w:r>
    </w:p>
    <w:p w14:paraId="462084A5" w14:textId="77777777" w:rsidR="00FE5FDA" w:rsidRPr="00B64A89" w:rsidRDefault="00FE5FDA" w:rsidP="005B72F0">
      <w:pPr>
        <w:pStyle w:val="E-mail"/>
        <w:jc w:val="both"/>
        <w:rPr>
          <w:lang w:eastAsia="ja-JP"/>
        </w:rPr>
      </w:pPr>
      <w:r w:rsidRPr="00B64A89">
        <w:rPr>
          <w:rFonts w:hint="eastAsia"/>
          <w:vertAlign w:val="superscript"/>
          <w:lang w:eastAsia="ja-JP"/>
        </w:rPr>
        <w:t>5</w:t>
      </w:r>
      <w:r w:rsidRPr="00B64A89">
        <w:rPr>
          <w:rFonts w:hint="eastAsia"/>
          <w:lang w:eastAsia="ja-JP"/>
        </w:rPr>
        <w:t>Graduate School of Human Development and Environment, Kobe University, Tsurukabuto Nada-ku, Kobe 657</w:t>
      </w:r>
      <w:r w:rsidRPr="00B64A89">
        <w:rPr>
          <w:lang w:eastAsia="ja-JP"/>
        </w:rPr>
        <w:t>–</w:t>
      </w:r>
      <w:r w:rsidRPr="00B64A89">
        <w:rPr>
          <w:rFonts w:hint="eastAsia"/>
          <w:lang w:eastAsia="ja-JP"/>
        </w:rPr>
        <w:t xml:space="preserve">8501, Japan </w:t>
      </w:r>
    </w:p>
    <w:p w14:paraId="688D8D66" w14:textId="21DAA5E7" w:rsidR="009A0487" w:rsidRPr="00B64A89" w:rsidRDefault="00391F1E">
      <w:pPr>
        <w:pStyle w:val="E-mail"/>
        <w:rPr>
          <w:lang w:eastAsia="ja-JP"/>
        </w:rPr>
      </w:pPr>
      <w:hyperlink r:id="rId8" w:history="1">
        <w:r w:rsidR="00FE5FDA" w:rsidRPr="00B64A89">
          <w:rPr>
            <w:rStyle w:val="Hyperlink"/>
            <w:rFonts w:hint="eastAsia"/>
            <w:color w:val="auto"/>
            <w:lang w:eastAsia="ja-JP"/>
          </w:rPr>
          <w:t>marlina@setiabudi.ac.id</w:t>
        </w:r>
      </w:hyperlink>
    </w:p>
    <w:p w14:paraId="19766BA2" w14:textId="77777777" w:rsidR="00B73C81" w:rsidRPr="00B64A89" w:rsidRDefault="009A0487" w:rsidP="00041D4A">
      <w:pPr>
        <w:pStyle w:val="Abstract"/>
        <w:rPr>
          <w:color w:val="auto"/>
          <w:lang w:eastAsia="ja-JP"/>
        </w:rPr>
      </w:pPr>
      <w:commentRangeStart w:id="0"/>
      <w:r w:rsidRPr="00B64A89">
        <w:rPr>
          <w:b/>
          <w:color w:val="auto"/>
        </w:rPr>
        <w:t>Abstract</w:t>
      </w:r>
      <w:commentRangeEnd w:id="0"/>
      <w:r w:rsidR="00243BFB">
        <w:rPr>
          <w:rStyle w:val="CommentReference"/>
          <w:color w:val="auto"/>
        </w:rPr>
        <w:commentReference w:id="0"/>
      </w:r>
      <w:r w:rsidRPr="00B64A89">
        <w:rPr>
          <w:color w:val="auto"/>
        </w:rPr>
        <w:t xml:space="preserve">. </w:t>
      </w:r>
      <w:r w:rsidR="00B73C81" w:rsidRPr="00B64A89">
        <w:rPr>
          <w:rFonts w:hint="eastAsia"/>
          <w:color w:val="auto"/>
          <w:lang w:eastAsia="ja-JP"/>
        </w:rPr>
        <w:t>Various ratio combinations of polyethelene glycol (PEG)/</w:t>
      </w:r>
      <w:r w:rsidR="00B73C81" w:rsidRPr="00B64A89">
        <w:rPr>
          <w:color w:val="auto"/>
          <w:lang w:eastAsia="ja-JP"/>
        </w:rPr>
        <w:t>cellulose</w:t>
      </w:r>
      <w:r w:rsidR="00B73C81" w:rsidRPr="00B64A89">
        <w:rPr>
          <w:rFonts w:hint="eastAsia"/>
          <w:color w:val="auto"/>
          <w:lang w:eastAsia="ja-JP"/>
        </w:rPr>
        <w:t xml:space="preserve"> acetate butyrate (CAB) were investigated by Raman spectroscopy in order to understand their crystalline structure conformation</w:t>
      </w:r>
      <w:r w:rsidR="00065A76" w:rsidRPr="00B64A89">
        <w:rPr>
          <w:rFonts w:hint="eastAsia"/>
          <w:color w:val="auto"/>
          <w:lang w:eastAsia="ja-JP"/>
        </w:rPr>
        <w:t>s</w:t>
      </w:r>
      <w:r w:rsidR="00B73C81" w:rsidRPr="00B64A89">
        <w:rPr>
          <w:rFonts w:hint="eastAsia"/>
          <w:color w:val="auto"/>
          <w:lang w:eastAsia="ja-JP"/>
        </w:rPr>
        <w:t>. PEG/CAB spectral</w:t>
      </w:r>
      <w:r w:rsidR="006C6E12" w:rsidRPr="00B64A89">
        <w:rPr>
          <w:rFonts w:hint="eastAsia"/>
          <w:color w:val="auto"/>
          <w:lang w:eastAsia="ja-JP"/>
        </w:rPr>
        <w:t xml:space="preserve"> features due to the composition dependence revealed the gradual transformation from </w:t>
      </w:r>
      <w:r w:rsidR="007E0EB6" w:rsidRPr="00B64A89">
        <w:rPr>
          <w:rFonts w:hint="eastAsia"/>
          <w:color w:val="auto"/>
          <w:lang w:eastAsia="ja-JP"/>
        </w:rPr>
        <w:t xml:space="preserve">crystalline </w:t>
      </w:r>
      <w:r w:rsidR="006C6E12" w:rsidRPr="00B64A89">
        <w:rPr>
          <w:rFonts w:hint="eastAsia"/>
          <w:color w:val="auto"/>
          <w:lang w:eastAsia="ja-JP"/>
        </w:rPr>
        <w:t xml:space="preserve">PEG-like structure to the </w:t>
      </w:r>
      <w:r w:rsidR="007E0EB6" w:rsidRPr="00B64A89">
        <w:rPr>
          <w:rFonts w:hint="eastAsia"/>
          <w:color w:val="auto"/>
          <w:lang w:eastAsia="ja-JP"/>
        </w:rPr>
        <w:t xml:space="preserve">amorphous </w:t>
      </w:r>
      <w:r w:rsidR="006C6E12" w:rsidRPr="00B64A89">
        <w:rPr>
          <w:rFonts w:hint="eastAsia"/>
          <w:color w:val="auto"/>
          <w:lang w:eastAsia="ja-JP"/>
        </w:rPr>
        <w:t xml:space="preserve">CAB-like structure as increasing the ratio of CAB. </w:t>
      </w:r>
      <w:r w:rsidR="007E0EB6" w:rsidRPr="00B64A89">
        <w:rPr>
          <w:rFonts w:hint="eastAsia"/>
          <w:color w:val="auto"/>
          <w:lang w:eastAsia="ja-JP"/>
        </w:rPr>
        <w:t xml:space="preserve">Bands appeared in the </w:t>
      </w:r>
      <w:r w:rsidR="006C6E12" w:rsidRPr="00B64A89">
        <w:rPr>
          <w:rFonts w:hint="eastAsia"/>
          <w:color w:val="auto"/>
          <w:lang w:eastAsia="ja-JP"/>
        </w:rPr>
        <w:t>C-H stretching and C-H bending regions clearly exposed the transition</w:t>
      </w:r>
      <w:r w:rsidR="007E0EB6" w:rsidRPr="00B64A89">
        <w:rPr>
          <w:rFonts w:hint="eastAsia"/>
          <w:color w:val="auto"/>
          <w:lang w:eastAsia="ja-JP"/>
        </w:rPr>
        <w:t xml:space="preserve"> of the PEG to the CAB-spectral features with the transition</w:t>
      </w:r>
      <w:r w:rsidR="006C6E12" w:rsidRPr="00B64A89">
        <w:rPr>
          <w:rFonts w:hint="eastAsia"/>
          <w:color w:val="auto"/>
          <w:lang w:eastAsia="ja-JP"/>
        </w:rPr>
        <w:t xml:space="preserve"> point at about PEG/CAB (30/70). Band at 1737 cm</w:t>
      </w:r>
      <w:r w:rsidR="006C6E12" w:rsidRPr="00B64A89">
        <w:rPr>
          <w:rFonts w:hint="eastAsia"/>
          <w:color w:val="auto"/>
          <w:vertAlign w:val="superscript"/>
          <w:lang w:eastAsia="ja-JP"/>
        </w:rPr>
        <w:t>-1</w:t>
      </w:r>
      <w:r w:rsidR="006C6E12" w:rsidRPr="00B64A89">
        <w:rPr>
          <w:rFonts w:hint="eastAsia"/>
          <w:color w:val="auto"/>
          <w:lang w:eastAsia="ja-JP"/>
        </w:rPr>
        <w:t xml:space="preserve"> in the C=O stretching </w:t>
      </w:r>
      <w:r w:rsidR="007E0EB6" w:rsidRPr="00B64A89">
        <w:rPr>
          <w:rFonts w:hint="eastAsia"/>
          <w:color w:val="auto"/>
          <w:lang w:eastAsia="ja-JP"/>
        </w:rPr>
        <w:t>region</w:t>
      </w:r>
      <w:r w:rsidR="006C6E12" w:rsidRPr="00B64A89">
        <w:rPr>
          <w:rFonts w:hint="eastAsia"/>
          <w:color w:val="auto"/>
          <w:lang w:eastAsia="ja-JP"/>
        </w:rPr>
        <w:t xml:space="preserve"> describe</w:t>
      </w:r>
      <w:r w:rsidR="00065A76" w:rsidRPr="00B64A89">
        <w:rPr>
          <w:rFonts w:hint="eastAsia"/>
          <w:color w:val="auto"/>
          <w:lang w:eastAsia="ja-JP"/>
        </w:rPr>
        <w:t>d</w:t>
      </w:r>
      <w:r w:rsidR="006C6E12" w:rsidRPr="00B64A89">
        <w:rPr>
          <w:rFonts w:hint="eastAsia"/>
          <w:color w:val="auto"/>
          <w:lang w:eastAsia="ja-JP"/>
        </w:rPr>
        <w:t xml:space="preserve"> the </w:t>
      </w:r>
      <w:r w:rsidR="007E0EB6" w:rsidRPr="00B64A89">
        <w:rPr>
          <w:rFonts w:hint="eastAsia"/>
          <w:color w:val="auto"/>
          <w:lang w:eastAsia="ja-JP"/>
        </w:rPr>
        <w:t xml:space="preserve">existence of a very weak </w:t>
      </w:r>
      <w:r w:rsidR="006C6E12" w:rsidRPr="00B64A89">
        <w:rPr>
          <w:rFonts w:hint="eastAsia"/>
          <w:color w:val="auto"/>
          <w:lang w:eastAsia="ja-JP"/>
        </w:rPr>
        <w:t xml:space="preserve">hydrogen bond </w:t>
      </w:r>
      <w:r w:rsidR="00324C80" w:rsidRPr="00B64A89">
        <w:rPr>
          <w:rFonts w:hint="eastAsia"/>
          <w:color w:val="auto"/>
          <w:lang w:eastAsia="ja-JP"/>
        </w:rPr>
        <w:t xml:space="preserve">arise </w:t>
      </w:r>
      <w:r w:rsidR="006C6E12" w:rsidRPr="00B64A89">
        <w:rPr>
          <w:rFonts w:hint="eastAsia"/>
          <w:color w:val="auto"/>
          <w:lang w:eastAsia="ja-JP"/>
        </w:rPr>
        <w:t xml:space="preserve">between </w:t>
      </w:r>
      <w:r w:rsidR="007E0EB6" w:rsidRPr="00B64A89">
        <w:rPr>
          <w:rFonts w:hint="eastAsia"/>
          <w:color w:val="auto"/>
          <w:lang w:eastAsia="ja-JP"/>
        </w:rPr>
        <w:t xml:space="preserve">PEG and CAB. </w:t>
      </w:r>
      <w:r w:rsidR="00695A9F" w:rsidRPr="00B64A89">
        <w:rPr>
          <w:color w:val="auto"/>
          <w:lang w:eastAsia="ja-JP"/>
        </w:rPr>
        <w:t>I</w:t>
      </w:r>
      <w:r w:rsidR="00695A9F" w:rsidRPr="00B64A89">
        <w:rPr>
          <w:rFonts w:hint="eastAsia"/>
          <w:color w:val="auto"/>
          <w:lang w:eastAsia="ja-JP"/>
        </w:rPr>
        <w:t xml:space="preserve">n the C-O-C region, the drastic spectral change suggested that the </w:t>
      </w:r>
      <w:r w:rsidR="00695A9F" w:rsidRPr="00B64A89">
        <w:rPr>
          <w:color w:val="auto"/>
          <w:lang w:eastAsia="ja-JP"/>
        </w:rPr>
        <w:t>hydrogen</w:t>
      </w:r>
      <w:r w:rsidR="00695A9F" w:rsidRPr="00B64A89">
        <w:rPr>
          <w:rFonts w:hint="eastAsia"/>
          <w:color w:val="auto"/>
          <w:lang w:eastAsia="ja-JP"/>
        </w:rPr>
        <w:t xml:space="preserve"> bond interaction </w:t>
      </w:r>
      <w:r w:rsidR="00065A76" w:rsidRPr="00B64A89">
        <w:rPr>
          <w:rFonts w:hint="eastAsia"/>
          <w:color w:val="auto"/>
          <w:lang w:eastAsia="ja-JP"/>
        </w:rPr>
        <w:t xml:space="preserve">takes place in the back bone of PEG. </w:t>
      </w:r>
      <w:r w:rsidR="00695A9F" w:rsidRPr="00B64A89">
        <w:rPr>
          <w:rFonts w:hint="eastAsia"/>
          <w:color w:val="auto"/>
          <w:lang w:eastAsia="ja-JP"/>
        </w:rPr>
        <w:t xml:space="preserve"> </w:t>
      </w:r>
    </w:p>
    <w:p w14:paraId="6F0BD6B4" w14:textId="77777777" w:rsidR="009A0487" w:rsidRPr="00B64A89" w:rsidRDefault="00487388">
      <w:pPr>
        <w:pStyle w:val="Section"/>
        <w:rPr>
          <w:color w:val="auto"/>
          <w:lang w:eastAsia="ja-JP"/>
        </w:rPr>
      </w:pPr>
      <w:r w:rsidRPr="00B64A89">
        <w:rPr>
          <w:rFonts w:hint="eastAsia"/>
          <w:color w:val="auto"/>
          <w:lang w:eastAsia="ja-JP"/>
        </w:rPr>
        <w:t>Introduction</w:t>
      </w:r>
    </w:p>
    <w:p w14:paraId="3438A1B7" w14:textId="77777777" w:rsidR="00065A76" w:rsidRPr="00B64A89" w:rsidRDefault="000B3969" w:rsidP="00065A76">
      <w:pPr>
        <w:pStyle w:val="Bodytext"/>
        <w:rPr>
          <w:color w:val="auto"/>
          <w:lang w:eastAsia="ja-JP"/>
        </w:rPr>
      </w:pPr>
      <w:r w:rsidRPr="00B64A89">
        <w:rPr>
          <w:color w:val="auto"/>
          <w:lang w:eastAsia="ja-JP"/>
        </w:rPr>
        <w:t>I</w:t>
      </w:r>
      <w:r w:rsidRPr="00B64A89">
        <w:rPr>
          <w:rFonts w:hint="eastAsia"/>
          <w:color w:val="auto"/>
          <w:lang w:eastAsia="ja-JP"/>
        </w:rPr>
        <w:t xml:space="preserve">n the development of new biopolymer materials, blending technique of natural polymers has received considerable interest. It is one of the most simple and inexpensive </w:t>
      </w:r>
      <w:r w:rsidRPr="00B64A89">
        <w:rPr>
          <w:color w:val="auto"/>
          <w:lang w:eastAsia="ja-JP"/>
        </w:rPr>
        <w:t>approaches</w:t>
      </w:r>
      <w:r w:rsidRPr="00B64A89">
        <w:rPr>
          <w:rFonts w:hint="eastAsia"/>
          <w:color w:val="auto"/>
          <w:lang w:eastAsia="ja-JP"/>
        </w:rPr>
        <w:t xml:space="preserve"> for </w:t>
      </w:r>
      <w:r w:rsidRPr="00B64A89">
        <w:rPr>
          <w:color w:val="auto"/>
          <w:lang w:eastAsia="ja-JP"/>
        </w:rPr>
        <w:t>producing</w:t>
      </w:r>
      <w:r w:rsidRPr="00B64A89">
        <w:rPr>
          <w:rFonts w:hint="eastAsia"/>
          <w:color w:val="auto"/>
          <w:lang w:eastAsia="ja-JP"/>
        </w:rPr>
        <w:t xml:space="preserve"> new polymer material </w:t>
      </w:r>
      <w:r w:rsidR="007F3706" w:rsidRPr="00B64A89">
        <w:rPr>
          <w:rFonts w:hint="eastAsia"/>
          <w:color w:val="auto"/>
          <w:lang w:eastAsia="ja-JP"/>
        </w:rPr>
        <w:t>with</w:t>
      </w:r>
      <w:r w:rsidRPr="00B64A89">
        <w:rPr>
          <w:rFonts w:hint="eastAsia"/>
          <w:color w:val="auto"/>
          <w:lang w:eastAsia="ja-JP"/>
        </w:rPr>
        <w:t xml:space="preserve"> </w:t>
      </w:r>
      <w:r w:rsidR="00C86B92" w:rsidRPr="00B64A89">
        <w:rPr>
          <w:rFonts w:hint="eastAsia"/>
          <w:color w:val="auto"/>
          <w:lang w:eastAsia="ja-JP"/>
        </w:rPr>
        <w:t>unique and attractive properties</w:t>
      </w:r>
      <w:r w:rsidRPr="00B64A89">
        <w:rPr>
          <w:rFonts w:hint="eastAsia"/>
          <w:color w:val="auto"/>
          <w:lang w:eastAsia="ja-JP"/>
        </w:rPr>
        <w:t xml:space="preserve"> based on the characteristic of two or more polymers</w:t>
      </w:r>
      <w:r w:rsidR="00065A76" w:rsidRPr="00B64A89">
        <w:rPr>
          <w:rFonts w:hint="eastAsia"/>
          <w:color w:val="auto"/>
          <w:lang w:eastAsia="ja-JP"/>
        </w:rPr>
        <w:t xml:space="preserve"> </w:t>
      </w:r>
      <w:r w:rsidR="00C86B92" w:rsidRPr="00B64A89">
        <w:rPr>
          <w:color w:val="auto"/>
          <w:lang w:eastAsia="ja-JP"/>
        </w:rPr>
        <w:fldChar w:fldCharType="begin" w:fldLock="1"/>
      </w:r>
      <w:r w:rsidR="007F3706" w:rsidRPr="00B64A89">
        <w:rPr>
          <w:color w:val="auto"/>
          <w:lang w:eastAsia="ja-JP"/>
        </w:rPr>
        <w:instrText>ADDIN CSL_CITATION {"citationItems":[{"id":"ITEM-1","itemData":{"DOI":"10.1016/j.progpolymsci.2005.06.001","ISSN":"00796700","abstract":"Polymer blends offer mechanical and thermodynamic properties which are both unique and attractive for many industrial applications. Practical use requires blends which are partially or completely miscible and so a theoretical means of predicting such behaviour is desirable. Our recent work in applying the lattice Born-Green-Yvon (BGY) theory to a variety of experimental data, including coexistence curves, neutron scattering intensities, and pressure-volume-temperature surfaces, has allowed us to better understand some of the correlations between the microscopic structure and macroscopic behaviour of several common polymer mixtures. In this paper, we test the predictive capability of lattice BGY theory and the transferability of the predictions which the theory makes. We then look at correlations between the values of the microscopic parameters which characterize the blend and its constituents, and the nature and strength of the interaction(s) between the components in the blend. © 2005 Elsevier Ltd. All rights reserved.","author":[{"dropping-particle":"","family":"Higgins","given":"Julia S.","non-dropping-particle":"","parse-names":false,"suffix":""},{"dropping-particle":"","family":"Tambasco","given":"Michael","non-dropping-particle":"","parse-names":false,"suffix":""},{"dropping-particle":"","family":"Lipson","given":"Jane E.G.","non-dropping-particle":"","parse-names":false,"suffix":""}],"container-title":"Progress in Polymer Science (Oxford)","id":"ITEM-1","issued":{"date-parts":[["2005"]]},"title":"Polymer blends; Stretching what we can learn through the combination of experiment and theory","type":"paper-conference"},"uris":["http://www.mendeley.com/documents/?uuid=9a8a24bf-18fa-4756-a3a7-8c36f0c8df95"]}],"mendeley":{"formattedCitation":"[1]","plainTextFormattedCitation":"[1]","previouslyFormattedCitation":"[1]"},"properties":{"noteIndex":0},"schema":"https://github.com/citation-style-language/schema/raw/master/csl-citation.json"}</w:instrText>
      </w:r>
      <w:r w:rsidR="00C86B92" w:rsidRPr="00B64A89">
        <w:rPr>
          <w:color w:val="auto"/>
          <w:lang w:eastAsia="ja-JP"/>
        </w:rPr>
        <w:fldChar w:fldCharType="separate"/>
      </w:r>
      <w:r w:rsidR="00C86B92" w:rsidRPr="00B64A89">
        <w:rPr>
          <w:noProof/>
          <w:color w:val="auto"/>
          <w:lang w:eastAsia="ja-JP"/>
        </w:rPr>
        <w:t>[1]</w:t>
      </w:r>
      <w:r w:rsidR="00C86B92" w:rsidRPr="00B64A89">
        <w:rPr>
          <w:color w:val="auto"/>
          <w:lang w:eastAsia="ja-JP"/>
        </w:rPr>
        <w:fldChar w:fldCharType="end"/>
      </w:r>
      <w:r w:rsidR="00C86B92" w:rsidRPr="00B64A89">
        <w:rPr>
          <w:rFonts w:hint="eastAsia"/>
          <w:color w:val="auto"/>
          <w:lang w:eastAsia="ja-JP"/>
        </w:rPr>
        <w:t xml:space="preserve">. </w:t>
      </w:r>
      <w:r w:rsidR="007F3706" w:rsidRPr="00B64A89">
        <w:rPr>
          <w:rFonts w:hint="eastAsia"/>
          <w:color w:val="auto"/>
          <w:lang w:eastAsia="ja-JP"/>
        </w:rPr>
        <w:t xml:space="preserve">Polyethylene glycol </w:t>
      </w:r>
      <w:r w:rsidR="00FF1EB3" w:rsidRPr="00B64A89">
        <w:rPr>
          <w:rFonts w:hint="eastAsia"/>
          <w:color w:val="auto"/>
          <w:lang w:eastAsia="ja-JP"/>
        </w:rPr>
        <w:t>was</w:t>
      </w:r>
      <w:r w:rsidR="007F3706" w:rsidRPr="00B64A89">
        <w:rPr>
          <w:rFonts w:hint="eastAsia"/>
          <w:color w:val="auto"/>
          <w:lang w:eastAsia="ja-JP"/>
        </w:rPr>
        <w:t xml:space="preserve"> targeted in this study </w:t>
      </w:r>
      <w:r w:rsidR="00FF1EB3" w:rsidRPr="00B64A89">
        <w:rPr>
          <w:rFonts w:hint="eastAsia"/>
          <w:color w:val="auto"/>
          <w:lang w:eastAsia="ja-JP"/>
        </w:rPr>
        <w:t>as</w:t>
      </w:r>
      <w:r w:rsidR="007F3706" w:rsidRPr="00B64A89">
        <w:rPr>
          <w:rFonts w:hint="eastAsia"/>
          <w:color w:val="auto"/>
          <w:lang w:eastAsia="ja-JP"/>
        </w:rPr>
        <w:t xml:space="preserve"> it is one of the most commercially important polyether </w:t>
      </w:r>
      <w:r w:rsidR="00065A76" w:rsidRPr="00B64A89">
        <w:rPr>
          <w:rFonts w:hint="eastAsia"/>
          <w:color w:val="auto"/>
          <w:lang w:eastAsia="ja-JP"/>
        </w:rPr>
        <w:t>used for various applications</w:t>
      </w:r>
      <w:r w:rsidR="00FF1EB3" w:rsidRPr="00B64A89">
        <w:rPr>
          <w:rFonts w:hint="eastAsia"/>
          <w:color w:val="auto"/>
          <w:lang w:eastAsia="ja-JP"/>
        </w:rPr>
        <w:t xml:space="preserve"> </w:t>
      </w:r>
      <w:r w:rsidR="007F3706" w:rsidRPr="00B64A89">
        <w:rPr>
          <w:color w:val="auto"/>
          <w:lang w:eastAsia="ja-JP"/>
        </w:rPr>
        <w:fldChar w:fldCharType="begin" w:fldLock="1"/>
      </w:r>
      <w:r w:rsidR="00FF1EB3" w:rsidRPr="00B64A89">
        <w:rPr>
          <w:color w:val="auto"/>
          <w:lang w:eastAsia="ja-JP"/>
        </w:rPr>
        <w:instrText>ADDIN CSL_CITATION {"citationItems":[{"id":"ITEM-1","itemData":{"DOI":"10.1016/B978-0-12-386454-3.00050-6","ISBN":"9780123864543","abstract":"Polyethylene glycols (PEGs; Chemical Abstracts Service Registry Number 25322-68-3) are widely used in pharmaceutical, cosmetics, and food additive applications. They have a very low order of acute toxicity and irritancy to eyes and skin. PEGs do not readily penetrate intact skin, and only a few cases of sensitization have been reported, mainly involving patients whose skin was injured or chronically inflamed. The sensitizing potential of PEGs in healthy intact skin is minimal. PEGs have shown no carcinogenic, reproductive, or developmental effects in animal studies. PEGs do not readily biodegrade, but owing to their hydrophilicity, they have a low potential to bioaccumulate.","author":[{"dropping-particle":"","family":"Leung","given":"H. W.","non-dropping-particle":"","parse-names":false,"suffix":""}],"container-title":"Encyclopedia of Toxicology: Third Edition","id":"ITEM-1","issued":{"date-parts":[["2014"]]},"title":"Polyethylene Glycol","type":"chapter"},"uris":["http://www.mendeley.com/documents/?uuid=6d767908-9cf4-42ed-9840-f6daeb1b61ff"]}],"mendeley":{"formattedCitation":"[2]","plainTextFormattedCitation":"[2]","previouslyFormattedCitation":"[2]"},"properties":{"noteIndex":0},"schema":"https://github.com/citation-style-language/schema/raw/master/csl-citation.json"}</w:instrText>
      </w:r>
      <w:r w:rsidR="007F3706" w:rsidRPr="00B64A89">
        <w:rPr>
          <w:color w:val="auto"/>
          <w:lang w:eastAsia="ja-JP"/>
        </w:rPr>
        <w:fldChar w:fldCharType="separate"/>
      </w:r>
      <w:r w:rsidR="007F3706" w:rsidRPr="00B64A89">
        <w:rPr>
          <w:noProof/>
          <w:color w:val="auto"/>
          <w:lang w:eastAsia="ja-JP"/>
        </w:rPr>
        <w:t>[2]</w:t>
      </w:r>
      <w:r w:rsidR="007F3706" w:rsidRPr="00B64A89">
        <w:rPr>
          <w:color w:val="auto"/>
          <w:lang w:eastAsia="ja-JP"/>
        </w:rPr>
        <w:fldChar w:fldCharType="end"/>
      </w:r>
      <w:r w:rsidR="00FF1EB3" w:rsidRPr="00B64A89">
        <w:rPr>
          <w:rFonts w:hint="eastAsia"/>
          <w:color w:val="auto"/>
          <w:lang w:eastAsia="ja-JP"/>
        </w:rPr>
        <w:t>.</w:t>
      </w:r>
      <w:r w:rsidR="008149A2" w:rsidRPr="00B64A89">
        <w:rPr>
          <w:rFonts w:hint="eastAsia"/>
          <w:color w:val="auto"/>
          <w:lang w:eastAsia="ja-JP"/>
        </w:rPr>
        <w:t xml:space="preserve"> Moreover, </w:t>
      </w:r>
      <w:r w:rsidR="008149A2" w:rsidRPr="00B64A89">
        <w:rPr>
          <w:color w:val="auto"/>
          <w:lang w:eastAsia="ja-JP"/>
        </w:rPr>
        <w:t>the development of the PEG polymer blend is still very popular</w:t>
      </w:r>
      <w:r w:rsidR="008149A2" w:rsidRPr="00B64A89">
        <w:rPr>
          <w:rFonts w:hint="eastAsia"/>
          <w:color w:val="auto"/>
          <w:lang w:eastAsia="ja-JP"/>
        </w:rPr>
        <w:t xml:space="preserve">. PEG has been </w:t>
      </w:r>
      <w:r w:rsidR="008149A2" w:rsidRPr="00B64A89">
        <w:rPr>
          <w:color w:val="auto"/>
          <w:lang w:eastAsia="ja-JP"/>
        </w:rPr>
        <w:t>successfully</w:t>
      </w:r>
      <w:r w:rsidR="008149A2" w:rsidRPr="00B64A89">
        <w:rPr>
          <w:rFonts w:hint="eastAsia"/>
          <w:color w:val="auto"/>
          <w:lang w:eastAsia="ja-JP"/>
        </w:rPr>
        <w:t xml:space="preserve"> blended with several polymers such as poly(lactide)</w:t>
      </w:r>
      <w:r w:rsidR="00772D30" w:rsidRPr="00B64A89">
        <w:rPr>
          <w:rFonts w:hint="eastAsia"/>
          <w:color w:val="auto"/>
          <w:lang w:eastAsia="ja-JP"/>
        </w:rPr>
        <w:t xml:space="preserve"> (PLA)</w:t>
      </w:r>
      <w:r w:rsidR="008149A2" w:rsidRPr="00B64A89">
        <w:rPr>
          <w:rFonts w:hint="eastAsia"/>
          <w:color w:val="auto"/>
          <w:lang w:eastAsia="ja-JP"/>
        </w:rPr>
        <w:t xml:space="preserve"> </w:t>
      </w:r>
      <w:r w:rsidR="008149A2" w:rsidRPr="00B64A89">
        <w:rPr>
          <w:color w:val="auto"/>
          <w:lang w:eastAsia="ja-JP"/>
        </w:rPr>
        <w:fldChar w:fldCharType="begin" w:fldLock="1"/>
      </w:r>
      <w:r w:rsidR="00772D30" w:rsidRPr="00B64A89">
        <w:rPr>
          <w:color w:val="auto"/>
          <w:lang w:eastAsia="ja-JP"/>
        </w:rPr>
        <w:instrText>ADDIN CSL_CITATION {"citationItems":[{"id":"ITEM-1","itemData":{"DOI":"10.1016/S0032-3861(03)00609-8","ISBN":"0032-3861","ISSN":"00323861","abstract":"The effect of cooling rate on crystallization and subsequent aging of high stereoregular poly(lactide) (PLA) blended with poly(ethylene glycol) (PEG) was studied by thermal analysis and by direct observation of the solid state structure with atomic force microscopy (AFM). Blending with PEG accelerated crystallization of PLA. When a PLA/PEG 70/30 (wt/wt) blend was slowly cooled from the melt, PLA crystallized first as large spherulites followed by crystallization of PEG. The extent of PLA crystallization depended on the cooling rate, however, for a given blend composition the PEG crystallinity was proportional to PLA crystallinity. The partially crystallized blend obtained with a cooling rate of 30°C min-1consisted of large spherulites dispersed in a homogeneous matrix. The blend was not stable at ambient temperature. With time, epitaxial crystallization of PEG on the edges of the spherulites depleted the surrounding region of PEG, which created a vitrified region surrounding the spherulites. Further from the spherulites, the homogeneous amorphous phase underwent phase separation with formation of a more rigid PLA-rich phase and a less-rigid PEG-rich phase. Decreasing the amount of PEG in the blend decreased the crystallization rate of PLA and increased the nucleation density. The amount of PLA crystallinity did not depend on blend composition, however, PEG crystallinity decreased to the extent that PEG did not crystallize in a PLA/PEG 90/10 (wt/wt) blend. © 2003 Elsevier Ltd. All rights reserved.","author":[{"dropping-particle":"","family":"Hu","given":"Y.","non-dropping-particle":"","parse-names":false,"suffix":""},{"dropping-particle":"","family":"Hu","given":"Y. S.","non-dropping-particle":"","parse-names":false,"suffix":""},{"dropping-particle":"","family":"Topolkaraev","given":"V.","non-dropping-particle":"","parse-names":false,"suffix":""},{"dropping-particle":"","family":"Hiltner","given":"A.","non-dropping-particle":"","parse-names":false,"suffix":""},{"dropping-particle":"","family":"Baer","given":"E.","non-dropping-particle":"","parse-names":false,"suffix":""}],"container-title":"Polymer","id":"ITEM-1","issue":"19","issued":{"date-parts":[["2003"]]},"page":"5681-5689","title":"Crystallization and phase separation in blends of high stereoregular poly(lactide) with poly(ethylene glycol)","type":"article-journal","volume":"44"},"uris":["http://www.mendeley.com/documents/?uuid=2ac2a262-af43-48df-b318-7f7339cd92d2"]}],"mendeley":{"formattedCitation":"[3]","plainTextFormattedCitation":"[3]","previouslyFormattedCitation":"[3]"},"properties":{"noteIndex":0},"schema":"https://github.com/citation-style-language/schema/raw/master/csl-citation.json"}</w:instrText>
      </w:r>
      <w:r w:rsidR="008149A2" w:rsidRPr="00B64A89">
        <w:rPr>
          <w:color w:val="auto"/>
          <w:lang w:eastAsia="ja-JP"/>
        </w:rPr>
        <w:fldChar w:fldCharType="separate"/>
      </w:r>
      <w:r w:rsidR="008149A2" w:rsidRPr="00B64A89">
        <w:rPr>
          <w:noProof/>
          <w:color w:val="auto"/>
          <w:lang w:eastAsia="ja-JP"/>
        </w:rPr>
        <w:t>[3]</w:t>
      </w:r>
      <w:r w:rsidR="008149A2" w:rsidRPr="00B64A89">
        <w:rPr>
          <w:color w:val="auto"/>
          <w:lang w:eastAsia="ja-JP"/>
        </w:rPr>
        <w:fldChar w:fldCharType="end"/>
      </w:r>
      <w:r w:rsidR="008149A2" w:rsidRPr="00B64A89">
        <w:rPr>
          <w:rFonts w:hint="eastAsia"/>
          <w:color w:val="auto"/>
          <w:lang w:eastAsia="ja-JP"/>
        </w:rPr>
        <w:t>, poly</w:t>
      </w:r>
      <w:r w:rsidR="00772D30" w:rsidRPr="00B64A89">
        <w:rPr>
          <w:rFonts w:hint="eastAsia"/>
          <w:color w:val="auto"/>
          <w:lang w:eastAsia="ja-JP"/>
        </w:rPr>
        <w:t>(</w:t>
      </w:r>
      <w:r w:rsidR="00772D30" w:rsidRPr="00B64A89">
        <w:rPr>
          <w:rFonts w:cs="Times"/>
          <w:color w:val="auto"/>
          <w:lang w:eastAsia="ja-JP"/>
        </w:rPr>
        <w:t>ε</w:t>
      </w:r>
      <w:r w:rsidR="00772D30" w:rsidRPr="00B64A89">
        <w:rPr>
          <w:rFonts w:cs="Times" w:hint="eastAsia"/>
          <w:color w:val="auto"/>
          <w:lang w:eastAsia="ja-JP"/>
        </w:rPr>
        <w:t>-caprolactone</w:t>
      </w:r>
      <w:r w:rsidR="00772D30" w:rsidRPr="00B64A89">
        <w:rPr>
          <w:rFonts w:hint="eastAsia"/>
          <w:color w:val="auto"/>
          <w:lang w:eastAsia="ja-JP"/>
        </w:rPr>
        <w:t xml:space="preserve">) (PCL) </w:t>
      </w:r>
      <w:r w:rsidR="00772D30" w:rsidRPr="00B64A89">
        <w:rPr>
          <w:color w:val="auto"/>
          <w:lang w:eastAsia="ja-JP"/>
        </w:rPr>
        <w:fldChar w:fldCharType="begin" w:fldLock="1"/>
      </w:r>
      <w:r w:rsidR="00772D30" w:rsidRPr="00B64A89">
        <w:rPr>
          <w:color w:val="auto"/>
          <w:lang w:eastAsia="ja-JP"/>
        </w:rPr>
        <w:instrText>ADDIN CSL_CITATION {"citationItems":[{"id":"ITEM-1","itemData":{"DOI":"10.1134/S0965545X16020139","ISSN":"0965-545X","author":[{"dropping-particle":"","family":"Luo","given":"Chunyan","non-dropping-particle":"","parse-names":false,"suffix":""},{"dropping-particle":"","family":"Chen","given":"Weixing","non-dropping-particle":"","parse-names":false,"suffix":""},{"dropping-particle":"","family":"Gao","given":"Ying","non-dropping-particle":"","parse-names":false,"suffix":""}],"container-title":"Polymer Science Series A","id":"ITEM-1","issue":"2","issued":{"date-parts":[["2016"]]},"page":"196-205","title":"Fractional crystallization behavior of PCL and PEG in blends","type":"article-journal","volume":"58"},"uris":["http://www.mendeley.com/documents/?uuid=e0bfc2a3-5f64-41e2-82be-5d65f87b0024"]}],"mendeley":{"formattedCitation":"[4]","plainTextFormattedCitation":"[4]","previouslyFormattedCitation":"[4]"},"properties":{"noteIndex":0},"schema":"https://github.com/citation-style-language/schema/raw/master/csl-citation.json"}</w:instrText>
      </w:r>
      <w:r w:rsidR="00772D30" w:rsidRPr="00B64A89">
        <w:rPr>
          <w:color w:val="auto"/>
          <w:lang w:eastAsia="ja-JP"/>
        </w:rPr>
        <w:fldChar w:fldCharType="separate"/>
      </w:r>
      <w:r w:rsidR="00772D30" w:rsidRPr="00B64A89">
        <w:rPr>
          <w:noProof/>
          <w:color w:val="auto"/>
          <w:lang w:eastAsia="ja-JP"/>
        </w:rPr>
        <w:t>[4]</w:t>
      </w:r>
      <w:r w:rsidR="00772D30" w:rsidRPr="00B64A89">
        <w:rPr>
          <w:color w:val="auto"/>
          <w:lang w:eastAsia="ja-JP"/>
        </w:rPr>
        <w:fldChar w:fldCharType="end"/>
      </w:r>
      <w:r w:rsidR="00772D30" w:rsidRPr="00B64A89">
        <w:rPr>
          <w:rFonts w:hint="eastAsia"/>
          <w:color w:val="auto"/>
          <w:lang w:eastAsia="ja-JP"/>
        </w:rPr>
        <w:t>, poly(</w:t>
      </w:r>
      <w:r w:rsidR="00772D30" w:rsidRPr="00B64A89">
        <w:rPr>
          <w:rFonts w:cs="Times"/>
          <w:color w:val="auto"/>
          <w:lang w:eastAsia="ja-JP"/>
        </w:rPr>
        <w:t>ρ</w:t>
      </w:r>
      <w:r w:rsidR="00772D30" w:rsidRPr="00B64A89">
        <w:rPr>
          <w:rFonts w:hint="eastAsia"/>
          <w:color w:val="auto"/>
          <w:lang w:eastAsia="ja-JP"/>
        </w:rPr>
        <w:t xml:space="preserve">-dioxanone) (PPDO) </w:t>
      </w:r>
      <w:r w:rsidR="00772D30" w:rsidRPr="00B64A89">
        <w:rPr>
          <w:color w:val="auto"/>
          <w:lang w:eastAsia="ja-JP"/>
        </w:rPr>
        <w:fldChar w:fldCharType="begin" w:fldLock="1"/>
      </w:r>
      <w:r w:rsidR="007973F9" w:rsidRPr="00B64A89">
        <w:rPr>
          <w:color w:val="auto"/>
          <w:lang w:eastAsia="ja-JP"/>
        </w:rPr>
        <w:instrText>ADDIN CSL_CITATION {"citationItems":[{"id":"ITEM-1","itemData":{"DOI":"10.1016/j.eurpolymj.2004.12.018","ISSN":"00143057","abstract":"A new biodegradable polymer system, poly(p-dioxanone) (PPDO)/poly(ethylene glycol) (PEG) blend was prepared by a solvent casting method using chloroform as a co-solvent. The PPDO/PEG blends have different weight ratios of 95/5, 90/10, 80/20 and 70/30. Crystallization of homopolymers and blends were investigated by differential scanning calorimetry (DSC) and wide-angle X-ray diffraction (WAXD). When 5% of PEG was blended, the crystallization exothermal peaks (Tc) of PPDO increased sharply and the crystallization exothermal peaks (Tc) of PEG decreased slightly compared with the homopolymers. The crystallization rates of both components increased, and caused greater relative crystallization degree (Xt%). But when the content of PEG was more than 5%, the crystalline behaviors of blends had no more significant changes accordingly. The melting points of each sample varied little over the entire composition range in this study. The nonisothermal crystallization of PPDO homopolymer and blend (PPDO/PEG = 70/30) were also studied by DSC. The crystallization began at a higher temperature when the cooling rates were slower. The nonisothermal crystallization kinetics of blends was analyzed by Ozawa equation. The results showed that the Ozawa equation failed to describe the whole crystallization of the blend, but Mo equation could depict the nonisothermal crystallization perfectly. © 2005 Elsevier Ltd. All rights reserved.","author":[{"dropping-particle":"","family":"Zheng","given":"Li","non-dropping-particle":"","parse-names":false,"suffix":""},{"dropping-particle":"","family":"Wang","given":"Yu Zhong","non-dropping-particle":"","parse-names":false,"suffix":""},{"dropping-particle":"","family":"Yang","given":"Ke Ke","non-dropping-particle":"","parse-names":false,"suffix":""},{"dropping-particle":"","family":"Wang","given":"Xiu Li","non-dropping-particle":"","parse-names":false,"suffix":""},{"dropping-particle":"","family":"Chen","given":"Si Chong","non-dropping-particle":"","parse-names":false,"suffix":""},{"dropping-particle":"","family":"Li","given":"Jun","non-dropping-particle":"","parse-names":false,"suffix":""}],"container-title":"European Polymer Journal","id":"ITEM-1","issue":"6","issued":{"date-parts":[["2005"]]},"page":"1243-1250","title":"Effect of PEG on the crystallization of PPDO/PEG blends","type":"article-journal","volume":"41"},"uris":["http://www.mendeley.com/documents/?uuid=f25866a5-a364-4aec-a5cd-974fc17793ab"]}],"mendeley":{"formattedCitation":"[5]","plainTextFormattedCitation":"[5]","previouslyFormattedCitation":"[5]"},"properties":{"noteIndex":0},"schema":"https://github.com/citation-style-language/schema/raw/master/csl-citation.json"}</w:instrText>
      </w:r>
      <w:r w:rsidR="00772D30" w:rsidRPr="00B64A89">
        <w:rPr>
          <w:color w:val="auto"/>
          <w:lang w:eastAsia="ja-JP"/>
        </w:rPr>
        <w:fldChar w:fldCharType="separate"/>
      </w:r>
      <w:r w:rsidR="00772D30" w:rsidRPr="00B64A89">
        <w:rPr>
          <w:noProof/>
          <w:color w:val="auto"/>
          <w:lang w:eastAsia="ja-JP"/>
        </w:rPr>
        <w:t>[5]</w:t>
      </w:r>
      <w:r w:rsidR="00772D30" w:rsidRPr="00B64A89">
        <w:rPr>
          <w:color w:val="auto"/>
          <w:lang w:eastAsia="ja-JP"/>
        </w:rPr>
        <w:fldChar w:fldCharType="end"/>
      </w:r>
      <w:r w:rsidR="007973F9" w:rsidRPr="00B64A89">
        <w:rPr>
          <w:rFonts w:hint="eastAsia"/>
          <w:color w:val="auto"/>
          <w:lang w:eastAsia="ja-JP"/>
        </w:rPr>
        <w:t xml:space="preserve">, and poly(3-hydroxybutyrate) (PHB) </w:t>
      </w:r>
      <w:r w:rsidR="007973F9" w:rsidRPr="00B64A89">
        <w:rPr>
          <w:color w:val="auto"/>
          <w:lang w:eastAsia="ja-JP"/>
        </w:rPr>
        <w:fldChar w:fldCharType="begin" w:fldLock="1"/>
      </w:r>
      <w:r w:rsidR="004A481B" w:rsidRPr="00B64A89">
        <w:rPr>
          <w:color w:val="auto"/>
          <w:lang w:eastAsia="ja-JP"/>
        </w:rPr>
        <w:instrText>ADDIN CSL_CITATION {"citationItems":[{"id":"ITEM-1","itemData":{"DOI":"10.1016/j.polymer.2010.11.021","ISBN":"0032-3861","ISSN":"00323861","abstract":"Relationships between composition- and temperature-dependent intermolecular interactions and cold crystallization behaviors of poly(3-hydroxybutyrate) (PHB)/ cellulose acetate butyrate (CAB) blends have been investigated mainly by infrared (IR) spectroscopy, together with differential scanning calorimetry, and wide-angle X-ray diffraction (WAXD). Weak intermolecular hydrogen bondings between OH groups in CAB and CO groups in amorphous part of PHB define as inter were detected in OH stretching bands of the blends. These interactions occur in the blends with high CAB content (wCAB) and highly depend on temperature. For all the blends having 0.2 ≤ wCAB≤ 0.7, when temperature is raised (e.g., above 90 °C for the blend with wCAB= 0.5) the cold crystallization of PHB was discerned, as evidenced by an increase of the absorbance of the band due to CO stretching in the crystal field. The crystallization was found to involve the dissociation of inter and transformation of inter into intramolecular hydrogen bondings within PHB and within CAB as summarized in Table 2 in this text, which promotes the crystallization and enhances stabilization of the crystals. Consequently, the crystallization of the PHB is influenced by exchanges of the hydrogen bondings as described above with raising temperatures. X-ray diffraction from PHB crystals in the blends show a remarkable decrease of crystallinity with wCABand eventually disappear when wCAB≥ 0.8. © 2010 Elsevier Ltd. All rights reserved.","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dropping-particle":"","family":"Ozaki","given":"Yukihiro","non-dropping-particle":"","parse-names":false,"suffix":""}],"container-title":"Polymer","id":"ITEM-1","issue":"2","issued":{"date-parts":[["2011"]]},"page":"461-471","title":"Intermolecular interactions and crystallization behaviors of biodegradable polymer blends between poly (3-hydroxybutyrate) and cellulose acetate butyrate studied by DSC, FT-IR, and WAXD","type":"article-journal","volume":"52"},"uris":["http://www.mendeley.com/documents/?uuid=bec59eb1-ba2f-4313-8f60-bb25ede1a2d3"]}],"mendeley":{"formattedCitation":"[6]","plainTextFormattedCitation":"[6]","previouslyFormattedCitation":"[6]"},"properties":{"noteIndex":0},"schema":"https://github.com/citation-style-language/schema/raw/master/csl-citation.json"}</w:instrText>
      </w:r>
      <w:r w:rsidR="007973F9" w:rsidRPr="00B64A89">
        <w:rPr>
          <w:color w:val="auto"/>
          <w:lang w:eastAsia="ja-JP"/>
        </w:rPr>
        <w:fldChar w:fldCharType="separate"/>
      </w:r>
      <w:r w:rsidR="007973F9" w:rsidRPr="00B64A89">
        <w:rPr>
          <w:noProof/>
          <w:color w:val="auto"/>
          <w:lang w:eastAsia="ja-JP"/>
        </w:rPr>
        <w:t>[6]</w:t>
      </w:r>
      <w:r w:rsidR="007973F9" w:rsidRPr="00B64A89">
        <w:rPr>
          <w:color w:val="auto"/>
          <w:lang w:eastAsia="ja-JP"/>
        </w:rPr>
        <w:fldChar w:fldCharType="end"/>
      </w:r>
      <w:r w:rsidR="007973F9" w:rsidRPr="00B64A89">
        <w:rPr>
          <w:rFonts w:hint="eastAsia"/>
          <w:color w:val="auto"/>
          <w:lang w:eastAsia="ja-JP"/>
        </w:rPr>
        <w:t>.</w:t>
      </w:r>
      <w:r w:rsidR="004778BE" w:rsidRPr="00B64A89">
        <w:rPr>
          <w:rFonts w:hint="eastAsia"/>
          <w:color w:val="auto"/>
          <w:lang w:eastAsia="ja-JP"/>
        </w:rPr>
        <w:t xml:space="preserve"> </w:t>
      </w:r>
    </w:p>
    <w:p w14:paraId="7BA0B9BA" w14:textId="77777777" w:rsidR="004778BE" w:rsidRPr="00B64A89" w:rsidRDefault="004778BE" w:rsidP="004778BE">
      <w:pPr>
        <w:pStyle w:val="BodytextIndented"/>
        <w:rPr>
          <w:color w:val="auto"/>
          <w:lang w:eastAsia="ja-JP"/>
        </w:rPr>
      </w:pPr>
      <w:r w:rsidRPr="00B64A89">
        <w:rPr>
          <w:rFonts w:hint="eastAsia"/>
          <w:color w:val="auto"/>
          <w:lang w:eastAsia="ja-JP"/>
        </w:rPr>
        <w:t>Cellulose</w:t>
      </w:r>
      <w:r w:rsidR="004A481B" w:rsidRPr="00B64A89">
        <w:rPr>
          <w:rFonts w:hint="eastAsia"/>
          <w:color w:val="auto"/>
          <w:lang w:eastAsia="ja-JP"/>
        </w:rPr>
        <w:t xml:space="preserve"> acetate butyrate (CAB) is</w:t>
      </w:r>
      <w:r w:rsidRPr="00B64A89">
        <w:rPr>
          <w:rFonts w:hint="eastAsia"/>
          <w:color w:val="auto"/>
          <w:lang w:eastAsia="ja-JP"/>
        </w:rPr>
        <w:t xml:space="preserve"> </w:t>
      </w:r>
      <w:r w:rsidR="004A481B" w:rsidRPr="00B64A89">
        <w:rPr>
          <w:color w:val="auto"/>
          <w:lang w:eastAsia="ja-JP"/>
        </w:rPr>
        <w:t>cellulose</w:t>
      </w:r>
      <w:r w:rsidR="004A481B" w:rsidRPr="00B64A89">
        <w:rPr>
          <w:rFonts w:hint="eastAsia"/>
          <w:color w:val="auto"/>
          <w:lang w:eastAsia="ja-JP"/>
        </w:rPr>
        <w:t xml:space="preserve"> </w:t>
      </w:r>
      <w:r w:rsidRPr="00B64A89">
        <w:rPr>
          <w:color w:val="auto"/>
          <w:lang w:eastAsia="ja-JP"/>
        </w:rPr>
        <w:t>derivative</w:t>
      </w:r>
      <w:r w:rsidRPr="00B64A89">
        <w:rPr>
          <w:rFonts w:hint="eastAsia"/>
          <w:color w:val="auto"/>
          <w:lang w:eastAsia="ja-JP"/>
        </w:rPr>
        <w:t xml:space="preserve"> </w:t>
      </w:r>
      <w:r w:rsidR="004A481B" w:rsidRPr="00B64A89">
        <w:rPr>
          <w:rFonts w:hint="eastAsia"/>
          <w:color w:val="auto"/>
          <w:lang w:eastAsia="ja-JP"/>
        </w:rPr>
        <w:t xml:space="preserve">which a promising material </w:t>
      </w:r>
      <w:r w:rsidRPr="00B64A89">
        <w:rPr>
          <w:rFonts w:hint="eastAsia"/>
          <w:color w:val="auto"/>
          <w:lang w:eastAsia="ja-JP"/>
        </w:rPr>
        <w:t xml:space="preserve">to </w:t>
      </w:r>
      <w:r w:rsidR="004A481B" w:rsidRPr="00B64A89">
        <w:rPr>
          <w:rFonts w:hint="eastAsia"/>
          <w:color w:val="auto"/>
          <w:lang w:eastAsia="ja-JP"/>
        </w:rPr>
        <w:t xml:space="preserve">be blended with other polymer since they are widely available in the earth. CAB has been </w:t>
      </w:r>
      <w:r w:rsidR="004A481B" w:rsidRPr="00B64A89">
        <w:rPr>
          <w:color w:val="auto"/>
          <w:lang w:eastAsia="ja-JP"/>
        </w:rPr>
        <w:t>successfully</w:t>
      </w:r>
      <w:r w:rsidR="004A481B" w:rsidRPr="00B64A89">
        <w:rPr>
          <w:rFonts w:hint="eastAsia"/>
          <w:color w:val="auto"/>
          <w:lang w:eastAsia="ja-JP"/>
        </w:rPr>
        <w:t xml:space="preserve"> blended with PHB producing a better mechanical toughness of PHB and improving PHB elongation of break </w:t>
      </w:r>
      <w:r w:rsidR="004A481B" w:rsidRPr="00B64A89">
        <w:rPr>
          <w:color w:val="auto"/>
          <w:lang w:eastAsia="ja-JP"/>
        </w:rPr>
        <w:fldChar w:fldCharType="begin" w:fldLock="1"/>
      </w:r>
      <w:r w:rsidR="00263A0E" w:rsidRPr="00B64A89">
        <w:rPr>
          <w:color w:val="auto"/>
          <w:lang w:eastAsia="ja-JP"/>
        </w:rPr>
        <w:instrText>ADDIN CSL_CITATION {"citationItems":[{"id":"ITEM-1","itemData":{"DOI":"10.1016/j.polymer.2010.11.021","ISBN":"0032-3861","ISSN":"00323861","abstract":"Relationships between composition- and temperature-dependent intermolecular interactions and cold crystallization behaviors of poly(3-hydroxybutyrate) (PHB)/ cellulose acetate butyrate (CAB) blends have been investigated mainly by infrared (IR) spectroscopy, together with differential scanning calorimetry, and wide-angle X-ray diffraction (WAXD). Weak intermolecular hydrogen bondings between OH groups in CAB and CO groups in amorphous part of PHB define as inter were detected in OH stretching bands of the blends. These interactions occur in the blends with high CAB content (wCAB) and highly depend on temperature. For all the blends having 0.2 ≤ wCAB≤ 0.7, when temperature is raised (e.g., above 90 °C for the blend with wCAB= 0.5) the cold crystallization of PHB was discerned, as evidenced by an increase of the absorbance of the band due to CO stretching in the crystal field. The crystallization was found to involve the dissociation of inter and transformation of inter into intramolecular hydrogen bondings within PHB and within CAB as summarized in Table 2 in this text, which promotes the crystallization and enhances stabilization of the crystals. Consequently, the crystallization of the PHB is influenced by exchanges of the hydrogen bondings as described above with raising temperatures. X-ray diffraction from PHB crystals in the blends show a remarkable decrease of crystallinity with wCABand eventually disappear when wCAB≥ 0.8. © 2010 Elsevier Ltd. All rights reserved.","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dropping-particle":"","family":"Ozaki","given":"Yukihiro","non-dropping-particle":"","parse-names":false,"suffix":""}],"container-title":"Polymer","id":"ITEM-1","issue":"2","issued":{"date-parts":[["2011"]]},"page":"461-471","title":"Intermolecular interactions and crystallization behaviors of biodegradable polymer blends between poly (3-hydroxybutyrate) and cellulose acetate butyrate studied by DSC, FT-IR, and WAXD","type":"article-journal","volume":"52"},"uris":["http://www.mendeley.com/documents/?uuid=bec59eb1-ba2f-4313-8f60-bb25ede1a2d3"]},{"id":"ITEM-2","itemData":{"author":[{"dropping-particle":"","family":"Sato","given":"Harumi","non-dropping-particle":"","parse-names":false,"suffix":""},{"dropping-particle":"","family":"Suttiwijitpukdee","given":"Nattaporn","non-dropping-particle":"","parse-names":false,"suffix":""},{"dropping-particle":"","family":"Hashimoto","given":"Takeji","non-dropping-particle":"","parse-names":false,"suffix":""},{"dropping-particle":"","family":"Ozaki","given":"Yukihiro","non-dropping-particle":"","parse-names":false,"suffix":""}],"container-title":"Macromolecules","id":"ITEM-2","issued":{"date-parts":[["2012"]]},"page":"2785-2795","title":"Simultaneous Synchrotron SAXS/WAXD Study of Composition Fluctuatins, Cold-Crystallization, and Melting in Biodegradable Polymer Blends of Cellulose Acetate Butyrate and PHB","type":"article-journal","volume":"45"},"uris":["http://www.mendeley.com/documents/?uuid=55de0f67-0061-47a4-8d64-49284f0a63fa"]},{"id":"ITEM-3","itemData":{"DOI":"10.1021/ma200365e","ISSN":"00249297","abstract":"Effects of hydrogen bondings (HBs) on the isothermal crystallization kinetics and mechanisms of poly(3-hydroxybutyrate) (PHB) in neat PHB and its blends with cellulose acetate butyrate (CAB), amorphous melts at the crystallization temperature, were investigated by using time-resolved Fourier transform infrared spectroscopy (FTIR). The FTIR investigation focused on the characteristic bands of PHB in the crystalline phase and in the amorphous phase. The results revealed the following pieces of evidence. (1) The crystallization of PHB in both neat PHB and PHB/CAB blends commonly involves a multistep process: (i) transformation from amorphous melts to an intermediated structure between amorphous and crystals (process (b1) shown above), (ii) from the intermediate structure to crystals without intramolecular HBs (intra) (b2), and (iii) finally to crystals with intra (b3). (2) These transformations sequentially occur with increasing time. More specifically, the transformations (ii) and (iii) dominantly occur respectively in the primary and secondary crystallization process in both neat PHB and the blends. The Avrami analysis revealed that (3) the crystallization in both neat PHB and the blends involves essentially the same nucleation and growth mechanism, as evidenced by almost the same value of the Avrami exponent n; however (4) the crystallization rate constant kA, also determined from the Avrami analysis, is strikingly reduced by blending CAB (see the kA value for the PHB/HCAB blend in the text), which is attributed to physical cross-links formed by intermolecular HBs between PHB and CAB in addition to molecular entanglements. Effects of hydrogen bondings (HBs) on the isothermal crystallization kinetics and mechanisms of poly(3-hydroxybutyrate) (PHB) in neat PHB and its blends with cellulose acetate butyrate (CAB), amorphous melts at the crystallization temperature, were investigated by using time-resolved Fourier transform infrared spectroscopy (FTIR). The FTIR investigation focused on the characteristic bands of PHB in the crystalline phase and in the amorphous phase. The results revealed the following pieces of evidence. (1) The crystallization of PHB in both neat PHB and PHB/CAB blends commonly involves a multistep process: (i) transformation from amorphous melts to an intermediated structure between amorphous and crystals (process (b1) shown above), (ii) from the intermediate structure to crystals without intramolecular HBs (intra) (b2), and (iii) fina…","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container-title":"Macromolecules","id":"ITEM-3","issue":"9","issued":{"date-parts":[["2011"]]},"page":"3467-3477","title":"Effects of intermolecular hydrogen bondings on isothermal crystallization behavior of polymer blends of cellulose acetate butyrate and poly(3-hydroxybutyrate)","type":"article-journal","volume":"44"},"uris":["http://www.mendeley.com/documents/?uuid=d8177806-9cf4-49b9-8581-a8dcae31705e"]},{"id":"ITEM-4","itemData":{"DOI":"10.1021/ma201598s","abstract":"The crystal melting behaviors of poly(3-hydroxybutyrate) (PHB) and cellulose acetate butyrate (CAB) blends were studied using infrared (IR) and near-infrared (NIR) imaging, which provided i</w:instrText>
      </w:r>
      <w:r w:rsidR="00263A0E" w:rsidRPr="00B64A89">
        <w:rPr>
          <w:rFonts w:hint="eastAsia"/>
          <w:color w:val="auto"/>
          <w:lang w:eastAsia="ja-JP"/>
        </w:rPr>
        <w:instrText>nformation about spherulite growth in dynamic blend systems. By analyzing the changes in the IR and NIR imaging spectra in the regions of the first and second overtones of the C</w:instrText>
      </w:r>
      <w:r w:rsidR="00263A0E" w:rsidRPr="00B64A89">
        <w:rPr>
          <w:rFonts w:hint="eastAsia"/>
          <w:color w:val="auto"/>
          <w:lang w:eastAsia="ja-JP"/>
        </w:rPr>
        <w:instrText></w:instrText>
      </w:r>
      <w:r w:rsidR="00263A0E" w:rsidRPr="00B64A89">
        <w:rPr>
          <w:rFonts w:hint="eastAsia"/>
          <w:color w:val="auto"/>
          <w:lang w:eastAsia="ja-JP"/>
        </w:rPr>
        <w:instrText>O stretching vibrations of PHB and CAB, the evolution of heterogeneous spheru</w:instrText>
      </w:r>
      <w:r w:rsidR="00263A0E" w:rsidRPr="00B64A89">
        <w:rPr>
          <w:color w:val="auto"/>
          <w:lang w:eastAsia="ja-JP"/>
        </w:rPr>
        <w:instrText>lite during the time-resolved isothermal crystallization process was explored. Time-resolved IR and NIR imaging and polarized microscopic studies detected the PHB domains are able to separate from the PHB/CAB blends early in the process. Principal component analysis (PCA) was used to classify the distribution of the different morphologies of spherulite. The first principal component suggests that the discrimination of the imaging spectra relies largely upon the crystallinity, while the second principal component indicates the variations in the amorphous portion of PHB, the CAB contents, and the intermolecular hydrogen bonding of PHB and CAB. The PC1−PC2 scores of different parts of the spherulite suggest that the areas of low crystallinity in the blend spherulite contain both PHB and CAB.","author":[{"dropping-particle":"","family":"Suttiwijitpukdee","given":"Nattaporn","non-dropping-particle":"","parse-names":false,"suffix":""},{"dropping-particle":"","family":"Sato","given":"Harumi","non-dropping-particle":"","parse-names":false,"suffix":""},{"dropping-particle":"","family":"Unger","given":"Miriam","non-dropping-particle":"","parse-names":false,"suffix":""},{"dropping-particle":"","family":"Ozaki","given":"Yukihiro","non-dropping-particle":"","parse-names":false,"suffix":""}],"container-title":"Macromolecules","id":"ITEM-4","issued":{"date-parts":[["2012"]]},"page":"2738-2748","title":"Effects of Hydrogen Bond Intermolecular Interactions on the Crystal Spherulite of Poly(3-hydroxybutyrate) and Cellulose Acetate Butyrate Blends: Studied by FT-IR and FT-NIR Imaging Spectroscopy","type":"article-journal","volume":"45"},"uris":["http://www.mendeley.com/documents/?uuid=d17e4d53-9437-3afc-b271-005bf2b002c4"]}],"mendeley":{"formattedCitation":"[6–9]","plainTextFormattedCitation":"[6–9]","previouslyFormattedCitation":"[6–9]"},"properties":{"noteIndex":0},"schema":"https://github.com/citation-style-language/schema/raw/master/csl-citation.json"}</w:instrText>
      </w:r>
      <w:r w:rsidR="004A481B" w:rsidRPr="00B64A89">
        <w:rPr>
          <w:color w:val="auto"/>
          <w:lang w:eastAsia="ja-JP"/>
        </w:rPr>
        <w:fldChar w:fldCharType="separate"/>
      </w:r>
      <w:r w:rsidR="004A481B" w:rsidRPr="00B64A89">
        <w:rPr>
          <w:noProof/>
          <w:color w:val="auto"/>
          <w:lang w:eastAsia="ja-JP"/>
        </w:rPr>
        <w:t>[6–9]</w:t>
      </w:r>
      <w:r w:rsidR="004A481B" w:rsidRPr="00B64A89">
        <w:rPr>
          <w:color w:val="auto"/>
          <w:lang w:eastAsia="ja-JP"/>
        </w:rPr>
        <w:fldChar w:fldCharType="end"/>
      </w:r>
      <w:r w:rsidR="004A481B" w:rsidRPr="00B64A89">
        <w:rPr>
          <w:rFonts w:hint="eastAsia"/>
          <w:color w:val="auto"/>
          <w:lang w:eastAsia="ja-JP"/>
        </w:rPr>
        <w:t>. However, there is</w:t>
      </w:r>
      <w:r w:rsidR="00A20D95" w:rsidRPr="00B64A89">
        <w:rPr>
          <w:rFonts w:hint="eastAsia"/>
          <w:color w:val="auto"/>
          <w:lang w:eastAsia="ja-JP"/>
        </w:rPr>
        <w:t xml:space="preserve"> a few study have been reported on the blending of PEG and CAB.</w:t>
      </w:r>
    </w:p>
    <w:tbl>
      <w:tblPr>
        <w:tblStyle w:val="TableGrid"/>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5448"/>
      </w:tblGrid>
      <w:tr w:rsidR="00B64A89" w:rsidRPr="00B64A89" w14:paraId="075CC1FE" w14:textId="77777777" w:rsidTr="00243C53">
        <w:trPr>
          <w:jc w:val="center"/>
        </w:trPr>
        <w:tc>
          <w:tcPr>
            <w:tcW w:w="4361" w:type="dxa"/>
            <w:vAlign w:val="center"/>
          </w:tcPr>
          <w:p w14:paraId="60020303" w14:textId="77777777" w:rsidR="00243C53" w:rsidRPr="00B64A89" w:rsidRDefault="00243C53" w:rsidP="00243C53">
            <w:pPr>
              <w:pStyle w:val="Bodytext"/>
              <w:jc w:val="center"/>
              <w:rPr>
                <w:color w:val="auto"/>
                <w:lang w:val="en-GB" w:eastAsia="ja-JP"/>
              </w:rPr>
            </w:pPr>
            <w:r w:rsidRPr="00B64A89">
              <w:rPr>
                <w:noProof/>
                <w:color w:val="auto"/>
                <w:lang w:val="en-GB" w:eastAsia="ja-JP"/>
              </w:rPr>
              <w:lastRenderedPageBreak/>
              <mc:AlternateContent>
                <mc:Choice Requires="wps">
                  <w:drawing>
                    <wp:anchor distT="0" distB="0" distL="114300" distR="114300" simplePos="0" relativeHeight="251661312" behindDoc="0" locked="0" layoutInCell="1" allowOverlap="1" wp14:anchorId="7B1C4D9C" wp14:editId="07DA603F">
                      <wp:simplePos x="0" y="0"/>
                      <wp:positionH relativeFrom="column">
                        <wp:posOffset>10160</wp:posOffset>
                      </wp:positionH>
                      <wp:positionV relativeFrom="paragraph">
                        <wp:posOffset>-218440</wp:posOffset>
                      </wp:positionV>
                      <wp:extent cx="914400" cy="297180"/>
                      <wp:effectExtent l="0" t="0" r="28575" b="26670"/>
                      <wp:wrapNone/>
                      <wp:docPr id="122" name="Text Box 122"/>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C2D8A" w14:textId="77777777" w:rsidR="00091000" w:rsidRPr="00243C53" w:rsidRDefault="00091000">
                                  <w:pPr>
                                    <w:rPr>
                                      <w:b/>
                                      <w:lang w:eastAsia="ja-JP"/>
                                    </w:rPr>
                                  </w:pPr>
                                  <w:r w:rsidRPr="00243C53">
                                    <w:rPr>
                                      <w:rFonts w:hint="eastAsia"/>
                                      <w:b/>
                                      <w:lang w:eastAsia="ja-JP"/>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C4D9C" id="_x0000_t202" coordsize="21600,21600" o:spt="202" path="m,l,21600r21600,l21600,xe">
                      <v:stroke joinstyle="miter"/>
                      <v:path gradientshapeok="t" o:connecttype="rect"/>
                    </v:shapetype>
                    <v:shape id="Text Box 122" o:spid="_x0000_s1026" type="#_x0000_t202" style="position:absolute;left:0;text-align:left;margin-left:.8pt;margin-top:-17.2pt;width:1in;height:23.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" fillcolor="white [3201]" strokecolor="white [3212]" strokeweight=".5pt">
                      <v:textbox>
                        <w:txbxContent>
                          <w:p w14:paraId="2F3C2D8A" w14:textId="77777777" w:rsidR="00091000" w:rsidRPr="00243C53" w:rsidRDefault="00091000">
                            <w:pPr>
                              <w:rPr>
                                <w:b/>
                                <w:lang w:eastAsia="ja-JP"/>
                              </w:rPr>
                            </w:pPr>
                            <w:r w:rsidRPr="00243C53">
                              <w:rPr>
                                <w:rFonts w:hint="eastAsia"/>
                                <w:b/>
                                <w:lang w:eastAsia="ja-JP"/>
                              </w:rPr>
                              <w:t>(a)</w:t>
                            </w:r>
                          </w:p>
                        </w:txbxContent>
                      </v:textbox>
                    </v:shape>
                  </w:pict>
                </mc:Fallback>
              </mc:AlternateContent>
            </w:r>
            <w:r w:rsidRPr="00B64A89">
              <w:rPr>
                <w:noProof/>
                <w:color w:val="auto"/>
                <w:lang w:val="en-GB" w:eastAsia="ja-JP"/>
              </w:rPr>
              <w:drawing>
                <wp:inline distT="0" distB="0" distL="0" distR="0" wp14:anchorId="5FAB0D0D" wp14:editId="4020A675">
                  <wp:extent cx="1912620" cy="824890"/>
                  <wp:effectExtent l="0" t="0" r="0" b="0"/>
                  <wp:docPr id="11" name="Picture 2" descr="PEG Structural Formula 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PEG Structural Formula V1.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3725" cy="825367"/>
                          </a:xfrm>
                          <a:prstGeom prst="rect">
                            <a:avLst/>
                          </a:prstGeom>
                          <a:noFill/>
                        </pic:spPr>
                      </pic:pic>
                    </a:graphicData>
                  </a:graphic>
                </wp:inline>
              </w:drawing>
            </w:r>
          </w:p>
        </w:tc>
        <w:tc>
          <w:tcPr>
            <w:tcW w:w="5103" w:type="dxa"/>
            <w:vAlign w:val="center"/>
          </w:tcPr>
          <w:p w14:paraId="483A8067" w14:textId="77777777" w:rsidR="00243C53" w:rsidRPr="00B64A89" w:rsidRDefault="00243C53" w:rsidP="00243C53">
            <w:pPr>
              <w:pStyle w:val="Bodytext"/>
              <w:jc w:val="center"/>
              <w:rPr>
                <w:color w:val="auto"/>
                <w:lang w:val="en-GB" w:eastAsia="ja-JP"/>
              </w:rPr>
            </w:pPr>
            <w:r w:rsidRPr="00B64A89">
              <w:rPr>
                <w:noProof/>
                <w:color w:val="auto"/>
                <w:lang w:val="en-GB" w:eastAsia="ja-JP"/>
              </w:rPr>
              <mc:AlternateContent>
                <mc:Choice Requires="wps">
                  <w:drawing>
                    <wp:anchor distT="0" distB="0" distL="114300" distR="114300" simplePos="0" relativeHeight="251663360" behindDoc="0" locked="0" layoutInCell="1" allowOverlap="1" wp14:anchorId="3F9E9E36" wp14:editId="432850F0">
                      <wp:simplePos x="0" y="0"/>
                      <wp:positionH relativeFrom="column">
                        <wp:posOffset>38100</wp:posOffset>
                      </wp:positionH>
                      <wp:positionV relativeFrom="paragraph">
                        <wp:posOffset>64770</wp:posOffset>
                      </wp:positionV>
                      <wp:extent cx="914400" cy="297180"/>
                      <wp:effectExtent l="0" t="0" r="20955" b="26670"/>
                      <wp:wrapNone/>
                      <wp:docPr id="123" name="Text Box 123"/>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1F3670" w14:textId="77777777" w:rsidR="00091000" w:rsidRPr="00243C53" w:rsidRDefault="00091000" w:rsidP="00243C53">
                                  <w:pPr>
                                    <w:rPr>
                                      <w:b/>
                                      <w:lang w:eastAsia="ja-JP"/>
                                    </w:rPr>
                                  </w:pPr>
                                  <w:r w:rsidRPr="00243C53">
                                    <w:rPr>
                                      <w:rFonts w:hint="eastAsia"/>
                                      <w:b/>
                                      <w:lang w:eastAsia="ja-JP"/>
                                    </w:rPr>
                                    <w:t>(</w:t>
                                  </w:r>
                                  <w:r>
                                    <w:rPr>
                                      <w:rFonts w:hint="eastAsia"/>
                                      <w:b/>
                                      <w:lang w:eastAsia="ja-JP"/>
                                    </w:rPr>
                                    <w:t>b</w:t>
                                  </w:r>
                                  <w:r w:rsidRPr="00243C53">
                                    <w:rPr>
                                      <w:rFonts w:hint="eastAsia"/>
                                      <w:b/>
                                      <w:lang w:eastAsia="ja-JP"/>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9E36" id="Text Box 123" o:spid="_x0000_s1027" type="#_x0000_t202" style="position:absolute;left:0;text-align:left;margin-left:3pt;margin-top:5.1pt;width:1in;height:23.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" fillcolor="white [3201]" strokecolor="white [3212]" strokeweight=".5pt">
                      <v:textbox>
                        <w:txbxContent>
                          <w:p w14:paraId="051F3670" w14:textId="77777777" w:rsidR="00091000" w:rsidRPr="00243C53" w:rsidRDefault="00091000" w:rsidP="00243C53">
                            <w:pPr>
                              <w:rPr>
                                <w:b/>
                                <w:lang w:eastAsia="ja-JP"/>
                              </w:rPr>
                            </w:pPr>
                            <w:r w:rsidRPr="00243C53">
                              <w:rPr>
                                <w:rFonts w:hint="eastAsia"/>
                                <w:b/>
                                <w:lang w:eastAsia="ja-JP"/>
                              </w:rPr>
                              <w:t>(</w:t>
                            </w:r>
                            <w:r>
                              <w:rPr>
                                <w:rFonts w:hint="eastAsia"/>
                                <w:b/>
                                <w:lang w:eastAsia="ja-JP"/>
                              </w:rPr>
                              <w:t>b</w:t>
                            </w:r>
                            <w:r w:rsidRPr="00243C53">
                              <w:rPr>
                                <w:rFonts w:hint="eastAsia"/>
                                <w:b/>
                                <w:lang w:eastAsia="ja-JP"/>
                              </w:rPr>
                              <w:t>)</w:t>
                            </w:r>
                          </w:p>
                        </w:txbxContent>
                      </v:textbox>
                    </v:shape>
                  </w:pict>
                </mc:Fallback>
              </mc:AlternateContent>
            </w:r>
            <w:r w:rsidRPr="00B64A89">
              <w:rPr>
                <w:noProof/>
                <w:color w:val="auto"/>
                <w:lang w:val="en-GB" w:eastAsia="ja-JP"/>
              </w:rPr>
              <w:drawing>
                <wp:inline distT="0" distB="0" distL="0" distR="0" wp14:anchorId="7CB5E06C" wp14:editId="686F9C3F">
                  <wp:extent cx="3322865" cy="162469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8274" cy="1637117"/>
                          </a:xfrm>
                          <a:prstGeom prst="rect">
                            <a:avLst/>
                          </a:prstGeom>
                          <a:noFill/>
                        </pic:spPr>
                      </pic:pic>
                    </a:graphicData>
                  </a:graphic>
                </wp:inline>
              </w:drawing>
            </w:r>
          </w:p>
        </w:tc>
      </w:tr>
      <w:tr w:rsidR="00B64A89" w:rsidRPr="00B64A89" w14:paraId="47D42C4D" w14:textId="77777777" w:rsidTr="00243C53">
        <w:trPr>
          <w:jc w:val="center"/>
        </w:trPr>
        <w:tc>
          <w:tcPr>
            <w:tcW w:w="9464" w:type="dxa"/>
            <w:gridSpan w:val="2"/>
          </w:tcPr>
          <w:p w14:paraId="0C8AE732" w14:textId="77777777" w:rsidR="00243C53" w:rsidRPr="00B64A89" w:rsidRDefault="00243C53" w:rsidP="009C7441">
            <w:pPr>
              <w:jc w:val="center"/>
              <w:rPr>
                <w:rFonts w:ascii="Times New Roman" w:hAnsi="Times New Roman"/>
                <w:szCs w:val="22"/>
                <w:lang w:eastAsia="ja-JP"/>
              </w:rPr>
            </w:pPr>
            <w:r w:rsidRPr="00B64A89">
              <w:rPr>
                <w:rFonts w:ascii="Times New Roman" w:hAnsi="Times New Roman"/>
                <w:b/>
                <w:szCs w:val="22"/>
              </w:rPr>
              <w:t xml:space="preserve">Figure </w:t>
            </w:r>
            <w:r w:rsidRPr="00B64A89">
              <w:rPr>
                <w:rFonts w:ascii="Times New Roman" w:hAnsi="Times New Roman" w:hint="eastAsia"/>
                <w:b/>
                <w:szCs w:val="22"/>
                <w:lang w:eastAsia="ja-JP"/>
              </w:rPr>
              <w:t>1</w:t>
            </w:r>
            <w:r w:rsidRPr="00B64A89">
              <w:rPr>
                <w:rFonts w:ascii="Times New Roman" w:hAnsi="Times New Roman"/>
                <w:b/>
                <w:szCs w:val="22"/>
              </w:rPr>
              <w:t>.</w:t>
            </w:r>
            <w:r w:rsidRPr="00B64A89">
              <w:rPr>
                <w:rFonts w:ascii="Times New Roman" w:hAnsi="Times New Roman"/>
                <w:szCs w:val="22"/>
              </w:rPr>
              <w:t xml:space="preserve"> </w:t>
            </w:r>
            <w:r w:rsidRPr="00B64A89">
              <w:rPr>
                <w:rFonts w:ascii="Times New Roman" w:hAnsi="Times New Roman" w:hint="eastAsia"/>
                <w:szCs w:val="22"/>
                <w:lang w:eastAsia="ja-JP"/>
              </w:rPr>
              <w:t>Chemical structure of (a) polyethylene glycol (PEG) and (b) cellulose acetate butyrate (CAB)</w:t>
            </w:r>
          </w:p>
        </w:tc>
      </w:tr>
    </w:tbl>
    <w:p w14:paraId="31B45639" w14:textId="77777777" w:rsidR="00617D16" w:rsidRPr="00B64A89" w:rsidRDefault="00617D16" w:rsidP="00324C80">
      <w:pPr>
        <w:pStyle w:val="Abstract"/>
        <w:spacing w:before="240" w:after="0"/>
        <w:ind w:left="0" w:firstLine="284"/>
        <w:rPr>
          <w:color w:val="auto"/>
          <w:sz w:val="22"/>
          <w:szCs w:val="22"/>
          <w:lang w:eastAsia="ja-JP"/>
        </w:rPr>
      </w:pPr>
      <w:r w:rsidRPr="00B64A89">
        <w:rPr>
          <w:rFonts w:hint="eastAsia"/>
          <w:color w:val="auto"/>
          <w:sz w:val="22"/>
          <w:szCs w:val="22"/>
          <w:lang w:eastAsia="ja-JP"/>
        </w:rPr>
        <w:t xml:space="preserve">Figure 1 shows the chemical structure of PEG and CAB. In order to generate a good polymer blend </w:t>
      </w:r>
      <w:r w:rsidRPr="00B64A89">
        <w:rPr>
          <w:color w:val="auto"/>
          <w:sz w:val="22"/>
          <w:szCs w:val="22"/>
          <w:lang w:eastAsia="ja-JP"/>
        </w:rPr>
        <w:t>system</w:t>
      </w:r>
      <w:r w:rsidRPr="00B64A89">
        <w:rPr>
          <w:rFonts w:hint="eastAsia"/>
          <w:color w:val="auto"/>
          <w:sz w:val="22"/>
          <w:szCs w:val="22"/>
          <w:lang w:eastAsia="ja-JP"/>
        </w:rPr>
        <w:t xml:space="preserve">, hydrogen bond between these two polymers plays a prominent role in stabilizing </w:t>
      </w:r>
      <w:r w:rsidR="008B593B" w:rsidRPr="00B64A89">
        <w:rPr>
          <w:rFonts w:hint="eastAsia"/>
          <w:color w:val="auto"/>
          <w:sz w:val="22"/>
          <w:szCs w:val="22"/>
          <w:lang w:eastAsia="ja-JP"/>
        </w:rPr>
        <w:t>the</w:t>
      </w:r>
      <w:r w:rsidRPr="00B64A89">
        <w:rPr>
          <w:rFonts w:hint="eastAsia"/>
          <w:color w:val="auto"/>
          <w:sz w:val="22"/>
          <w:szCs w:val="22"/>
          <w:lang w:eastAsia="ja-JP"/>
        </w:rPr>
        <w:t xml:space="preserve"> crystalline </w:t>
      </w:r>
      <w:r w:rsidR="00263A0E" w:rsidRPr="00B64A89">
        <w:rPr>
          <w:rFonts w:hint="eastAsia"/>
          <w:color w:val="auto"/>
          <w:sz w:val="22"/>
          <w:szCs w:val="22"/>
          <w:lang w:eastAsia="ja-JP"/>
        </w:rPr>
        <w:t>structure conformation</w:t>
      </w:r>
      <w:r w:rsidR="008B593B" w:rsidRPr="00B64A89">
        <w:rPr>
          <w:rFonts w:hint="eastAsia"/>
          <w:color w:val="auto"/>
          <w:sz w:val="22"/>
          <w:szCs w:val="22"/>
          <w:lang w:eastAsia="ja-JP"/>
        </w:rPr>
        <w:t xml:space="preserve"> of blend polymer </w:t>
      </w:r>
      <w:r w:rsidR="008B593B" w:rsidRPr="00B64A89">
        <w:rPr>
          <w:color w:val="auto"/>
          <w:sz w:val="22"/>
          <w:szCs w:val="22"/>
          <w:lang w:eastAsia="ja-JP"/>
        </w:rPr>
        <w:t>system</w:t>
      </w:r>
      <w:r w:rsidR="00263A0E" w:rsidRPr="00B64A89">
        <w:rPr>
          <w:rFonts w:hint="eastAsia"/>
          <w:color w:val="auto"/>
          <w:sz w:val="22"/>
          <w:szCs w:val="22"/>
          <w:lang w:eastAsia="ja-JP"/>
        </w:rPr>
        <w:t xml:space="preserve">. The existence and role of this prominent hydrogen bond has been reported in numerous study in homo polymer </w:t>
      </w:r>
      <w:r w:rsidR="00263A0E" w:rsidRPr="00B64A89">
        <w:rPr>
          <w:color w:val="auto"/>
          <w:sz w:val="22"/>
          <w:szCs w:val="22"/>
          <w:lang w:eastAsia="ja-JP"/>
        </w:rPr>
        <w:fldChar w:fldCharType="begin" w:fldLock="1"/>
      </w:r>
      <w:r w:rsidR="00263A0E" w:rsidRPr="00B64A89">
        <w:rPr>
          <w:color w:val="auto"/>
          <w:sz w:val="22"/>
          <w:szCs w:val="22"/>
          <w:lang w:eastAsia="ja-JP"/>
        </w:rPr>
        <w:instrText>ADDIN CSL_CITATION {"citationItems":[{"id":"ITEM-1","itemData":{"DOI":"10.1021/ma201598s","abstract":"The crystal melting behaviors of poly(3-hydroxybutyrate) (PHB) and cellulose acetate butyrate (CAB) blends were studied using infrared (IR) and near-infr</w:instrText>
      </w:r>
      <w:r w:rsidR="00263A0E" w:rsidRPr="00B64A89">
        <w:rPr>
          <w:rFonts w:hint="eastAsia"/>
          <w:color w:val="auto"/>
          <w:sz w:val="22"/>
          <w:szCs w:val="22"/>
          <w:lang w:eastAsia="ja-JP"/>
        </w:rPr>
        <w:instrText>ared (NIR) imaging, which provided information about spherulite growth in dynamic blend systems. By analyzing the changes in the IR and NIR imaging spectra in the regions of the first and second overtones of the C</w:instrText>
      </w:r>
      <w:r w:rsidR="00263A0E" w:rsidRPr="00B64A89">
        <w:rPr>
          <w:rFonts w:hint="eastAsia"/>
          <w:color w:val="auto"/>
          <w:sz w:val="22"/>
          <w:szCs w:val="22"/>
          <w:lang w:eastAsia="ja-JP"/>
        </w:rPr>
        <w:instrText></w:instrText>
      </w:r>
      <w:r w:rsidR="00263A0E" w:rsidRPr="00B64A89">
        <w:rPr>
          <w:rFonts w:hint="eastAsia"/>
          <w:color w:val="auto"/>
          <w:sz w:val="22"/>
          <w:szCs w:val="22"/>
          <w:lang w:eastAsia="ja-JP"/>
        </w:rPr>
        <w:instrText>O stretching vibrations of PHB and CAB, t</w:instrText>
      </w:r>
      <w:r w:rsidR="00263A0E" w:rsidRPr="00B64A89">
        <w:rPr>
          <w:color w:val="auto"/>
          <w:sz w:val="22"/>
          <w:szCs w:val="22"/>
          <w:lang w:eastAsia="ja-JP"/>
        </w:rPr>
        <w:instrText>he evolution of heterogeneous spherulite during the time-resolved isothermal crystallization process was explored. Time-resolved IR and NIR imaging and polarized microscopic studies detected the PHB domains are able to separate from the PHB/CAB blends early in the process. Principal component analysis (PCA) was used to classify the distribution of the different morphologies of spherulite. The first principal component suggests that the discrimination of the imaging spectra relies largely upon the crystallinity, while the second principal component indicates the variations in the amorphous portion of PHB, the CAB contents, and the intermolecular hydrogen bonding of PHB and CAB. The PC1−PC2 scores of different parts of the spherulite suggest that the areas of low crystallinity in the blend spherulite contain both PHB and CAB.","author":[{"dropping-particle":"","family":"Suttiwijitpukdee","given":"Nattaporn","non-dropping-particle":"","parse-names":false,"suffix":""},{"dropping-particle":"","family":"Sato","given":"Harumi","non-dropping-particle":"","parse-names":false,"suffix":""},{"dropping-particle":"","family":"Unger","given":"Miriam","non-dropping-particle":"","parse-names":false,"suffix":""},{"dropping-particle":"","family":"Ozaki","given":"Yukihiro","non-dropping-particle":"","parse-names":false,"suffix":""}],"container-title":"Macromolecules","id":"ITEM-1","issued":{"date-parts":[["2012"]]},"page":"2738-2748","title":"Effects of Hydrogen Bond Intermolecular Interactions on the Crystal Spherulite of Poly(3-hydroxybutyrate) and Cellulose Acetate Butyrate Blends: Studied by FT-IR and FT-NIR Imaging Spectroscopy","type":"article-journal","volume":"45"},"uris":["http://www.mendeley.com/documents/?uuid=d17e4d53-9437-3afc-b271-005bf2b002c4"]}],"mendeley":{"formattedCitation":"[9]","plainTextFormattedCitation":"[9]","previouslyFormattedCitation":"[9]"},"properties":{"noteIndex":0},"schema":"https://github.com/citation-style-language/schema/raw/master/csl-citation.json"}</w:instrText>
      </w:r>
      <w:r w:rsidR="00263A0E" w:rsidRPr="00B64A89">
        <w:rPr>
          <w:color w:val="auto"/>
          <w:sz w:val="22"/>
          <w:szCs w:val="22"/>
          <w:lang w:eastAsia="ja-JP"/>
        </w:rPr>
        <w:fldChar w:fldCharType="separate"/>
      </w:r>
      <w:r w:rsidR="00263A0E" w:rsidRPr="00B64A89">
        <w:rPr>
          <w:noProof/>
          <w:color w:val="auto"/>
          <w:sz w:val="22"/>
          <w:szCs w:val="22"/>
          <w:lang w:eastAsia="ja-JP"/>
        </w:rPr>
        <w:t>[9]</w:t>
      </w:r>
      <w:r w:rsidR="00263A0E" w:rsidRPr="00B64A89">
        <w:rPr>
          <w:color w:val="auto"/>
          <w:sz w:val="22"/>
          <w:szCs w:val="22"/>
          <w:lang w:eastAsia="ja-JP"/>
        </w:rPr>
        <w:fldChar w:fldCharType="end"/>
      </w:r>
      <w:r w:rsidR="00263A0E" w:rsidRPr="00B64A89">
        <w:rPr>
          <w:rFonts w:hint="eastAsia"/>
          <w:color w:val="auto"/>
          <w:sz w:val="22"/>
          <w:szCs w:val="22"/>
          <w:lang w:eastAsia="ja-JP"/>
        </w:rPr>
        <w:t xml:space="preserve">, copolymer </w:t>
      </w:r>
      <w:r w:rsidR="00263A0E" w:rsidRPr="00B64A89">
        <w:rPr>
          <w:color w:val="auto"/>
          <w:sz w:val="22"/>
          <w:szCs w:val="22"/>
          <w:lang w:eastAsia="ja-JP"/>
        </w:rPr>
        <w:fldChar w:fldCharType="begin" w:fldLock="1"/>
      </w:r>
      <w:r w:rsidR="00263A0E" w:rsidRPr="00B64A89">
        <w:rPr>
          <w:color w:val="auto"/>
          <w:sz w:val="22"/>
          <w:szCs w:val="22"/>
          <w:lang w:eastAsia="ja-JP"/>
        </w:rPr>
        <w:instrText>ADDIN CSL_CITATION {"citationItems":[{"id":"ITEM-1","itemData":{"DOI":"10.1016/j.polymer.2017.12.030","ISSN":"00323861","abstract":"Composition-, temperature-, and polarization-dependent low-frequency Raman and terahertz (far-infrared; FIR) spectra were measured for poly(3-hydroxybutyrate-co-3-hydroxyvalerate) (P(HB-co-HV)) with PHB-type crystal structure and PHV-type crystal structure to investigate their intermolecular interactions. Band assignments were attempted by comparing the low-frequency Raman and terahertz (FIR) spectra of P(HB-co-HV) with the varying HV content with the corresponding spectra of PHB and by observing spectral variations. The spectra of P(HB-co-HV) (HV = 9, 15, and 21 mol%) are similar to the corresponding spectra of PHB. There are two bands at 97 and 82 cm−1which are assigned to a spring type vibrational mode of the helical structure and to the mode reflecting the intermolecular interaction (CH3</w:instrText>
      </w:r>
      <w:r w:rsidR="00263A0E" w:rsidRPr="00B64A89">
        <w:rPr>
          <w:rFonts w:ascii="Cambria Math" w:hAnsi="Cambria Math" w:cs="Cambria Math"/>
          <w:color w:val="auto"/>
          <w:sz w:val="22"/>
          <w:szCs w:val="22"/>
          <w:lang w:eastAsia="ja-JP"/>
        </w:rPr>
        <w:instrText>⋯</w:instrText>
      </w:r>
      <w:r w:rsidR="00263A0E" w:rsidRPr="00B64A89">
        <w:rPr>
          <w:color w:val="auto"/>
          <w:sz w:val="22"/>
          <w:szCs w:val="22"/>
          <w:lang w:eastAsia="ja-JP"/>
        </w:rPr>
        <w:instrText>O=C hydrogen bond), respectively. The low-frequency Raman and terahertz spectra of P(HB-co-HV) with HV content of 66 and 88.6 mol% show bands at 91 and 78 cm</w:instrText>
      </w:r>
      <w:r w:rsidR="00263A0E" w:rsidRPr="00B64A89">
        <w:rPr>
          <w:rFonts w:cs="Times"/>
          <w:color w:val="auto"/>
          <w:sz w:val="22"/>
          <w:szCs w:val="22"/>
          <w:lang w:eastAsia="ja-JP"/>
        </w:rPr>
        <w:instrText>−</w:instrText>
      </w:r>
      <w:r w:rsidR="00263A0E" w:rsidRPr="00B64A89">
        <w:rPr>
          <w:color w:val="auto"/>
          <w:sz w:val="22"/>
          <w:szCs w:val="22"/>
          <w:lang w:eastAsia="ja-JP"/>
        </w:rPr>
        <w:instrText>1. The 78 cm</w:instrText>
      </w:r>
      <w:r w:rsidR="00263A0E" w:rsidRPr="00B64A89">
        <w:rPr>
          <w:rFonts w:cs="Times"/>
          <w:color w:val="auto"/>
          <w:sz w:val="22"/>
          <w:szCs w:val="22"/>
          <w:lang w:eastAsia="ja-JP"/>
        </w:rPr>
        <w:instrText>−</w:instrText>
      </w:r>
      <w:r w:rsidR="00263A0E" w:rsidRPr="00B64A89">
        <w:rPr>
          <w:color w:val="auto"/>
          <w:sz w:val="22"/>
          <w:szCs w:val="22"/>
          <w:lang w:eastAsia="ja-JP"/>
        </w:rPr>
        <w:instrText>1band is assigned to the intermolecular interaction (CH2</w:instrText>
      </w:r>
      <w:r w:rsidR="00263A0E" w:rsidRPr="00B64A89">
        <w:rPr>
          <w:rFonts w:ascii="Cambria Math" w:hAnsi="Cambria Math" w:cs="Cambria Math"/>
          <w:color w:val="auto"/>
          <w:sz w:val="22"/>
          <w:szCs w:val="22"/>
          <w:lang w:eastAsia="ja-JP"/>
        </w:rPr>
        <w:instrText>⋯</w:instrText>
      </w:r>
      <w:r w:rsidR="00263A0E" w:rsidRPr="00B64A89">
        <w:rPr>
          <w:color w:val="auto"/>
          <w:sz w:val="22"/>
          <w:szCs w:val="22"/>
          <w:lang w:eastAsia="ja-JP"/>
        </w:rPr>
        <w:instrText>O=C hydrogen bond). In contrast to the 97 cm</w:instrText>
      </w:r>
      <w:r w:rsidR="00263A0E" w:rsidRPr="00B64A89">
        <w:rPr>
          <w:rFonts w:cs="Times"/>
          <w:color w:val="auto"/>
          <w:sz w:val="22"/>
          <w:szCs w:val="22"/>
          <w:lang w:eastAsia="ja-JP"/>
        </w:rPr>
        <w:instrText>−</w:instrText>
      </w:r>
      <w:r w:rsidR="00263A0E" w:rsidRPr="00B64A89">
        <w:rPr>
          <w:color w:val="auto"/>
          <w:sz w:val="22"/>
          <w:szCs w:val="22"/>
          <w:lang w:eastAsia="ja-JP"/>
        </w:rPr>
        <w:instrText>1band of P(HB-co-HV) with the low HV content, the 91 cm</w:instrText>
      </w:r>
      <w:r w:rsidR="00263A0E" w:rsidRPr="00B64A89">
        <w:rPr>
          <w:rFonts w:cs="Times"/>
          <w:color w:val="auto"/>
          <w:sz w:val="22"/>
          <w:szCs w:val="22"/>
          <w:lang w:eastAsia="ja-JP"/>
        </w:rPr>
        <w:instrText>−</w:instrText>
      </w:r>
      <w:r w:rsidR="00263A0E" w:rsidRPr="00B64A89">
        <w:rPr>
          <w:color w:val="auto"/>
          <w:sz w:val="22"/>
          <w:szCs w:val="22"/>
          <w:lang w:eastAsia="ja-JP"/>
        </w:rPr>
        <w:instrText>1band of P(HB-co-HV) with the high HV content show a temperature-dependent shift by 4 cm</w:instrText>
      </w:r>
      <w:r w:rsidR="00263A0E" w:rsidRPr="00B64A89">
        <w:rPr>
          <w:rFonts w:cs="Times"/>
          <w:color w:val="auto"/>
          <w:sz w:val="22"/>
          <w:szCs w:val="22"/>
          <w:lang w:eastAsia="ja-JP"/>
        </w:rPr>
        <w:instrText>−</w:instrText>
      </w:r>
      <w:r w:rsidR="00263A0E" w:rsidRPr="00B64A89">
        <w:rPr>
          <w:color w:val="auto"/>
          <w:sz w:val="22"/>
          <w:szCs w:val="22"/>
          <w:lang w:eastAsia="ja-JP"/>
        </w:rPr>
        <w:instrText>1. Thus, although it seems that both 97 and 91 cm−1bands are due to spring-like vibrational modes, the nature of two vibrational modes seems to be significantly different, reflecting the difference in the intermolecular interaction.","author":[{"dropping-particle":"","family":"Marlina","given":"Dian","non-dropping-particle":"","parse-names":false,"suffix":""},{"dropping-particle":"","family":"Sato","given":"Harumi","non-dropping-particle":"","parse-names":false,"suffix":""},{"dropping-particle":"","family":"Hoshina","given":"Hiromichi","non-dropping-particle":"","parse-names":false,"suffix":""},{"dropping-particle":"","family":"Ozaki","given":"Yukihiro","non-dropping-particle":"","parse-names":false,"suffix":""}],"container-title":"Polymer","id":"ITEM-1","issued":{"date-parts":[["2018"]]},"page":"331-337","publisher":"Elsevier Ltd","title":"Intermolecular interactions of poly(3-hydroxybutyrate-co-3-hydroxyvalerate) (P(HB-co-HV)) with PHB-type crystal structure and PHV-type crystal structure studied by low-frequency Raman and terahertz spectroscopy","type":"article-journal","volume":"135"},"uris":["http://www.mendeley.com/documents/?uuid=df717622-ce36-4605-abab-70276d2fd5c0"]}],"mendeley":{"formattedCitation":"[10]","plainTextFormattedCitation":"[10]","previouslyFormattedCitation":"[10]"},"properties":{"noteIndex":0},"schema":"https://github.com/citation-style-language/schema/raw/master/csl-citation.json"}</w:instrText>
      </w:r>
      <w:r w:rsidR="00263A0E" w:rsidRPr="00B64A89">
        <w:rPr>
          <w:color w:val="auto"/>
          <w:sz w:val="22"/>
          <w:szCs w:val="22"/>
          <w:lang w:eastAsia="ja-JP"/>
        </w:rPr>
        <w:fldChar w:fldCharType="separate"/>
      </w:r>
      <w:r w:rsidR="00263A0E" w:rsidRPr="00B64A89">
        <w:rPr>
          <w:noProof/>
          <w:color w:val="auto"/>
          <w:sz w:val="22"/>
          <w:szCs w:val="22"/>
          <w:lang w:eastAsia="ja-JP"/>
        </w:rPr>
        <w:t>[10]</w:t>
      </w:r>
      <w:r w:rsidR="00263A0E" w:rsidRPr="00B64A89">
        <w:rPr>
          <w:color w:val="auto"/>
          <w:sz w:val="22"/>
          <w:szCs w:val="22"/>
          <w:lang w:eastAsia="ja-JP"/>
        </w:rPr>
        <w:fldChar w:fldCharType="end"/>
      </w:r>
      <w:r w:rsidR="00263A0E" w:rsidRPr="00B64A89">
        <w:rPr>
          <w:rFonts w:hint="eastAsia"/>
          <w:color w:val="auto"/>
          <w:sz w:val="22"/>
          <w:szCs w:val="22"/>
          <w:lang w:eastAsia="ja-JP"/>
        </w:rPr>
        <w:t xml:space="preserve">, and polymer blend system </w:t>
      </w:r>
      <w:r w:rsidR="00263A0E" w:rsidRPr="00B64A89">
        <w:rPr>
          <w:color w:val="auto"/>
          <w:sz w:val="22"/>
          <w:szCs w:val="22"/>
          <w:lang w:eastAsia="ja-JP"/>
        </w:rPr>
        <w:fldChar w:fldCharType="begin" w:fldLock="1"/>
      </w:r>
      <w:r w:rsidR="00263A0E" w:rsidRPr="00B64A89">
        <w:rPr>
          <w:color w:val="auto"/>
          <w:sz w:val="22"/>
          <w:szCs w:val="22"/>
          <w:lang w:eastAsia="ja-JP"/>
        </w:rPr>
        <w:instrText>ADDIN CSL_CITATION {"citationItems":[{"id":"ITEM-1","itemData":{"DOI":"10.1016/j.polymer.2019.121790","ISSN":"00323861","abstract":"Composition- and temperature-dependent far-infrared (FIR), terahertz (THz), and low-frequency Raman spectra of poly(3-hydroxybutyrate) (PHB)/Poly(4-vinylphenol) (PVPh) polymer blends were measured to investigate the effects of PVPh in PHB crystallization. FIR, low-frequency Raman, and wide angle X-ray diffraction (WAXD) studies revealed that PVPh reduces the crystallinity of PHB in blends without a significant change in the crystal structure. The FIR and low-frequency Raman spectra divided the blends into three categories: high-ordered crystalline, less-ordered crystalline, and amorphous. A new peak was observed at 135 cm−1 in the FIR spectra of the PHB/PVPh blends, which may be assigned to the less-ordered crystalline phase of PHB, predicting the inter-molecular hydrogen-bond interactions of PHB/PVPh. The intensity ratio of the peaks at 97 and 82 cm−1 changed with the blending ratio variations owing to the crystalline dynamics of PHB. Deformation of the PHB helical structure occurred first, followed by weakening of the intra-molecular hydrogen-bond within PHB. Shifts of several peaks were observed in the FIR and low-frequency Raman spectra, suggesting that the intra-molecular hydrogen-bond (C[dbnd]O</w:instrText>
      </w:r>
      <w:r w:rsidR="00263A0E" w:rsidRPr="00B64A89">
        <w:rPr>
          <w:rFonts w:ascii="Cambria Math" w:hAnsi="Cambria Math" w:cs="Cambria Math"/>
          <w:color w:val="auto"/>
          <w:sz w:val="22"/>
          <w:szCs w:val="22"/>
          <w:lang w:eastAsia="ja-JP"/>
        </w:rPr>
        <w:instrText>⋯</w:instrText>
      </w:r>
      <w:r w:rsidR="00263A0E" w:rsidRPr="00B64A89">
        <w:rPr>
          <w:color w:val="auto"/>
          <w:sz w:val="22"/>
          <w:szCs w:val="22"/>
          <w:lang w:eastAsia="ja-JP"/>
        </w:rPr>
        <w:instrText>H-C-) within PHB weakened with temperature. The novelty of the present study is to demonstrate that low-frequency vibrational spectroscopy is very sensitive to monitor changes from the intra-molecular hydrogen bonding to inter-molecular hydrogen bonding between PHB and PVPh.","author":[{"dropping-particle":"","family":"Marlina","given":"Dian","non-dropping-particle":"","parse-names":false,"suffix":""},{"dropping-particle":"","family":"Hoshina","given":"Hiromichi","non-dropping-particle":"","parse-names":false,"suffix":""},{"dropping-particle":"","family":"Ozaki","given":"Yukihiro","non-dropping-particle":"","parse-names":false,"suffix":""},{"dropping-particle":"","family":"Sato","given":"Harumi","non-dropping-particle":"","parse-names":false,"suffix":""}],"container-title":"Polymer","id":"ITEM-1","issued":{"date-parts":[["2019"]]},"title":"Crystallization and crystalline dynamics of poly(3-hydroxybutyrate) / poly(4-vinylphenol) polymer blends studied by low-frequency vibrational spectroscopy","type":"article-journal"},"uris":["http://www.mendeley.com/documents/?uuid=0f59fd6e-a0fa-4c46-a40e-fecd00ad5a7e"]},{"id":"ITEM-2","itemData":{"DOI":"10.2116/ANALSCI.19P428","ISSN":"13482246","PMID":"31902826","abstract":"An intensive analysis of far-infrared (far-IR), low-frequency Raman, and wide angle X-ray diffraction (WAXD) data has been performed by two-dimensional correlation spectroscopy (2D-C0S) as a function of the blend ratio of poly(3-hydro\\ybutyrate)/poly(4-vinylphenol) (PHB/PVPh). Honiospectral 2D-C0S revealed that a weak band at 128 cm-1 in the far-IR spectra appeared more clearly in the 2D correlation spectra. Heterospectral 2D-C0S (far-IR/Iow-frequency Raman and far-IRAVAXD) provided very important results that were hardly detected in the conventional 2D-COS. A far-IR peak at 130 cm-1 in the heterospectral 2D-COS had negative correlations with the peaks in the low-frequency Raman spectra at 81, 100, and 110 cm-1 and \\\\v\\XD profile 8.78 and 11.01°. These results indicated that those peaks have different origins; the 130 cm-1 peak comes from the intermolecular C=0-H-0 hydrogen bond between PHB and PVPh, while those for low-frequency Raman and WAXD peaks are the features of PHB crystalline structure.","author":[{"dropping-particle":"","family":"Marlina","given":"Dian","non-dropping-particle":"","parse-names":false,"suffix":""},{"dropping-particle":"","family":"Park","given":"Yeonju","non-dropping-particle":"","parse-names":false,"suffix":""},{"dropping-particle":"","family":"Hoshina","given":"Hiromichi","non-dropping-particle":"","parse-names":false,"suffix":""},{"dropping-particle":"","family":"Ozaki","given":"Yukihiro","non-dropping-particle":"","parse-names":false,"suffix":""},{"dropping-particle":"","family":"Jung","given":"Young Mee","non-dropping-particle":"","parse-names":false,"suffix":""},{"dropping-particle":"","family":"Sato","given":"Harumi","non-dropping-particle":"","parse-names":false,"suffix":""}],"container-title":"Analytical Sciences","id":"ITEM-2","issued":{"date-parts":[["2020"]]},"title":"A study on blend ratio-dependent Far-IR and low-frequency raman spectra and WAXD patterns of poly(3-hydroxybutyrate)/poly(4-vinylphenol) using homospectral and heterospectral two-dimensional correlation spectroscopy","type":"article-journal"},"uris":["http://www.mendeley.com/documents/?uuid=bea84d6d-67cc-46a7-aaa9-fc64ab8515c9"]}],"mendeley":{"formattedCitation":"[11,12]","plainTextFormattedCitation":"[11,12]","previouslyFormattedCitation":"[11,12]"},"properties":{"noteIndex":0},"schema":"https://github.com/citation-style-language/schema/raw/master/csl-citation.json"}</w:instrText>
      </w:r>
      <w:r w:rsidR="00263A0E" w:rsidRPr="00B64A89">
        <w:rPr>
          <w:color w:val="auto"/>
          <w:sz w:val="22"/>
          <w:szCs w:val="22"/>
          <w:lang w:eastAsia="ja-JP"/>
        </w:rPr>
        <w:fldChar w:fldCharType="separate"/>
      </w:r>
      <w:r w:rsidR="00263A0E" w:rsidRPr="00B64A89">
        <w:rPr>
          <w:noProof/>
          <w:color w:val="auto"/>
          <w:sz w:val="22"/>
          <w:szCs w:val="22"/>
          <w:lang w:eastAsia="ja-JP"/>
        </w:rPr>
        <w:t>[11,12]</w:t>
      </w:r>
      <w:r w:rsidR="00263A0E" w:rsidRPr="00B64A89">
        <w:rPr>
          <w:color w:val="auto"/>
          <w:sz w:val="22"/>
          <w:szCs w:val="22"/>
          <w:lang w:eastAsia="ja-JP"/>
        </w:rPr>
        <w:fldChar w:fldCharType="end"/>
      </w:r>
      <w:r w:rsidR="00263A0E" w:rsidRPr="00B64A89">
        <w:rPr>
          <w:rFonts w:hint="eastAsia"/>
          <w:color w:val="auto"/>
          <w:sz w:val="22"/>
          <w:szCs w:val="22"/>
          <w:lang w:eastAsia="ja-JP"/>
        </w:rPr>
        <w:t xml:space="preserve">. </w:t>
      </w:r>
      <w:commentRangeStart w:id="1"/>
      <w:r w:rsidR="00263A0E" w:rsidRPr="00B64A89">
        <w:rPr>
          <w:rFonts w:hint="eastAsia"/>
          <w:color w:val="auto"/>
          <w:sz w:val="22"/>
          <w:szCs w:val="22"/>
          <w:lang w:eastAsia="ja-JP"/>
        </w:rPr>
        <w:t xml:space="preserve">Therefore, this study has been focused in the monitoring of the hydrogen bond between PEG and CAB in order to understand crystalline structure conformation of PEG/CAB biopolymer blend. </w:t>
      </w:r>
      <w:commentRangeEnd w:id="1"/>
      <w:r w:rsidR="00243BFB">
        <w:rPr>
          <w:rStyle w:val="CommentReference"/>
          <w:color w:val="auto"/>
        </w:rPr>
        <w:commentReference w:id="1"/>
      </w:r>
    </w:p>
    <w:p w14:paraId="6E5C90C9" w14:textId="77777777" w:rsidR="009A0487" w:rsidRPr="00B64A89" w:rsidRDefault="00487388">
      <w:pPr>
        <w:pStyle w:val="Section"/>
        <w:rPr>
          <w:color w:val="auto"/>
        </w:rPr>
      </w:pPr>
      <w:commentRangeStart w:id="2"/>
      <w:r w:rsidRPr="00B64A89">
        <w:rPr>
          <w:rFonts w:hint="eastAsia"/>
          <w:color w:val="auto"/>
          <w:lang w:eastAsia="ja-JP"/>
        </w:rPr>
        <w:t>Methods</w:t>
      </w:r>
      <w:commentRangeEnd w:id="2"/>
      <w:r w:rsidR="00243BFB">
        <w:rPr>
          <w:rStyle w:val="CommentReference"/>
          <w:b w:val="0"/>
          <w:iCs w:val="0"/>
          <w:color w:val="auto"/>
        </w:rPr>
        <w:commentReference w:id="2"/>
      </w:r>
    </w:p>
    <w:p w14:paraId="702B652E" w14:textId="77777777" w:rsidR="009A0487" w:rsidRPr="00B64A89" w:rsidRDefault="00B12680" w:rsidP="00EE0D12">
      <w:pPr>
        <w:jc w:val="both"/>
        <w:rPr>
          <w:rFonts w:ascii="Times New Roman" w:eastAsia="MS Mincho" w:hAnsi="Times New Roman"/>
          <w:szCs w:val="22"/>
          <w:lang w:eastAsia="ja-JP"/>
        </w:rPr>
      </w:pPr>
      <w:r w:rsidRPr="00B64A89">
        <w:rPr>
          <w:rFonts w:hint="eastAsia"/>
          <w:lang w:eastAsia="ja-JP"/>
        </w:rPr>
        <w:t>Film s</w:t>
      </w:r>
      <w:r w:rsidR="009C6561" w:rsidRPr="00B64A89">
        <w:rPr>
          <w:rFonts w:hint="eastAsia"/>
          <w:lang w:eastAsia="ja-JP"/>
        </w:rPr>
        <w:t xml:space="preserve">ample of PEG/CAB biopolymer blend with multiple ratio combinations </w:t>
      </w:r>
      <w:r w:rsidR="006F3090" w:rsidRPr="00B64A89">
        <w:rPr>
          <w:rFonts w:hint="eastAsia"/>
          <w:lang w:eastAsia="ja-JP"/>
        </w:rPr>
        <w:t xml:space="preserve">of (100/0), (90/10), (80/20), (70/30), (60/40), (50/50), (40/60), (30/70), (20/80), (10/100), and (0/100) </w:t>
      </w:r>
      <w:r w:rsidR="009C6561" w:rsidRPr="00B64A89">
        <w:rPr>
          <w:rFonts w:hint="eastAsia"/>
          <w:lang w:eastAsia="ja-JP"/>
        </w:rPr>
        <w:t xml:space="preserve">were prepared by mixing </w:t>
      </w:r>
      <w:r w:rsidR="00755CA0" w:rsidRPr="00B64A89">
        <w:rPr>
          <w:rFonts w:hint="eastAsia"/>
          <w:lang w:eastAsia="ja-JP"/>
        </w:rPr>
        <w:t xml:space="preserve">low molecular weight of </w:t>
      </w:r>
      <w:r w:rsidR="009C6561" w:rsidRPr="00B64A89">
        <w:rPr>
          <w:rFonts w:ascii="Times New Roman" w:eastAsia="MS Mincho" w:hAnsi="Times New Roman"/>
          <w:szCs w:val="22"/>
          <w:lang w:eastAsia="ja-JP"/>
        </w:rPr>
        <w:t>PEG (Mn = 2.0x10</w:t>
      </w:r>
      <w:r w:rsidR="009C6561" w:rsidRPr="00B64A89">
        <w:rPr>
          <w:rFonts w:ascii="Times New Roman" w:eastAsia="MS Mincho" w:hAnsi="Times New Roman"/>
          <w:szCs w:val="22"/>
          <w:vertAlign w:val="superscript"/>
          <w:lang w:eastAsia="ja-JP"/>
        </w:rPr>
        <w:t>4</w:t>
      </w:r>
      <w:r w:rsidR="009C6561" w:rsidRPr="00B64A89">
        <w:rPr>
          <w:rFonts w:ascii="Times New Roman" w:eastAsia="MS Mincho" w:hAnsi="Times New Roman"/>
          <w:szCs w:val="22"/>
          <w:lang w:eastAsia="ja-JP"/>
        </w:rPr>
        <w:t>) and CAB (Mn = 6.5x10</w:t>
      </w:r>
      <w:r w:rsidR="009C6561" w:rsidRPr="00B64A89">
        <w:rPr>
          <w:rFonts w:ascii="Times New Roman" w:eastAsia="MS Mincho" w:hAnsi="Times New Roman"/>
          <w:szCs w:val="22"/>
          <w:vertAlign w:val="superscript"/>
          <w:lang w:eastAsia="ja-JP"/>
        </w:rPr>
        <w:t>4</w:t>
      </w:r>
      <w:r w:rsidR="009C6561" w:rsidRPr="00B64A89">
        <w:rPr>
          <w:rFonts w:ascii="Times New Roman" w:eastAsia="MS Mincho" w:hAnsi="Times New Roman"/>
          <w:szCs w:val="22"/>
          <w:lang w:eastAsia="ja-JP"/>
        </w:rPr>
        <w:t>)</w:t>
      </w:r>
      <w:r w:rsidR="00755CA0" w:rsidRPr="00B64A89">
        <w:rPr>
          <w:rFonts w:ascii="Times New Roman" w:eastAsia="MS Mincho" w:hAnsi="Times New Roman" w:hint="eastAsia"/>
          <w:szCs w:val="22"/>
          <w:lang w:eastAsia="ja-JP"/>
        </w:rPr>
        <w:t xml:space="preserve"> obtained</w:t>
      </w:r>
      <w:r w:rsidR="009C6561" w:rsidRPr="00B64A89">
        <w:rPr>
          <w:rFonts w:ascii="Times New Roman" w:eastAsia="MS Mincho" w:hAnsi="Times New Roman"/>
          <w:szCs w:val="22"/>
          <w:lang w:eastAsia="ja-JP"/>
        </w:rPr>
        <w:t xml:space="preserve"> f</w:t>
      </w:r>
      <w:r w:rsidR="00755CA0" w:rsidRPr="00B64A89">
        <w:rPr>
          <w:rFonts w:ascii="Times New Roman" w:eastAsia="MS Mincho" w:hAnsi="Times New Roman"/>
          <w:szCs w:val="22"/>
          <w:lang w:eastAsia="ja-JP"/>
        </w:rPr>
        <w:t>rom Aldrich Chemical Co., Ltd.</w:t>
      </w:r>
      <w:r w:rsidR="00755CA0" w:rsidRPr="00B64A89">
        <w:rPr>
          <w:rFonts w:ascii="Times New Roman" w:eastAsia="MS Mincho" w:hAnsi="Times New Roman" w:hint="eastAsia"/>
          <w:szCs w:val="22"/>
          <w:lang w:eastAsia="ja-JP"/>
        </w:rPr>
        <w:t xml:space="preserve"> Without any purification process, PEG and CAB with determined weight were </w:t>
      </w:r>
      <w:r w:rsidR="00933504" w:rsidRPr="00B64A89">
        <w:rPr>
          <w:rFonts w:ascii="Times New Roman" w:eastAsia="MS Mincho" w:hAnsi="Times New Roman" w:hint="eastAsia"/>
          <w:szCs w:val="22"/>
          <w:lang w:eastAsia="ja-JP"/>
        </w:rPr>
        <w:t>dissolved separately in chloroform (CHCl</w:t>
      </w:r>
      <w:r w:rsidR="00933504" w:rsidRPr="00B64A89">
        <w:rPr>
          <w:rFonts w:ascii="Times New Roman" w:eastAsia="MS Mincho" w:hAnsi="Times New Roman" w:hint="eastAsia"/>
          <w:szCs w:val="22"/>
          <w:vertAlign w:val="subscript"/>
          <w:lang w:eastAsia="ja-JP"/>
        </w:rPr>
        <w:t>3</w:t>
      </w:r>
      <w:r w:rsidR="00933504" w:rsidRPr="00B64A89">
        <w:rPr>
          <w:rFonts w:ascii="Times New Roman" w:eastAsia="MS Mincho" w:hAnsi="Times New Roman" w:hint="eastAsia"/>
          <w:szCs w:val="22"/>
          <w:lang w:eastAsia="ja-JP"/>
        </w:rPr>
        <w:t>)</w:t>
      </w:r>
      <w:r w:rsidR="00E85A99" w:rsidRPr="00B64A89">
        <w:rPr>
          <w:rFonts w:ascii="Times New Roman" w:eastAsia="MS Mincho" w:hAnsi="Times New Roman" w:hint="eastAsia"/>
          <w:szCs w:val="22"/>
          <w:lang w:eastAsia="ja-JP"/>
        </w:rPr>
        <w:t xml:space="preserve"> at 60</w:t>
      </w:r>
      <w:r w:rsidR="00E85A99" w:rsidRPr="00B64A89">
        <w:rPr>
          <w:rFonts w:ascii="Times New Roman" w:eastAsia="MS Mincho" w:hAnsi="Times New Roman" w:hint="eastAsia"/>
          <w:szCs w:val="22"/>
          <w:vertAlign w:val="superscript"/>
          <w:lang w:eastAsia="ja-JP"/>
        </w:rPr>
        <w:t>O</w:t>
      </w:r>
      <w:r w:rsidR="00E85A99" w:rsidRPr="00B64A89">
        <w:rPr>
          <w:rFonts w:ascii="Times New Roman" w:eastAsia="MS Mincho" w:hAnsi="Times New Roman" w:hint="eastAsia"/>
          <w:szCs w:val="22"/>
          <w:lang w:eastAsia="ja-JP"/>
        </w:rPr>
        <w:t>C while stirring</w:t>
      </w:r>
      <w:r w:rsidR="007123F6" w:rsidRPr="00B64A89">
        <w:rPr>
          <w:rFonts w:ascii="Times New Roman" w:eastAsia="MS Mincho" w:hAnsi="Times New Roman" w:hint="eastAsia"/>
          <w:szCs w:val="22"/>
          <w:lang w:eastAsia="ja-JP"/>
        </w:rPr>
        <w:t xml:space="preserve"> them until both of them completely solubilized</w:t>
      </w:r>
      <w:r w:rsidR="00933504" w:rsidRPr="00B64A89">
        <w:rPr>
          <w:rFonts w:ascii="Times New Roman" w:eastAsia="MS Mincho" w:hAnsi="Times New Roman" w:hint="eastAsia"/>
          <w:szCs w:val="22"/>
          <w:lang w:eastAsia="ja-JP"/>
        </w:rPr>
        <w:t xml:space="preserve">. </w:t>
      </w:r>
      <w:r w:rsidRPr="00B64A89">
        <w:rPr>
          <w:rFonts w:ascii="Times New Roman" w:eastAsia="MS Mincho" w:hAnsi="Times New Roman" w:hint="eastAsia"/>
          <w:szCs w:val="22"/>
          <w:lang w:eastAsia="ja-JP"/>
        </w:rPr>
        <w:t>Blended</w:t>
      </w:r>
      <w:r w:rsidR="00933504" w:rsidRPr="00B64A89">
        <w:rPr>
          <w:rFonts w:ascii="Times New Roman" w:eastAsia="MS Mincho" w:hAnsi="Times New Roman" w:hint="eastAsia"/>
          <w:szCs w:val="22"/>
          <w:lang w:eastAsia="ja-JP"/>
        </w:rPr>
        <w:t xml:space="preserve"> </w:t>
      </w:r>
      <w:r w:rsidR="00E85A99" w:rsidRPr="00B64A89">
        <w:rPr>
          <w:rFonts w:ascii="Times New Roman" w:eastAsia="MS Mincho" w:hAnsi="Times New Roman" w:hint="eastAsia"/>
          <w:szCs w:val="22"/>
          <w:lang w:eastAsia="ja-JP"/>
        </w:rPr>
        <w:t>the two solutions</w:t>
      </w:r>
      <w:r w:rsidRPr="00B64A89">
        <w:rPr>
          <w:rFonts w:ascii="Times New Roman" w:eastAsia="MS Mincho" w:hAnsi="Times New Roman" w:hint="eastAsia"/>
          <w:szCs w:val="22"/>
          <w:lang w:eastAsia="ja-JP"/>
        </w:rPr>
        <w:t xml:space="preserve"> in a beaker glass</w:t>
      </w:r>
      <w:r w:rsidR="00933504" w:rsidRPr="00B64A89">
        <w:rPr>
          <w:rFonts w:ascii="Times New Roman" w:eastAsia="MS Mincho" w:hAnsi="Times New Roman" w:hint="eastAsia"/>
          <w:szCs w:val="22"/>
          <w:lang w:eastAsia="ja-JP"/>
        </w:rPr>
        <w:t xml:space="preserve"> and </w:t>
      </w:r>
      <w:r w:rsidR="00E85A99" w:rsidRPr="00B64A89">
        <w:rPr>
          <w:rFonts w:ascii="Times New Roman" w:eastAsia="MS Mincho" w:hAnsi="Times New Roman" w:hint="eastAsia"/>
          <w:szCs w:val="22"/>
          <w:lang w:eastAsia="ja-JP"/>
        </w:rPr>
        <w:t>continue stirring</w:t>
      </w:r>
      <w:r w:rsidR="00933504" w:rsidRPr="00B64A89">
        <w:rPr>
          <w:rFonts w:ascii="Times New Roman" w:eastAsia="MS Mincho" w:hAnsi="Times New Roman" w:hint="eastAsia"/>
          <w:szCs w:val="22"/>
          <w:lang w:eastAsia="ja-JP"/>
        </w:rPr>
        <w:t xml:space="preserve"> for 48 hours at 60</w:t>
      </w:r>
      <w:r w:rsidR="00933504" w:rsidRPr="00B64A89">
        <w:rPr>
          <w:rFonts w:ascii="Times New Roman" w:eastAsia="MS Mincho" w:hAnsi="Times New Roman" w:hint="eastAsia"/>
          <w:szCs w:val="22"/>
          <w:vertAlign w:val="superscript"/>
          <w:lang w:eastAsia="ja-JP"/>
        </w:rPr>
        <w:t>O</w:t>
      </w:r>
      <w:r w:rsidR="00933504" w:rsidRPr="00B64A89">
        <w:rPr>
          <w:rFonts w:ascii="Times New Roman" w:eastAsia="MS Mincho" w:hAnsi="Times New Roman" w:hint="eastAsia"/>
          <w:szCs w:val="22"/>
          <w:lang w:eastAsia="ja-JP"/>
        </w:rPr>
        <w:t>C</w:t>
      </w:r>
      <w:r w:rsidRPr="00B64A89">
        <w:rPr>
          <w:rFonts w:ascii="Times New Roman" w:eastAsia="MS Mincho" w:hAnsi="Times New Roman" w:hint="eastAsia"/>
          <w:szCs w:val="22"/>
          <w:lang w:eastAsia="ja-JP"/>
        </w:rPr>
        <w:t>, t</w:t>
      </w:r>
      <w:r w:rsidR="00E85A99" w:rsidRPr="00B64A89">
        <w:rPr>
          <w:rFonts w:ascii="Times New Roman" w:eastAsia="MS Mincho" w:hAnsi="Times New Roman" w:hint="eastAsia"/>
          <w:szCs w:val="22"/>
          <w:lang w:eastAsia="ja-JP"/>
        </w:rPr>
        <w:t>he</w:t>
      </w:r>
      <w:r w:rsidR="00933504" w:rsidRPr="00B64A89">
        <w:rPr>
          <w:rFonts w:ascii="Times New Roman" w:eastAsia="MS Mincho" w:hAnsi="Times New Roman" w:hint="eastAsia"/>
          <w:szCs w:val="22"/>
          <w:lang w:eastAsia="ja-JP"/>
        </w:rPr>
        <w:t xml:space="preserve"> </w:t>
      </w:r>
      <w:r w:rsidR="00933504" w:rsidRPr="00B64A89">
        <w:rPr>
          <w:rFonts w:ascii="Times New Roman" w:eastAsia="MS Mincho" w:hAnsi="Times New Roman"/>
          <w:szCs w:val="22"/>
          <w:lang w:eastAsia="ja-JP"/>
        </w:rPr>
        <w:t>mixture</w:t>
      </w:r>
      <w:r w:rsidR="00933504" w:rsidRPr="00B64A89">
        <w:rPr>
          <w:rFonts w:ascii="Times New Roman" w:eastAsia="MS Mincho" w:hAnsi="Times New Roman" w:hint="eastAsia"/>
          <w:szCs w:val="22"/>
          <w:lang w:eastAsia="ja-JP"/>
        </w:rPr>
        <w:t xml:space="preserve"> was</w:t>
      </w:r>
      <w:r w:rsidR="00E85A99" w:rsidRPr="00B64A89">
        <w:rPr>
          <w:rFonts w:ascii="Times New Roman" w:eastAsia="MS Mincho" w:hAnsi="Times New Roman" w:hint="eastAsia"/>
          <w:szCs w:val="22"/>
          <w:lang w:eastAsia="ja-JP"/>
        </w:rPr>
        <w:t xml:space="preserve"> then</w:t>
      </w:r>
      <w:r w:rsidR="00933504" w:rsidRPr="00B64A89">
        <w:rPr>
          <w:rFonts w:ascii="Times New Roman" w:eastAsia="MS Mincho" w:hAnsi="Times New Roman" w:hint="eastAsia"/>
          <w:szCs w:val="22"/>
          <w:lang w:eastAsia="ja-JP"/>
        </w:rPr>
        <w:t xml:space="preserve"> </w:t>
      </w:r>
      <w:r w:rsidR="00E85A99" w:rsidRPr="00B64A89">
        <w:rPr>
          <w:rFonts w:ascii="Times New Roman" w:eastAsia="MS Mincho" w:hAnsi="Times New Roman"/>
          <w:szCs w:val="22"/>
          <w:lang w:eastAsia="ja-JP"/>
        </w:rPr>
        <w:t>transferred</w:t>
      </w:r>
      <w:r w:rsidR="00933504" w:rsidRPr="00B64A89">
        <w:rPr>
          <w:rFonts w:ascii="Times New Roman" w:eastAsia="MS Mincho" w:hAnsi="Times New Roman" w:hint="eastAsia"/>
          <w:szCs w:val="22"/>
          <w:lang w:eastAsia="ja-JP"/>
        </w:rPr>
        <w:t xml:space="preserve"> into a petri </w:t>
      </w:r>
      <w:r w:rsidR="00E85A99" w:rsidRPr="00B64A89">
        <w:rPr>
          <w:rFonts w:ascii="Times New Roman" w:eastAsia="MS Mincho" w:hAnsi="Times New Roman" w:hint="eastAsia"/>
          <w:szCs w:val="22"/>
          <w:lang w:eastAsia="ja-JP"/>
        </w:rPr>
        <w:t>dish to evaporate the solvent at room temperature for 24 hours</w:t>
      </w:r>
      <w:r w:rsidRPr="00B64A89">
        <w:rPr>
          <w:rFonts w:ascii="Times New Roman" w:eastAsia="MS Mincho" w:hAnsi="Times New Roman" w:hint="eastAsia"/>
          <w:szCs w:val="22"/>
          <w:lang w:eastAsia="ja-JP"/>
        </w:rPr>
        <w:t xml:space="preserve"> until a film sample was obtained</w:t>
      </w:r>
      <w:r w:rsidR="00E85A99" w:rsidRPr="00B64A89">
        <w:rPr>
          <w:rFonts w:ascii="Times New Roman" w:eastAsia="MS Mincho" w:hAnsi="Times New Roman" w:hint="eastAsia"/>
          <w:szCs w:val="22"/>
          <w:lang w:eastAsia="ja-JP"/>
        </w:rPr>
        <w:t xml:space="preserve">. </w:t>
      </w:r>
      <w:r w:rsidRPr="00B64A89">
        <w:rPr>
          <w:rFonts w:ascii="Times New Roman" w:eastAsia="MS Mincho" w:hAnsi="Times New Roman" w:hint="eastAsia"/>
          <w:szCs w:val="22"/>
          <w:lang w:eastAsia="ja-JP"/>
        </w:rPr>
        <w:t xml:space="preserve">The </w:t>
      </w:r>
      <w:r w:rsidRPr="00B64A89">
        <w:rPr>
          <w:rFonts w:ascii="Times New Roman" w:eastAsia="MS Mincho" w:hAnsi="Times New Roman"/>
          <w:szCs w:val="22"/>
          <w:lang w:eastAsia="ja-JP"/>
        </w:rPr>
        <w:t>thickness</w:t>
      </w:r>
      <w:r w:rsidRPr="00B64A89">
        <w:rPr>
          <w:rFonts w:ascii="Times New Roman" w:eastAsia="MS Mincho" w:hAnsi="Times New Roman" w:hint="eastAsia"/>
          <w:szCs w:val="22"/>
          <w:lang w:eastAsia="ja-JP"/>
        </w:rPr>
        <w:t xml:space="preserve"> of the obtained film sample was controlled </w:t>
      </w:r>
      <w:r w:rsidRPr="00B64A89">
        <w:rPr>
          <w:rFonts w:ascii="Times New Roman" w:eastAsia="MS Mincho" w:hAnsi="Times New Roman"/>
          <w:szCs w:val="22"/>
          <w:lang w:eastAsia="ja-JP"/>
        </w:rPr>
        <w:t>about</w:t>
      </w:r>
      <w:r w:rsidRPr="00B64A89">
        <w:rPr>
          <w:rFonts w:ascii="Times New Roman" w:eastAsia="MS Mincho" w:hAnsi="Times New Roman" w:hint="eastAsia"/>
          <w:szCs w:val="22"/>
          <w:lang w:eastAsia="ja-JP"/>
        </w:rPr>
        <w:t xml:space="preserve"> 100</w:t>
      </w:r>
      <w:r w:rsidRPr="00B64A89">
        <w:rPr>
          <w:rFonts w:ascii="Times New Roman" w:eastAsia="MS Mincho" w:hAnsi="Times New Roman"/>
          <w:szCs w:val="22"/>
          <w:lang w:eastAsia="ja-JP"/>
        </w:rPr>
        <w:t>μ</w:t>
      </w:r>
      <w:r w:rsidRPr="00B64A89">
        <w:rPr>
          <w:rFonts w:ascii="Times New Roman" w:eastAsia="MS Mincho" w:hAnsi="Times New Roman" w:hint="eastAsia"/>
          <w:szCs w:val="22"/>
          <w:lang w:eastAsia="ja-JP"/>
        </w:rPr>
        <w:t xml:space="preserve">m thick by melted and pressed </w:t>
      </w:r>
      <w:r w:rsidR="00C510C2" w:rsidRPr="00B64A89">
        <w:rPr>
          <w:rFonts w:ascii="Times New Roman" w:eastAsia="MS Mincho" w:hAnsi="Times New Roman" w:hint="eastAsia"/>
          <w:szCs w:val="22"/>
          <w:lang w:eastAsia="ja-JP"/>
        </w:rPr>
        <w:t xml:space="preserve">the sample </w:t>
      </w:r>
      <w:r w:rsidR="004D1040" w:rsidRPr="00B64A89">
        <w:rPr>
          <w:rFonts w:ascii="Times New Roman" w:eastAsia="MS Mincho" w:hAnsi="Times New Roman" w:hint="eastAsia"/>
          <w:szCs w:val="22"/>
          <w:lang w:eastAsia="ja-JP"/>
        </w:rPr>
        <w:t>on</w:t>
      </w:r>
      <w:r w:rsidR="00C510C2" w:rsidRPr="00B64A89">
        <w:rPr>
          <w:rFonts w:ascii="Times New Roman" w:eastAsia="MS Mincho" w:hAnsi="Times New Roman" w:hint="eastAsia"/>
          <w:szCs w:val="22"/>
          <w:lang w:eastAsia="ja-JP"/>
        </w:rPr>
        <w:t xml:space="preserve"> a hot plate. Finally, the 100</w:t>
      </w:r>
      <w:r w:rsidR="00C510C2" w:rsidRPr="00B64A89">
        <w:rPr>
          <w:rFonts w:ascii="Times New Roman" w:eastAsia="MS Mincho" w:hAnsi="Times New Roman"/>
          <w:szCs w:val="22"/>
          <w:lang w:eastAsia="ja-JP"/>
        </w:rPr>
        <w:t>μ</w:t>
      </w:r>
      <w:r w:rsidR="00C510C2" w:rsidRPr="00B64A89">
        <w:rPr>
          <w:rFonts w:ascii="Times New Roman" w:eastAsia="MS Mincho" w:hAnsi="Times New Roman" w:hint="eastAsia"/>
          <w:szCs w:val="22"/>
          <w:lang w:eastAsia="ja-JP"/>
        </w:rPr>
        <w:t xml:space="preserve">m thick film sample was inserted into </w:t>
      </w:r>
      <w:r w:rsidR="004D1040" w:rsidRPr="00B64A89">
        <w:rPr>
          <w:rFonts w:ascii="Times New Roman" w:eastAsia="MS Mincho" w:hAnsi="Times New Roman" w:hint="eastAsia"/>
          <w:szCs w:val="22"/>
          <w:lang w:eastAsia="ja-JP"/>
        </w:rPr>
        <w:t xml:space="preserve">a vacuum </w:t>
      </w:r>
      <w:r w:rsidR="00C510C2" w:rsidRPr="00B64A89">
        <w:rPr>
          <w:rFonts w:ascii="Times New Roman" w:eastAsia="MS Mincho" w:hAnsi="Times New Roman" w:hint="eastAsia"/>
          <w:szCs w:val="22"/>
          <w:lang w:eastAsia="ja-JP"/>
        </w:rPr>
        <w:t>oven at 60</w:t>
      </w:r>
      <w:r w:rsidR="00C510C2" w:rsidRPr="00B64A89">
        <w:rPr>
          <w:rFonts w:ascii="Times New Roman" w:eastAsia="MS Mincho" w:hAnsi="Times New Roman" w:hint="eastAsia"/>
          <w:szCs w:val="22"/>
          <w:vertAlign w:val="superscript"/>
          <w:lang w:eastAsia="ja-JP"/>
        </w:rPr>
        <w:t>O</w:t>
      </w:r>
      <w:r w:rsidR="00C510C2" w:rsidRPr="00B64A89">
        <w:rPr>
          <w:rFonts w:ascii="Times New Roman" w:eastAsia="MS Mincho" w:hAnsi="Times New Roman" w:hint="eastAsia"/>
          <w:szCs w:val="22"/>
          <w:lang w:eastAsia="ja-JP"/>
        </w:rPr>
        <w:t xml:space="preserve">C for 12 hours in order to obtain the perfect crystallization conformation of the blend sample. </w:t>
      </w:r>
      <w:r w:rsidR="006F3090" w:rsidRPr="00B64A89">
        <w:rPr>
          <w:rFonts w:hint="eastAsia"/>
          <w:lang w:eastAsia="ja-JP"/>
        </w:rPr>
        <w:t>Raman spectra measurements have been done for the eleventh ratio combinations of the PEG/CAB film sample at room temperature. The measurements were conducted by using Kaiser Hololab 5000 with excitation wavelength of 785 nm, resolution of 4 cm</w:t>
      </w:r>
      <w:r w:rsidR="006F3090" w:rsidRPr="00B64A89">
        <w:rPr>
          <w:rFonts w:hint="eastAsia"/>
          <w:vertAlign w:val="superscript"/>
          <w:lang w:eastAsia="ja-JP"/>
        </w:rPr>
        <w:t>-1</w:t>
      </w:r>
      <w:r w:rsidR="006F3090" w:rsidRPr="00B64A89">
        <w:rPr>
          <w:rFonts w:hint="eastAsia"/>
          <w:lang w:eastAsia="ja-JP"/>
        </w:rPr>
        <w:t xml:space="preserve">, </w:t>
      </w:r>
      <w:r w:rsidR="00EE0D12" w:rsidRPr="00B64A89">
        <w:rPr>
          <w:rFonts w:hint="eastAsia"/>
          <w:lang w:eastAsia="ja-JP"/>
        </w:rPr>
        <w:t xml:space="preserve">accumulation number of 10 times, </w:t>
      </w:r>
      <w:r w:rsidR="00324C80" w:rsidRPr="00B64A89">
        <w:rPr>
          <w:rFonts w:hint="eastAsia"/>
          <w:lang w:eastAsia="ja-JP"/>
        </w:rPr>
        <w:t>and exposure time of 10 second.</w:t>
      </w:r>
    </w:p>
    <w:p w14:paraId="4BD580C8" w14:textId="77777777" w:rsidR="00487388" w:rsidRPr="00B64A89" w:rsidRDefault="00487388" w:rsidP="00487388">
      <w:pPr>
        <w:pStyle w:val="Section"/>
        <w:rPr>
          <w:color w:val="auto"/>
          <w:lang w:eastAsia="ja-JP"/>
        </w:rPr>
      </w:pPr>
      <w:r w:rsidRPr="00B64A89">
        <w:rPr>
          <w:rFonts w:hint="eastAsia"/>
          <w:color w:val="auto"/>
          <w:lang w:eastAsia="ja-JP"/>
        </w:rPr>
        <w:t xml:space="preserve">Results and </w:t>
      </w:r>
      <w:commentRangeStart w:id="3"/>
      <w:r w:rsidRPr="00B64A89">
        <w:rPr>
          <w:rFonts w:hint="eastAsia"/>
          <w:color w:val="auto"/>
          <w:lang w:eastAsia="ja-JP"/>
        </w:rPr>
        <w:t>discussion</w:t>
      </w:r>
      <w:commentRangeEnd w:id="3"/>
      <w:r w:rsidR="00243BFB">
        <w:rPr>
          <w:rStyle w:val="CommentReference"/>
          <w:b w:val="0"/>
          <w:iCs w:val="0"/>
          <w:color w:val="auto"/>
        </w:rPr>
        <w:commentReference w:id="3"/>
      </w:r>
    </w:p>
    <w:p w14:paraId="58BA6839" w14:textId="77777777" w:rsidR="00E637E7" w:rsidRPr="00B64A89" w:rsidRDefault="00E64B5B" w:rsidP="001027DE">
      <w:pPr>
        <w:pStyle w:val="BodytextIndented"/>
        <w:ind w:firstLine="0"/>
        <w:rPr>
          <w:color w:val="auto"/>
          <w:lang w:eastAsia="ja-JP"/>
        </w:rPr>
      </w:pPr>
      <w:r w:rsidRPr="00B64A89">
        <w:rPr>
          <w:rFonts w:hint="eastAsia"/>
          <w:color w:val="auto"/>
          <w:lang w:val="en-GB" w:eastAsia="ja-JP"/>
        </w:rPr>
        <w:t xml:space="preserve">Raman spectra of PEG/CAB biopolymer blend film sample </w:t>
      </w:r>
      <w:r w:rsidR="00091000" w:rsidRPr="00B64A89">
        <w:rPr>
          <w:color w:val="auto"/>
          <w:lang w:val="en-GB" w:eastAsia="ja-JP"/>
        </w:rPr>
        <w:t>with</w:t>
      </w:r>
      <w:r w:rsidRPr="00B64A89">
        <w:rPr>
          <w:rFonts w:hint="eastAsia"/>
          <w:color w:val="auto"/>
          <w:lang w:val="en-GB" w:eastAsia="ja-JP"/>
        </w:rPr>
        <w:t xml:space="preserve"> various ratio combinations of </w:t>
      </w:r>
      <w:r w:rsidRPr="00B64A89">
        <w:rPr>
          <w:rFonts w:hint="eastAsia"/>
          <w:color w:val="auto"/>
          <w:lang w:eastAsia="ja-JP"/>
        </w:rPr>
        <w:t xml:space="preserve">(100/0), (90/10), (80/20), (70/30), (60/40), (50/50), (40/60), (30/70), (20/80), (10/100), and (0/100) in the C-H stretching region and C=O stretching region are shown in Figure 2. </w:t>
      </w:r>
      <w:r w:rsidR="00D455B5" w:rsidRPr="00B64A89">
        <w:rPr>
          <w:rFonts w:hint="eastAsia"/>
          <w:color w:val="auto"/>
          <w:lang w:eastAsia="ja-JP"/>
        </w:rPr>
        <w:t>In the C-H stretching region which lies from about 3000</w:t>
      </w:r>
      <w:r w:rsidR="00D455B5" w:rsidRPr="00B64A89">
        <w:rPr>
          <w:color w:val="auto"/>
          <w:lang w:eastAsia="ja-JP"/>
        </w:rPr>
        <w:t>–</w:t>
      </w:r>
      <w:r w:rsidR="00D455B5" w:rsidRPr="00B64A89">
        <w:rPr>
          <w:rFonts w:hint="eastAsia"/>
          <w:color w:val="auto"/>
          <w:lang w:eastAsia="ja-JP"/>
        </w:rPr>
        <w:t>2700 cm</w:t>
      </w:r>
      <w:r w:rsidR="00D455B5" w:rsidRPr="00B64A89">
        <w:rPr>
          <w:rFonts w:hint="eastAsia"/>
          <w:color w:val="auto"/>
          <w:vertAlign w:val="superscript"/>
          <w:lang w:eastAsia="ja-JP"/>
        </w:rPr>
        <w:t>-1</w:t>
      </w:r>
      <w:r w:rsidR="00D455B5" w:rsidRPr="00B64A89">
        <w:rPr>
          <w:rFonts w:hint="eastAsia"/>
          <w:color w:val="auto"/>
          <w:lang w:eastAsia="ja-JP"/>
        </w:rPr>
        <w:t xml:space="preserve"> there are several bands can be obtained </w:t>
      </w:r>
      <w:r w:rsidR="00A8660E" w:rsidRPr="00B64A89">
        <w:rPr>
          <w:rFonts w:hint="eastAsia"/>
          <w:color w:val="auto"/>
          <w:lang w:eastAsia="ja-JP"/>
        </w:rPr>
        <w:t>due</w:t>
      </w:r>
      <w:r w:rsidR="00D455B5" w:rsidRPr="00B64A89">
        <w:rPr>
          <w:rFonts w:hint="eastAsia"/>
          <w:color w:val="auto"/>
          <w:lang w:eastAsia="ja-JP"/>
        </w:rPr>
        <w:t xml:space="preserve"> to the </w:t>
      </w:r>
      <w:r w:rsidR="007F02E1" w:rsidRPr="00B64A89">
        <w:rPr>
          <w:color w:val="auto"/>
          <w:lang w:eastAsia="ja-JP"/>
        </w:rPr>
        <w:t xml:space="preserve">presence of </w:t>
      </w:r>
      <w:r w:rsidR="00A8660E" w:rsidRPr="00B64A89">
        <w:rPr>
          <w:rFonts w:hint="eastAsia"/>
          <w:color w:val="auto"/>
          <w:lang w:eastAsia="ja-JP"/>
        </w:rPr>
        <w:t xml:space="preserve">PEG and CAB. </w:t>
      </w:r>
      <w:r w:rsidR="00091000" w:rsidRPr="00B64A89">
        <w:rPr>
          <w:color w:val="auto"/>
          <w:lang w:eastAsia="ja-JP"/>
        </w:rPr>
        <w:t>The</w:t>
      </w:r>
      <w:r w:rsidR="00614A6C" w:rsidRPr="00B64A89">
        <w:rPr>
          <w:rFonts w:hint="eastAsia"/>
          <w:color w:val="auto"/>
          <w:lang w:eastAsia="ja-JP"/>
        </w:rPr>
        <w:t xml:space="preserve"> highest PEG component of (100/0) have 6 bands </w:t>
      </w:r>
      <w:r w:rsidR="00614A6C" w:rsidRPr="00B64A89">
        <w:rPr>
          <w:color w:val="auto"/>
          <w:lang w:eastAsia="ja-JP"/>
        </w:rPr>
        <w:t>appeared</w:t>
      </w:r>
      <w:r w:rsidR="00614A6C" w:rsidRPr="00B64A89">
        <w:rPr>
          <w:rFonts w:hint="eastAsia"/>
          <w:color w:val="auto"/>
          <w:lang w:eastAsia="ja-JP"/>
        </w:rPr>
        <w:t xml:space="preserve"> at 2946, 2937, 2911, 2886, 2836, and 2779 cm</w:t>
      </w:r>
      <w:r w:rsidR="00614A6C" w:rsidRPr="00B64A89">
        <w:rPr>
          <w:rFonts w:hint="eastAsia"/>
          <w:color w:val="auto"/>
          <w:vertAlign w:val="superscript"/>
          <w:lang w:eastAsia="ja-JP"/>
        </w:rPr>
        <w:t>-1</w:t>
      </w:r>
      <w:r w:rsidR="00614A6C" w:rsidRPr="00B64A89">
        <w:rPr>
          <w:rFonts w:hint="eastAsia"/>
          <w:color w:val="auto"/>
          <w:lang w:eastAsia="ja-JP"/>
        </w:rPr>
        <w:t>. These bands are related to the crystalline phase of PEG. While, the highest CAB component of (0/100) shows 2 major bands at 2937 and 2875 cm</w:t>
      </w:r>
      <w:r w:rsidR="00614A6C" w:rsidRPr="00B64A89">
        <w:rPr>
          <w:rFonts w:hint="eastAsia"/>
          <w:color w:val="auto"/>
          <w:vertAlign w:val="superscript"/>
          <w:lang w:eastAsia="ja-JP"/>
        </w:rPr>
        <w:t>-1</w:t>
      </w:r>
      <w:r w:rsidR="00614A6C" w:rsidRPr="00B64A89">
        <w:rPr>
          <w:rFonts w:hint="eastAsia"/>
          <w:color w:val="auto"/>
          <w:lang w:eastAsia="ja-JP"/>
        </w:rPr>
        <w:t xml:space="preserve"> also another 2 shoulder bands at 2965 and 2913 </w:t>
      </w:r>
      <w:r w:rsidR="00542583" w:rsidRPr="00B64A89">
        <w:rPr>
          <w:rFonts w:hint="eastAsia"/>
          <w:color w:val="auto"/>
          <w:lang w:eastAsia="ja-JP"/>
        </w:rPr>
        <w:t>cm</w:t>
      </w:r>
      <w:r w:rsidR="00542583" w:rsidRPr="00B64A89">
        <w:rPr>
          <w:rFonts w:hint="eastAsia"/>
          <w:color w:val="auto"/>
          <w:vertAlign w:val="superscript"/>
          <w:lang w:eastAsia="ja-JP"/>
        </w:rPr>
        <w:t>-1</w:t>
      </w:r>
      <w:r w:rsidR="00542583" w:rsidRPr="00B64A89">
        <w:rPr>
          <w:rFonts w:hint="eastAsia"/>
          <w:color w:val="auto"/>
          <w:lang w:eastAsia="ja-JP"/>
        </w:rPr>
        <w:t xml:space="preserve"> </w:t>
      </w:r>
      <w:r w:rsidR="00614A6C" w:rsidRPr="00B64A89">
        <w:rPr>
          <w:rFonts w:hint="eastAsia"/>
          <w:color w:val="auto"/>
          <w:lang w:eastAsia="ja-JP"/>
        </w:rPr>
        <w:t xml:space="preserve">which are </w:t>
      </w:r>
      <w:r w:rsidR="007F02E1" w:rsidRPr="00B64A89">
        <w:rPr>
          <w:color w:val="auto"/>
          <w:lang w:eastAsia="ja-JP"/>
        </w:rPr>
        <w:t xml:space="preserve">associated </w:t>
      </w:r>
      <w:r w:rsidR="00614A6C" w:rsidRPr="00B64A89">
        <w:rPr>
          <w:rFonts w:hint="eastAsia"/>
          <w:color w:val="auto"/>
          <w:lang w:eastAsia="ja-JP"/>
        </w:rPr>
        <w:t>to the amorphous phase of CAB.</w:t>
      </w:r>
      <w:r w:rsidR="001027DE" w:rsidRPr="00B64A89">
        <w:rPr>
          <w:rFonts w:hint="eastAsia"/>
          <w:color w:val="auto"/>
          <w:lang w:eastAsia="ja-JP"/>
        </w:rPr>
        <w:t xml:space="preserve"> </w:t>
      </w:r>
      <w:r w:rsidR="00E637E7" w:rsidRPr="00B64A89">
        <w:rPr>
          <w:rFonts w:hint="eastAsia"/>
          <w:color w:val="auto"/>
          <w:lang w:eastAsia="ja-JP"/>
        </w:rPr>
        <w:t>T</w:t>
      </w:r>
      <w:r w:rsidR="00E637E7" w:rsidRPr="00B64A89">
        <w:rPr>
          <w:color w:val="auto"/>
          <w:lang w:eastAsia="ja-JP"/>
        </w:rPr>
        <w:t>he addition</w:t>
      </w:r>
      <w:r w:rsidR="00B11507" w:rsidRPr="00B64A89">
        <w:rPr>
          <w:rFonts w:hint="eastAsia"/>
          <w:color w:val="auto"/>
          <w:lang w:eastAsia="ja-JP"/>
        </w:rPr>
        <w:t>s</w:t>
      </w:r>
      <w:r w:rsidR="00E637E7" w:rsidRPr="00B64A89">
        <w:rPr>
          <w:color w:val="auto"/>
          <w:lang w:eastAsia="ja-JP"/>
        </w:rPr>
        <w:t xml:space="preserve"> of the CAB ratio </w:t>
      </w:r>
      <w:r w:rsidR="00B11507" w:rsidRPr="00B64A89">
        <w:rPr>
          <w:rFonts w:hint="eastAsia"/>
          <w:color w:val="auto"/>
          <w:lang w:eastAsia="ja-JP"/>
        </w:rPr>
        <w:t xml:space="preserve">in the PEG/CAB blend sample </w:t>
      </w:r>
      <w:r w:rsidR="00E637E7" w:rsidRPr="00B64A89">
        <w:rPr>
          <w:color w:val="auto"/>
          <w:lang w:eastAsia="ja-JP"/>
        </w:rPr>
        <w:t>cause a change</w:t>
      </w:r>
      <w:r w:rsidR="00E637E7" w:rsidRPr="00B64A89">
        <w:rPr>
          <w:rFonts w:hint="eastAsia"/>
          <w:color w:val="auto"/>
          <w:lang w:eastAsia="ja-JP"/>
        </w:rPr>
        <w:t xml:space="preserve"> </w:t>
      </w:r>
      <w:r w:rsidR="00B11507" w:rsidRPr="00B64A89">
        <w:rPr>
          <w:rFonts w:hint="eastAsia"/>
          <w:color w:val="auto"/>
          <w:lang w:eastAsia="ja-JP"/>
        </w:rPr>
        <w:t xml:space="preserve">in the </w:t>
      </w:r>
      <w:r w:rsidR="00E637E7" w:rsidRPr="00B64A89">
        <w:rPr>
          <w:color w:val="auto"/>
          <w:lang w:eastAsia="ja-JP"/>
        </w:rPr>
        <w:t>Raman spectra</w:t>
      </w:r>
      <w:r w:rsidR="00B11507" w:rsidRPr="00B64A89">
        <w:rPr>
          <w:rFonts w:hint="eastAsia"/>
          <w:color w:val="auto"/>
          <w:lang w:eastAsia="ja-JP"/>
        </w:rPr>
        <w:t xml:space="preserve"> which is </w:t>
      </w:r>
      <w:r w:rsidR="00E637E7" w:rsidRPr="00B64A89">
        <w:rPr>
          <w:color w:val="auto"/>
          <w:lang w:eastAsia="ja-JP"/>
        </w:rPr>
        <w:t xml:space="preserve">gradually </w:t>
      </w:r>
      <w:r w:rsidR="00E637E7" w:rsidRPr="00B64A89">
        <w:rPr>
          <w:rFonts w:hint="eastAsia"/>
          <w:color w:val="auto"/>
          <w:lang w:eastAsia="ja-JP"/>
        </w:rPr>
        <w:t>transfer</w:t>
      </w:r>
      <w:r w:rsidR="00E637E7" w:rsidRPr="00B64A89">
        <w:rPr>
          <w:color w:val="auto"/>
          <w:lang w:eastAsia="ja-JP"/>
        </w:rPr>
        <w:t xml:space="preserve"> from the PEG-like spectrum to the CAB-like spectrum with transition point at the ratio combination</w:t>
      </w:r>
      <w:r w:rsidR="00E637E7" w:rsidRPr="00B64A89">
        <w:rPr>
          <w:rFonts w:hint="eastAsia"/>
          <w:color w:val="auto"/>
          <w:lang w:eastAsia="ja-JP"/>
        </w:rPr>
        <w:t xml:space="preserve"> of (30/70). It indicates that </w:t>
      </w:r>
      <w:r w:rsidR="00B11507" w:rsidRPr="00B64A89">
        <w:rPr>
          <w:rFonts w:hint="eastAsia"/>
          <w:color w:val="auto"/>
          <w:lang w:eastAsia="ja-JP"/>
        </w:rPr>
        <w:t xml:space="preserve">the crystalline conformation of the blend sample could be modified from the crystalline phase of PEG to the amorphous phase of CAB vice versa due to </w:t>
      </w:r>
      <w:r w:rsidR="00267E0A" w:rsidRPr="00B64A89">
        <w:rPr>
          <w:rFonts w:hint="eastAsia"/>
          <w:color w:val="auto"/>
          <w:lang w:eastAsia="ja-JP"/>
        </w:rPr>
        <w:t>its</w:t>
      </w:r>
      <w:r w:rsidR="00B11507" w:rsidRPr="00B64A89">
        <w:rPr>
          <w:rFonts w:hint="eastAsia"/>
          <w:color w:val="auto"/>
          <w:lang w:eastAsia="ja-JP"/>
        </w:rPr>
        <w:t xml:space="preserve"> </w:t>
      </w:r>
      <w:r w:rsidR="00267E0A" w:rsidRPr="00B64A89">
        <w:rPr>
          <w:rFonts w:hint="eastAsia"/>
          <w:color w:val="auto"/>
          <w:lang w:eastAsia="ja-JP"/>
        </w:rPr>
        <w:t xml:space="preserve">ratio combination. </w:t>
      </w:r>
    </w:p>
    <w:p w14:paraId="023D3E4F" w14:textId="77777777" w:rsidR="002A5B49" w:rsidRPr="00B64A89" w:rsidRDefault="000B3969" w:rsidP="0028228C">
      <w:pPr>
        <w:pStyle w:val="BodytextIndented"/>
        <w:rPr>
          <w:color w:val="auto"/>
          <w:lang w:eastAsia="ja-JP"/>
        </w:rPr>
      </w:pPr>
      <w:r w:rsidRPr="00B64A89">
        <w:rPr>
          <w:rFonts w:hint="eastAsia"/>
          <w:noProof/>
          <w:color w:val="auto"/>
          <w:lang w:val="en-GB" w:eastAsia="ja-JP"/>
        </w:rPr>
        <w:lastRenderedPageBreak/>
        <mc:AlternateContent>
          <mc:Choice Requires="wps">
            <w:drawing>
              <wp:anchor distT="0" distB="0" distL="114300" distR="114300" simplePos="0" relativeHeight="251659264" behindDoc="0" locked="0" layoutInCell="1" allowOverlap="1" wp14:anchorId="1CCA1766" wp14:editId="0FF056DC">
                <wp:simplePos x="0" y="0"/>
                <wp:positionH relativeFrom="margin">
                  <wp:align>left</wp:align>
                </wp:positionH>
                <wp:positionV relativeFrom="margin">
                  <wp:align>top</wp:align>
                </wp:positionV>
                <wp:extent cx="3059430" cy="5039995"/>
                <wp:effectExtent l="0" t="0" r="26670" b="27305"/>
                <wp:wrapSquare wrapText="bothSides"/>
                <wp:docPr id="116" name="Text Box 116"/>
                <wp:cNvGraphicFramePr/>
                <a:graphic xmlns:a="http://schemas.openxmlformats.org/drawingml/2006/main">
                  <a:graphicData uri="http://schemas.microsoft.com/office/word/2010/wordprocessingShape">
                    <wps:wsp>
                      <wps:cNvSpPr txBox="1"/>
                      <wps:spPr>
                        <a:xfrm>
                          <a:off x="0" y="0"/>
                          <a:ext cx="3059430" cy="503999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B8F8A1" w14:textId="77777777" w:rsidR="00091000" w:rsidRDefault="00091000" w:rsidP="005F3946">
                            <w:pPr>
                              <w:rPr>
                                <w:lang w:eastAsia="ja-JP"/>
                              </w:rPr>
                            </w:pPr>
                            <w:r w:rsidRPr="00DB7B29">
                              <w:rPr>
                                <w:noProof/>
                                <w:lang w:eastAsia="ja-JP"/>
                              </w:rPr>
                              <w:drawing>
                                <wp:inline distT="0" distB="0" distL="0" distR="0" wp14:anchorId="05352388" wp14:editId="62A0D09A">
                                  <wp:extent cx="2813050" cy="4138461"/>
                                  <wp:effectExtent l="0" t="0" r="6350" b="0"/>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3050" cy="4138461"/>
                                          </a:xfrm>
                                          <a:prstGeom prst="rect">
                                            <a:avLst/>
                                          </a:prstGeom>
                                          <a:noFill/>
                                          <a:ln>
                                            <a:noFill/>
                                          </a:ln>
                                          <a:effectLst/>
                                        </pic:spPr>
                                      </pic:pic>
                                    </a:graphicData>
                                  </a:graphic>
                                </wp:inline>
                              </w:drawing>
                            </w:r>
                          </w:p>
                          <w:p w14:paraId="0927140E" w14:textId="77777777" w:rsidR="00091000" w:rsidRPr="00836796" w:rsidRDefault="00091000" w:rsidP="005F3946">
                            <w:pPr>
                              <w:jc w:val="both"/>
                              <w:rPr>
                                <w:rFonts w:ascii="Times New Roman" w:hAnsi="Times New Roman"/>
                                <w:szCs w:val="22"/>
                                <w:lang w:eastAsia="ja-JP"/>
                              </w:rPr>
                            </w:pPr>
                            <w:r w:rsidRPr="00836796">
                              <w:rPr>
                                <w:rFonts w:ascii="Times New Roman" w:hAnsi="Times New Roman"/>
                                <w:b/>
                                <w:szCs w:val="22"/>
                              </w:rPr>
                              <w:t xml:space="preserve">Figure </w:t>
                            </w:r>
                            <w:r>
                              <w:rPr>
                                <w:rFonts w:ascii="Times New Roman" w:hAnsi="Times New Roman" w:hint="eastAsia"/>
                                <w:b/>
                                <w:szCs w:val="22"/>
                                <w:lang w:eastAsia="ja-JP"/>
                              </w:rPr>
                              <w:t>2</w:t>
                            </w:r>
                            <w:r w:rsidRPr="00836796">
                              <w:rPr>
                                <w:rFonts w:ascii="Times New Roman" w:hAnsi="Times New Roman"/>
                                <w:b/>
                                <w:szCs w:val="22"/>
                              </w:rPr>
                              <w:t>.</w:t>
                            </w:r>
                            <w:r w:rsidRPr="00836796">
                              <w:rPr>
                                <w:rFonts w:ascii="Times New Roman" w:hAnsi="Times New Roman"/>
                                <w:szCs w:val="22"/>
                              </w:rPr>
                              <w:t xml:space="preserve"> </w:t>
                            </w:r>
                            <w:r>
                              <w:rPr>
                                <w:rFonts w:ascii="Times New Roman" w:hAnsi="Times New Roman" w:hint="eastAsia"/>
                                <w:szCs w:val="22"/>
                                <w:lang w:eastAsia="ja-JP"/>
                              </w:rPr>
                              <w:t>Raman spectra of PEG/CAB biopolymer blend film sample with eleventh ratio combinations measured at room temperature in the C-H stretching region (3000</w:t>
                            </w:r>
                            <w:r>
                              <w:rPr>
                                <w:rFonts w:ascii="Times New Roman" w:hAnsi="Times New Roman"/>
                                <w:szCs w:val="22"/>
                                <w:lang w:eastAsia="ja-JP"/>
                              </w:rPr>
                              <w:t>–</w:t>
                            </w:r>
                            <w:r>
                              <w:rPr>
                                <w:rFonts w:ascii="Times New Roman" w:hAnsi="Times New Roman" w:hint="eastAsia"/>
                                <w:szCs w:val="22"/>
                                <w:lang w:eastAsia="ja-JP"/>
                              </w:rPr>
                              <w:t>2700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and C=O stretching region (1800</w:t>
                            </w:r>
                            <w:r>
                              <w:rPr>
                                <w:rFonts w:ascii="Times New Roman" w:hAnsi="Times New Roman"/>
                                <w:szCs w:val="22"/>
                                <w:lang w:eastAsia="ja-JP"/>
                              </w:rPr>
                              <w:t>–</w:t>
                            </w:r>
                            <w:r>
                              <w:rPr>
                                <w:rFonts w:ascii="Times New Roman" w:hAnsi="Times New Roman" w:hint="eastAsia"/>
                                <w:szCs w:val="22"/>
                                <w:lang w:eastAsia="ja-JP"/>
                              </w:rPr>
                              <w:t>1650cm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p w14:paraId="3B390F37" w14:textId="77777777" w:rsidR="00091000" w:rsidRDefault="00091000">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1766" id="Text Box 116" o:spid="_x0000_s1028" type="#_x0000_t202" style="position:absolute;left:0;text-align:left;margin-left:0;margin-top:0;width:240.9pt;height:396.8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" filled="f" strokecolor="white [3212]" strokeweight=".5pt">
                <v:textbox>
                  <w:txbxContent>
                    <w:p w14:paraId="2EB8F8A1" w14:textId="77777777" w:rsidR="00091000" w:rsidRDefault="00091000" w:rsidP="005F3946">
                      <w:pPr>
                        <w:rPr>
                          <w:lang w:eastAsia="ja-JP"/>
                        </w:rPr>
                      </w:pPr>
                      <w:r w:rsidRPr="00DB7B29">
                        <w:rPr>
                          <w:noProof/>
                          <w:lang w:eastAsia="ja-JP"/>
                        </w:rPr>
                        <w:drawing>
                          <wp:inline distT="0" distB="0" distL="0" distR="0" wp14:anchorId="05352388" wp14:editId="62A0D09A">
                            <wp:extent cx="2813050" cy="4138461"/>
                            <wp:effectExtent l="0" t="0" r="6350" b="0"/>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3050" cy="4138461"/>
                                    </a:xfrm>
                                    <a:prstGeom prst="rect">
                                      <a:avLst/>
                                    </a:prstGeom>
                                    <a:noFill/>
                                    <a:ln>
                                      <a:noFill/>
                                    </a:ln>
                                    <a:effectLst/>
                                  </pic:spPr>
                                </pic:pic>
                              </a:graphicData>
                            </a:graphic>
                          </wp:inline>
                        </w:drawing>
                      </w:r>
                    </w:p>
                    <w:p w14:paraId="0927140E" w14:textId="77777777" w:rsidR="00091000" w:rsidRPr="00836796" w:rsidRDefault="00091000" w:rsidP="005F3946">
                      <w:pPr>
                        <w:jc w:val="both"/>
                        <w:rPr>
                          <w:rFonts w:ascii="Times New Roman" w:hAnsi="Times New Roman"/>
                          <w:szCs w:val="22"/>
                          <w:lang w:eastAsia="ja-JP"/>
                        </w:rPr>
                      </w:pPr>
                      <w:r w:rsidRPr="00836796">
                        <w:rPr>
                          <w:rFonts w:ascii="Times New Roman" w:hAnsi="Times New Roman"/>
                          <w:b/>
                          <w:szCs w:val="22"/>
                        </w:rPr>
                        <w:t xml:space="preserve">Figure </w:t>
                      </w:r>
                      <w:r>
                        <w:rPr>
                          <w:rFonts w:ascii="Times New Roman" w:hAnsi="Times New Roman" w:hint="eastAsia"/>
                          <w:b/>
                          <w:szCs w:val="22"/>
                          <w:lang w:eastAsia="ja-JP"/>
                        </w:rPr>
                        <w:t>2</w:t>
                      </w:r>
                      <w:r w:rsidRPr="00836796">
                        <w:rPr>
                          <w:rFonts w:ascii="Times New Roman" w:hAnsi="Times New Roman"/>
                          <w:b/>
                          <w:szCs w:val="22"/>
                        </w:rPr>
                        <w:t>.</w:t>
                      </w:r>
                      <w:r w:rsidRPr="00836796">
                        <w:rPr>
                          <w:rFonts w:ascii="Times New Roman" w:hAnsi="Times New Roman"/>
                          <w:szCs w:val="22"/>
                        </w:rPr>
                        <w:t xml:space="preserve"> </w:t>
                      </w:r>
                      <w:r>
                        <w:rPr>
                          <w:rFonts w:ascii="Times New Roman" w:hAnsi="Times New Roman" w:hint="eastAsia"/>
                          <w:szCs w:val="22"/>
                          <w:lang w:eastAsia="ja-JP"/>
                        </w:rPr>
                        <w:t>Raman spectra of PEG/CAB biopolymer blend film sample with eleventh ratio combinations measured at room temperature in the C-H stretching region (3000</w:t>
                      </w:r>
                      <w:r>
                        <w:rPr>
                          <w:rFonts w:ascii="Times New Roman" w:hAnsi="Times New Roman"/>
                          <w:szCs w:val="22"/>
                          <w:lang w:eastAsia="ja-JP"/>
                        </w:rPr>
                        <w:t>–</w:t>
                      </w:r>
                      <w:r>
                        <w:rPr>
                          <w:rFonts w:ascii="Times New Roman" w:hAnsi="Times New Roman" w:hint="eastAsia"/>
                          <w:szCs w:val="22"/>
                          <w:lang w:eastAsia="ja-JP"/>
                        </w:rPr>
                        <w:t>2700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and C=O stretching region (1800</w:t>
                      </w:r>
                      <w:r>
                        <w:rPr>
                          <w:rFonts w:ascii="Times New Roman" w:hAnsi="Times New Roman"/>
                          <w:szCs w:val="22"/>
                          <w:lang w:eastAsia="ja-JP"/>
                        </w:rPr>
                        <w:t>–</w:t>
                      </w:r>
                      <w:r>
                        <w:rPr>
                          <w:rFonts w:ascii="Times New Roman" w:hAnsi="Times New Roman" w:hint="eastAsia"/>
                          <w:szCs w:val="22"/>
                          <w:lang w:eastAsia="ja-JP"/>
                        </w:rPr>
                        <w:t>1650cm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p w14:paraId="3B390F37" w14:textId="77777777" w:rsidR="00091000" w:rsidRDefault="00091000">
                      <w:pPr>
                        <w:rPr>
                          <w:lang w:eastAsia="ja-JP"/>
                        </w:rPr>
                      </w:pPr>
                    </w:p>
                  </w:txbxContent>
                </v:textbox>
                <w10:wrap type="square" anchorx="margin" anchory="margin"/>
              </v:shape>
            </w:pict>
          </mc:Fallback>
        </mc:AlternateContent>
      </w:r>
      <w:r w:rsidR="0028228C" w:rsidRPr="00B64A89">
        <w:rPr>
          <w:rFonts w:hint="eastAsia"/>
          <w:color w:val="auto"/>
          <w:lang w:eastAsia="ja-JP"/>
        </w:rPr>
        <w:t xml:space="preserve">PEG does not have C=O functional group </w:t>
      </w:r>
      <w:r w:rsidR="00C36769" w:rsidRPr="00B64A89">
        <w:rPr>
          <w:rFonts w:hint="eastAsia"/>
          <w:color w:val="auto"/>
          <w:lang w:eastAsia="ja-JP"/>
        </w:rPr>
        <w:t xml:space="preserve">(Figure 1) </w:t>
      </w:r>
      <w:r w:rsidR="0028228C" w:rsidRPr="00B64A89">
        <w:rPr>
          <w:rFonts w:hint="eastAsia"/>
          <w:color w:val="auto"/>
          <w:lang w:eastAsia="ja-JP"/>
        </w:rPr>
        <w:t>hence there is no band of the highest ratio combination of PEG/CAB (100/0) appear in t</w:t>
      </w:r>
      <w:r w:rsidR="00267E0A" w:rsidRPr="00B64A89">
        <w:rPr>
          <w:rFonts w:hint="eastAsia"/>
          <w:color w:val="auto"/>
          <w:lang w:eastAsia="ja-JP"/>
        </w:rPr>
        <w:t xml:space="preserve">he </w:t>
      </w:r>
      <w:r w:rsidR="0028228C" w:rsidRPr="00B64A89">
        <w:rPr>
          <w:rFonts w:hint="eastAsia"/>
          <w:color w:val="auto"/>
          <w:lang w:eastAsia="ja-JP"/>
        </w:rPr>
        <w:t xml:space="preserve">C=O stretching region </w:t>
      </w:r>
      <w:r w:rsidR="00267E0A" w:rsidRPr="00B64A89">
        <w:rPr>
          <w:rFonts w:hint="eastAsia"/>
          <w:color w:val="auto"/>
          <w:lang w:eastAsia="ja-JP"/>
        </w:rPr>
        <w:t>from about 1800</w:t>
      </w:r>
      <w:r w:rsidR="00267E0A" w:rsidRPr="00B64A89">
        <w:rPr>
          <w:color w:val="auto"/>
          <w:lang w:eastAsia="ja-JP"/>
        </w:rPr>
        <w:t>–</w:t>
      </w:r>
      <w:r w:rsidR="00267E0A" w:rsidRPr="00B64A89">
        <w:rPr>
          <w:rFonts w:hint="eastAsia"/>
          <w:color w:val="auto"/>
          <w:lang w:eastAsia="ja-JP"/>
        </w:rPr>
        <w:t>1700 cm</w:t>
      </w:r>
      <w:r w:rsidR="00267E0A" w:rsidRPr="00B64A89">
        <w:rPr>
          <w:rFonts w:hint="eastAsia"/>
          <w:color w:val="auto"/>
          <w:vertAlign w:val="superscript"/>
          <w:lang w:eastAsia="ja-JP"/>
        </w:rPr>
        <w:t>-1</w:t>
      </w:r>
      <w:r w:rsidR="0028228C" w:rsidRPr="00B64A89">
        <w:rPr>
          <w:rFonts w:hint="eastAsia"/>
          <w:color w:val="auto"/>
          <w:lang w:eastAsia="ja-JP"/>
        </w:rPr>
        <w:t>.</w:t>
      </w:r>
      <w:r w:rsidR="00403B38" w:rsidRPr="00B64A89">
        <w:rPr>
          <w:rFonts w:hint="eastAsia"/>
          <w:color w:val="auto"/>
          <w:lang w:eastAsia="ja-JP"/>
        </w:rPr>
        <w:t xml:space="preserve"> On the other hand, PEG/CAB (0/100) shows a peak at 1737 cm</w:t>
      </w:r>
      <w:r w:rsidR="00403B38" w:rsidRPr="00B64A89">
        <w:rPr>
          <w:rFonts w:hint="eastAsia"/>
          <w:color w:val="auto"/>
          <w:vertAlign w:val="superscript"/>
          <w:lang w:eastAsia="ja-JP"/>
        </w:rPr>
        <w:t>-1</w:t>
      </w:r>
      <w:r w:rsidR="00403B38" w:rsidRPr="00B64A89">
        <w:rPr>
          <w:rFonts w:hint="eastAsia"/>
          <w:color w:val="auto"/>
          <w:lang w:eastAsia="ja-JP"/>
        </w:rPr>
        <w:t xml:space="preserve"> which is related to the C=O functional group </w:t>
      </w:r>
      <w:r w:rsidR="00C36769" w:rsidRPr="00B64A89">
        <w:rPr>
          <w:rFonts w:hint="eastAsia"/>
          <w:color w:val="auto"/>
          <w:lang w:eastAsia="ja-JP"/>
        </w:rPr>
        <w:t>of CAB amorphous phase (Figure 2)</w:t>
      </w:r>
      <w:r w:rsidR="00542583" w:rsidRPr="00B64A89">
        <w:rPr>
          <w:rFonts w:hint="eastAsia"/>
          <w:color w:val="auto"/>
          <w:lang w:eastAsia="ja-JP"/>
        </w:rPr>
        <w:t>. This C=O stretching band is clearly shown in the ratio combinations of P</w:t>
      </w:r>
      <w:r w:rsidR="00542583" w:rsidRPr="00B64A89">
        <w:rPr>
          <w:color w:val="auto"/>
          <w:lang w:eastAsia="ja-JP"/>
        </w:rPr>
        <w:t>EG/CAB (</w:t>
      </w:r>
      <w:r w:rsidR="00542583" w:rsidRPr="00B64A89">
        <w:rPr>
          <w:rFonts w:hint="eastAsia"/>
          <w:color w:val="auto"/>
          <w:lang w:eastAsia="ja-JP"/>
        </w:rPr>
        <w:t>80/20</w:t>
      </w:r>
      <w:r w:rsidR="00542583" w:rsidRPr="00B64A89">
        <w:rPr>
          <w:color w:val="auto"/>
          <w:lang w:eastAsia="ja-JP"/>
        </w:rPr>
        <w:t>)</w:t>
      </w:r>
      <w:r w:rsidR="00542583" w:rsidRPr="00B64A89">
        <w:rPr>
          <w:rFonts w:hint="eastAsia"/>
          <w:color w:val="auto"/>
          <w:lang w:eastAsia="ja-JP"/>
        </w:rPr>
        <w:t>, (70/30), (60/40), (50/50), (40/60), (30/70), (20/80), and (10/90). On the case of PEG/CAB (90/10), the baseline at around 1737 cm</w:t>
      </w:r>
      <w:r w:rsidR="00542583" w:rsidRPr="00B64A89">
        <w:rPr>
          <w:rFonts w:hint="eastAsia"/>
          <w:color w:val="auto"/>
          <w:vertAlign w:val="superscript"/>
          <w:lang w:eastAsia="ja-JP"/>
        </w:rPr>
        <w:t xml:space="preserve">-1 </w:t>
      </w:r>
      <w:r w:rsidR="002A5B49" w:rsidRPr="00B64A89">
        <w:rPr>
          <w:rFonts w:hint="eastAsia"/>
          <w:color w:val="auto"/>
          <w:lang w:eastAsia="ja-JP"/>
        </w:rPr>
        <w:t xml:space="preserve">slightly </w:t>
      </w:r>
      <w:r w:rsidR="002A5B49" w:rsidRPr="00B64A89">
        <w:rPr>
          <w:color w:val="auto"/>
          <w:lang w:eastAsia="ja-JP"/>
        </w:rPr>
        <w:t>increases</w:t>
      </w:r>
      <w:r w:rsidR="002A5B49" w:rsidRPr="00B64A89">
        <w:rPr>
          <w:rFonts w:hint="eastAsia"/>
          <w:color w:val="auto"/>
          <w:lang w:eastAsia="ja-JP"/>
        </w:rPr>
        <w:t xml:space="preserve"> with small number of signal to noise ratio. Therefore, </w:t>
      </w:r>
      <w:r w:rsidR="002A5B49" w:rsidRPr="00B64A89">
        <w:rPr>
          <w:color w:val="auto"/>
          <w:lang w:eastAsia="ja-JP"/>
        </w:rPr>
        <w:t>it is</w:t>
      </w:r>
      <w:r w:rsidR="002A5B49" w:rsidRPr="00B64A89">
        <w:rPr>
          <w:rFonts w:hint="eastAsia"/>
          <w:color w:val="auto"/>
          <w:lang w:eastAsia="ja-JP"/>
        </w:rPr>
        <w:t xml:space="preserve"> difficult to determine </w:t>
      </w:r>
      <w:r w:rsidR="002A5B49" w:rsidRPr="00B64A89">
        <w:rPr>
          <w:color w:val="auto"/>
          <w:lang w:eastAsia="ja-JP"/>
        </w:rPr>
        <w:t>wheatear</w:t>
      </w:r>
      <w:r w:rsidR="002A5B49" w:rsidRPr="00B64A89">
        <w:rPr>
          <w:rFonts w:hint="eastAsia"/>
          <w:color w:val="auto"/>
          <w:lang w:eastAsia="ja-JP"/>
        </w:rPr>
        <w:t xml:space="preserve"> </w:t>
      </w:r>
      <w:r w:rsidR="002A5B49" w:rsidRPr="00B64A89">
        <w:rPr>
          <w:color w:val="auto"/>
          <w:lang w:eastAsia="ja-JP"/>
        </w:rPr>
        <w:t>that</w:t>
      </w:r>
      <w:r w:rsidR="002A5B49" w:rsidRPr="00B64A89">
        <w:rPr>
          <w:rFonts w:hint="eastAsia"/>
          <w:color w:val="auto"/>
          <w:lang w:eastAsia="ja-JP"/>
        </w:rPr>
        <w:t xml:space="preserve"> is a real peak or not. </w:t>
      </w:r>
      <w:r w:rsidR="00EC5035" w:rsidRPr="00B64A89">
        <w:rPr>
          <w:rFonts w:hint="eastAsia"/>
          <w:color w:val="auto"/>
          <w:lang w:eastAsia="ja-JP"/>
        </w:rPr>
        <w:t xml:space="preserve">Peak position of this C=O stretching band is somewhat shift to the lowest wavenumber as the addition of PEG ratio in the blend samples. This phenomenon indicates that there might be </w:t>
      </w:r>
      <w:r w:rsidR="00BE4597" w:rsidRPr="00B64A89">
        <w:rPr>
          <w:color w:val="auto"/>
          <w:lang w:eastAsia="ja-JP"/>
        </w:rPr>
        <w:t>an interaction occurs</w:t>
      </w:r>
      <w:r w:rsidR="00EC5035" w:rsidRPr="00B64A89">
        <w:rPr>
          <w:rFonts w:hint="eastAsia"/>
          <w:color w:val="auto"/>
          <w:lang w:eastAsia="ja-JP"/>
        </w:rPr>
        <w:t xml:space="preserve"> between PE</w:t>
      </w:r>
      <w:r w:rsidR="00BE4597" w:rsidRPr="00B64A89">
        <w:rPr>
          <w:rFonts w:hint="eastAsia"/>
          <w:color w:val="auto"/>
          <w:lang w:eastAsia="ja-JP"/>
        </w:rPr>
        <w:t xml:space="preserve">G and CAB which most likely </w:t>
      </w:r>
      <w:r w:rsidR="00BE4597" w:rsidRPr="00B64A89">
        <w:rPr>
          <w:color w:val="auto"/>
          <w:lang w:eastAsia="ja-JP"/>
        </w:rPr>
        <w:t>a</w:t>
      </w:r>
      <w:r w:rsidR="00BE4597" w:rsidRPr="00B64A89">
        <w:rPr>
          <w:rFonts w:hint="eastAsia"/>
          <w:color w:val="auto"/>
          <w:lang w:eastAsia="ja-JP"/>
        </w:rPr>
        <w:t xml:space="preserve"> hydrogen bond interaction. This interaction has a prominent role in stabilizing PEG/CAB </w:t>
      </w:r>
      <w:r w:rsidR="00BE4597" w:rsidRPr="00B64A89">
        <w:rPr>
          <w:color w:val="auto"/>
          <w:lang w:eastAsia="ja-JP"/>
        </w:rPr>
        <w:t>biopolymer</w:t>
      </w:r>
      <w:r w:rsidR="00BE4597" w:rsidRPr="00B64A89">
        <w:rPr>
          <w:rFonts w:hint="eastAsia"/>
          <w:color w:val="auto"/>
          <w:lang w:eastAsia="ja-JP"/>
        </w:rPr>
        <w:t xml:space="preserve"> blend structure. The</w:t>
      </w:r>
      <w:r w:rsidR="002637E5" w:rsidRPr="00B64A89">
        <w:rPr>
          <w:rFonts w:hint="eastAsia"/>
          <w:color w:val="auto"/>
          <w:lang w:eastAsia="ja-JP"/>
        </w:rPr>
        <w:t xml:space="preserve"> band</w:t>
      </w:r>
      <w:r w:rsidR="00BE4597" w:rsidRPr="00B64A89">
        <w:rPr>
          <w:rFonts w:hint="eastAsia"/>
          <w:color w:val="auto"/>
          <w:lang w:eastAsia="ja-JP"/>
        </w:rPr>
        <w:t xml:space="preserve"> position at around 1737 cm</w:t>
      </w:r>
      <w:r w:rsidR="00BE4597" w:rsidRPr="00B64A89">
        <w:rPr>
          <w:rFonts w:hint="eastAsia"/>
          <w:color w:val="auto"/>
          <w:vertAlign w:val="superscript"/>
          <w:lang w:eastAsia="ja-JP"/>
        </w:rPr>
        <w:t>-1</w:t>
      </w:r>
      <w:r w:rsidR="00FF0AFD" w:rsidRPr="00B64A89">
        <w:rPr>
          <w:rFonts w:hint="eastAsia"/>
          <w:color w:val="auto"/>
          <w:lang w:eastAsia="ja-JP"/>
        </w:rPr>
        <w:t xml:space="preserve"> is little bit higher than the C=O stretching band of poly(3-hydroxybutyrate)</w:t>
      </w:r>
      <w:r w:rsidR="002637E5" w:rsidRPr="00B64A89">
        <w:rPr>
          <w:rFonts w:hint="eastAsia"/>
          <w:color w:val="auto"/>
          <w:lang w:eastAsia="ja-JP"/>
        </w:rPr>
        <w:t xml:space="preserve"> (PHB)</w:t>
      </w:r>
      <w:r w:rsidR="00FF0AFD" w:rsidRPr="00B64A89">
        <w:rPr>
          <w:rFonts w:hint="eastAsia"/>
          <w:color w:val="auto"/>
          <w:lang w:eastAsia="ja-JP"/>
        </w:rPr>
        <w:t xml:space="preserve"> at 1723 cm</w:t>
      </w:r>
      <w:r w:rsidR="00FF0AFD" w:rsidRPr="00B64A89">
        <w:rPr>
          <w:rFonts w:hint="eastAsia"/>
          <w:color w:val="auto"/>
          <w:vertAlign w:val="superscript"/>
          <w:lang w:eastAsia="ja-JP"/>
        </w:rPr>
        <w:t>-1</w:t>
      </w:r>
      <w:r w:rsidR="002637E5" w:rsidRPr="00B64A89">
        <w:rPr>
          <w:rFonts w:hint="eastAsia"/>
          <w:color w:val="auto"/>
          <w:lang w:eastAsia="ja-JP"/>
        </w:rPr>
        <w:t xml:space="preserve"> associated with</w:t>
      </w:r>
      <w:r w:rsidR="00FF0AFD" w:rsidRPr="00B64A89">
        <w:rPr>
          <w:rFonts w:hint="eastAsia"/>
          <w:color w:val="auto"/>
          <w:lang w:eastAsia="ja-JP"/>
        </w:rPr>
        <w:t xml:space="preserve"> a weak hydrogen bond interaction</w:t>
      </w:r>
      <w:r w:rsidR="00263A0E" w:rsidRPr="00B64A89">
        <w:rPr>
          <w:rFonts w:hint="eastAsia"/>
          <w:color w:val="auto"/>
          <w:lang w:eastAsia="ja-JP"/>
        </w:rPr>
        <w:t xml:space="preserve"> </w:t>
      </w:r>
      <w:r w:rsidR="00263A0E" w:rsidRPr="00B64A89">
        <w:rPr>
          <w:color w:val="auto"/>
          <w:lang w:eastAsia="ja-JP"/>
        </w:rPr>
        <w:fldChar w:fldCharType="begin" w:fldLock="1"/>
      </w:r>
      <w:r w:rsidR="00263A0E" w:rsidRPr="00B64A89">
        <w:rPr>
          <w:color w:val="auto"/>
          <w:lang w:eastAsia="ja-JP"/>
        </w:rPr>
        <w:instrText>ADDIN CSL_CITATION {"citationItems":[{"id":"ITEM-1","itemData":{"DOI":"10.1016/j.molstruc.2004.10.069","ISSN":"00222860","abstract":"This review paper reports infrared (IR) and Raman spectroscopy and quantum chemistry calculation studies of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bondings and thermal behavior of biodegradable polyhydroxyalkanoates. IR and Raman spectra were measured for poly(3-hydroxybutyrate) (PHB) and a new type of bacterial copolyester, poly(3-hydroxybutyrate-co-3-hydroxyhexanoate), P(HB-co-HHx) (HHx=12 mol%) over a temperature range of 20°C to higher temperatures (PHB, 200°C; HHx=12 mol%, 140°C) to explore their structure and thermal behavior. One of bands due to the CH3 asymmetric stretching modes appears near 3010 cm-1 in the IR and Raman spectra of PHB and P(HB-co-HHx) at 20°C. These frequencies of IR and Raman CH3 asymmetric stretching bands are much higher than usual. These anomalous frequencies of the CH3 asymmetric stretching bands together with the X-ray crystallographic structure of PHB have suggested that there is an inter- or intra-molecular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 between the CO group in one helical structure and the CH3 group in the other helical structure in PHB and P(HB-co-HHx). The quantum chemical calculation of model compounds of PHB also has suggested the existence of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bonds in PHB and P(HB-co-HHx). It is very likely that a chain of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 pairs link two parallel helical structures in the crystalline parts. The temperature-dependent IR and Raman spectral variations have revealed that the crystallinity of P(HB-co-HHx) (HHx=12 mol%) decreases gradually from a fairly low temperature (about 60°C), while the crystallinity of PHB remains almost unchanged until just below its melting temperature. It has also been found from the IR and Raman studies that for both PHB and P(HB-co-HHx) the weakening of the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bonds starts from just above room temperature, but the deformation of helical structures occurs after the weakening of the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bonds advances to some extent. © 2004 Elsevier B.V. All rights reserved.","author":[{"dropping-particle":"","family":"Sato","given":"Harumi","non-dropping-particle":"","parse-names":false,"suffix":""},{"dropping-particle":"","family":"Dybal","given":"Jirǐ","non-dropping-particle":"","parse-names":false,"suffix":""},{"dropping-particle":"","family":"Murakami","given":"Rumi","non-dropping-particle":"","parse-names":false,"suffix":""},{"dropping-particle":"","family":"Noda","given":"Isao","non-dropping-particle":"","parse-names":false,"suffix":""},{"dropping-particle":"","family":"Ozaki","given":"Yukihiro","non-dropping-particle":"","parse-names":false,"suffix":""}],"container-title":"Journal of Molecular Structure","id":"ITEM-1","issued":{"date-parts":[["2005"]]},"title":"Infrared and Raman spectroscopy and quantum chemistry calculation studies of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bondings and thermal behavior of biodegradable polyhydroxyalkanoate","type":"paper-conference"},"uris":["http://www.mendeley.com/documents/?uuid=ac4fd54b-ba0c-42ad-af75-e409b03a8e82"]}],"mendeley":{"formattedCitation":"[13]","plainTextFormattedCitation":"[13]"},"properties":{"noteIndex":0},"schema":"https://github.com/citation-style-language/schema/raw/master/csl-citation.json"}</w:instrText>
      </w:r>
      <w:r w:rsidR="00263A0E" w:rsidRPr="00B64A89">
        <w:rPr>
          <w:color w:val="auto"/>
          <w:lang w:eastAsia="ja-JP"/>
        </w:rPr>
        <w:fldChar w:fldCharType="separate"/>
      </w:r>
      <w:r w:rsidR="00263A0E" w:rsidRPr="00B64A89">
        <w:rPr>
          <w:noProof/>
          <w:color w:val="auto"/>
          <w:lang w:eastAsia="ja-JP"/>
        </w:rPr>
        <w:t>[13]</w:t>
      </w:r>
      <w:r w:rsidR="00263A0E" w:rsidRPr="00B64A89">
        <w:rPr>
          <w:color w:val="auto"/>
          <w:lang w:eastAsia="ja-JP"/>
        </w:rPr>
        <w:fldChar w:fldCharType="end"/>
      </w:r>
      <w:r w:rsidR="00FF0AFD" w:rsidRPr="00B64A89">
        <w:rPr>
          <w:rFonts w:hint="eastAsia"/>
          <w:color w:val="auto"/>
          <w:lang w:eastAsia="ja-JP"/>
        </w:rPr>
        <w:t xml:space="preserve">. </w:t>
      </w:r>
      <w:r w:rsidR="00F14C0F" w:rsidRPr="00B64A89">
        <w:rPr>
          <w:rFonts w:hint="eastAsia"/>
          <w:color w:val="auto"/>
          <w:lang w:eastAsia="ja-JP"/>
        </w:rPr>
        <w:t xml:space="preserve">Therefore, the little higher position of PEG/CAB C=O stretching band indicates that PEG-CAB </w:t>
      </w:r>
      <w:r w:rsidR="00F14C0F" w:rsidRPr="00B64A89">
        <w:rPr>
          <w:color w:val="auto"/>
          <w:lang w:eastAsia="ja-JP"/>
        </w:rPr>
        <w:t>possess</w:t>
      </w:r>
      <w:r w:rsidR="00F14C0F" w:rsidRPr="00B64A89">
        <w:rPr>
          <w:rFonts w:hint="eastAsia"/>
          <w:color w:val="auto"/>
          <w:lang w:eastAsia="ja-JP"/>
        </w:rPr>
        <w:t xml:space="preserve"> a weaker hydrogen bond interaction compare than a homopolymer PHB.</w:t>
      </w:r>
    </w:p>
    <w:p w14:paraId="028C09E3" w14:textId="77777777" w:rsidR="001027DE" w:rsidRPr="00B64A89" w:rsidRDefault="002637E5" w:rsidP="00F84752">
      <w:pPr>
        <w:pStyle w:val="BodytextIndented"/>
        <w:rPr>
          <w:color w:val="auto"/>
          <w:lang w:eastAsia="ja-JP"/>
        </w:rPr>
      </w:pPr>
      <w:r w:rsidRPr="00B64A89">
        <w:rPr>
          <w:rFonts w:hint="eastAsia"/>
          <w:color w:val="auto"/>
          <w:lang w:eastAsia="ja-JP"/>
        </w:rPr>
        <w:t xml:space="preserve">Figure </w:t>
      </w:r>
      <w:r w:rsidR="00F84752" w:rsidRPr="00B64A89">
        <w:rPr>
          <w:rFonts w:hint="eastAsia"/>
          <w:color w:val="auto"/>
          <w:lang w:eastAsia="ja-JP"/>
        </w:rPr>
        <w:t>3</w:t>
      </w:r>
      <w:r w:rsidRPr="00B64A89">
        <w:rPr>
          <w:rFonts w:hint="eastAsia"/>
          <w:color w:val="auto"/>
          <w:lang w:eastAsia="ja-JP"/>
        </w:rPr>
        <w:t xml:space="preserve"> </w:t>
      </w:r>
      <w:r w:rsidR="00341340" w:rsidRPr="00B64A89">
        <w:rPr>
          <w:rFonts w:hint="eastAsia"/>
          <w:color w:val="auto"/>
          <w:lang w:eastAsia="ja-JP"/>
        </w:rPr>
        <w:t xml:space="preserve">presents </w:t>
      </w:r>
      <w:r w:rsidR="00F84752" w:rsidRPr="00B64A89">
        <w:rPr>
          <w:rFonts w:hint="eastAsia"/>
          <w:color w:val="auto"/>
          <w:lang w:val="en-GB" w:eastAsia="ja-JP"/>
        </w:rPr>
        <w:t xml:space="preserve">Raman spectra of PEG/CAB biopolymer blend film sample </w:t>
      </w:r>
      <w:r w:rsidR="00F84752" w:rsidRPr="00B64A89">
        <w:rPr>
          <w:color w:val="auto"/>
          <w:lang w:val="en-GB" w:eastAsia="ja-JP"/>
        </w:rPr>
        <w:t>with</w:t>
      </w:r>
      <w:r w:rsidR="00F84752" w:rsidRPr="00B64A89">
        <w:rPr>
          <w:rFonts w:hint="eastAsia"/>
          <w:color w:val="auto"/>
          <w:lang w:val="en-GB" w:eastAsia="ja-JP"/>
        </w:rPr>
        <w:t xml:space="preserve"> various ratio combinations of </w:t>
      </w:r>
      <w:r w:rsidR="00F84752" w:rsidRPr="00B64A89">
        <w:rPr>
          <w:rFonts w:hint="eastAsia"/>
          <w:color w:val="auto"/>
          <w:lang w:eastAsia="ja-JP"/>
        </w:rPr>
        <w:t>(100/0), (90/10), (80/20), (70/30), (60/40), (50/50), (40/60), (30/70), (20/80), (10/100), and (0/100) in the C-H bending region and C-O-C stretching region at around 1500</w:t>
      </w:r>
      <w:r w:rsidR="00F84752" w:rsidRPr="00B64A89">
        <w:rPr>
          <w:color w:val="auto"/>
          <w:lang w:eastAsia="ja-JP"/>
        </w:rPr>
        <w:t>–</w:t>
      </w:r>
      <w:r w:rsidR="00F84752" w:rsidRPr="00B64A89">
        <w:rPr>
          <w:rFonts w:hint="eastAsia"/>
          <w:color w:val="auto"/>
          <w:lang w:eastAsia="ja-JP"/>
        </w:rPr>
        <w:t>1400 cm</w:t>
      </w:r>
      <w:r w:rsidR="00F84752" w:rsidRPr="00B64A89">
        <w:rPr>
          <w:rFonts w:hint="eastAsia"/>
          <w:color w:val="auto"/>
          <w:vertAlign w:val="superscript"/>
          <w:lang w:eastAsia="ja-JP"/>
        </w:rPr>
        <w:t>-1</w:t>
      </w:r>
      <w:r w:rsidR="00F84752" w:rsidRPr="00B64A89">
        <w:rPr>
          <w:rFonts w:hint="eastAsia"/>
          <w:color w:val="auto"/>
          <w:lang w:eastAsia="ja-JP"/>
        </w:rPr>
        <w:t xml:space="preserve"> and 1000</w:t>
      </w:r>
      <w:r w:rsidR="00F84752" w:rsidRPr="00B64A89">
        <w:rPr>
          <w:color w:val="auto"/>
          <w:lang w:eastAsia="ja-JP"/>
        </w:rPr>
        <w:t>–</w:t>
      </w:r>
      <w:r w:rsidR="00F84752" w:rsidRPr="00B64A89">
        <w:rPr>
          <w:rFonts w:hint="eastAsia"/>
          <w:color w:val="auto"/>
          <w:lang w:eastAsia="ja-JP"/>
        </w:rPr>
        <w:t>800 cm</w:t>
      </w:r>
      <w:r w:rsidR="00F84752" w:rsidRPr="00B64A89">
        <w:rPr>
          <w:rFonts w:hint="eastAsia"/>
          <w:color w:val="auto"/>
          <w:vertAlign w:val="superscript"/>
          <w:lang w:eastAsia="ja-JP"/>
        </w:rPr>
        <w:t>-1</w:t>
      </w:r>
      <w:r w:rsidR="00F84752" w:rsidRPr="00B64A89">
        <w:rPr>
          <w:rFonts w:hint="eastAsia"/>
          <w:color w:val="auto"/>
          <w:lang w:eastAsia="ja-JP"/>
        </w:rPr>
        <w:t xml:space="preserve"> </w:t>
      </w:r>
      <w:r w:rsidR="00F84752" w:rsidRPr="00B64A89">
        <w:rPr>
          <w:color w:val="auto"/>
          <w:lang w:eastAsia="ja-JP"/>
        </w:rPr>
        <w:t>respectively</w:t>
      </w:r>
      <w:r w:rsidR="00F84752" w:rsidRPr="00B64A89">
        <w:rPr>
          <w:rFonts w:hint="eastAsia"/>
          <w:color w:val="auto"/>
          <w:lang w:eastAsia="ja-JP"/>
        </w:rPr>
        <w:t>. In the C-H bending region pure PEG (100/0) shows 3 bands at around 1480, 1467, and 1445 cm</w:t>
      </w:r>
      <w:r w:rsidR="00F84752" w:rsidRPr="00B64A89">
        <w:rPr>
          <w:rFonts w:hint="eastAsia"/>
          <w:color w:val="auto"/>
          <w:vertAlign w:val="superscript"/>
          <w:lang w:eastAsia="ja-JP"/>
        </w:rPr>
        <w:t>-1</w:t>
      </w:r>
      <w:r w:rsidR="004118D8" w:rsidRPr="00B64A89">
        <w:rPr>
          <w:rFonts w:hint="eastAsia"/>
          <w:color w:val="auto"/>
          <w:lang w:eastAsia="ja-JP"/>
        </w:rPr>
        <w:t xml:space="preserve"> due to the crystalline phase of PEG. On the other hand pure CAB (0/100) has 2 bands appear at around 1451 and 1415 cm</w:t>
      </w:r>
      <w:r w:rsidR="004118D8" w:rsidRPr="00B64A89">
        <w:rPr>
          <w:rFonts w:hint="eastAsia"/>
          <w:color w:val="auto"/>
          <w:vertAlign w:val="superscript"/>
          <w:lang w:eastAsia="ja-JP"/>
        </w:rPr>
        <w:t>-1</w:t>
      </w:r>
      <w:r w:rsidR="004118D8" w:rsidRPr="00B64A89">
        <w:rPr>
          <w:rFonts w:hint="eastAsia"/>
          <w:color w:val="auto"/>
          <w:lang w:eastAsia="ja-JP"/>
        </w:rPr>
        <w:t xml:space="preserve"> due to the amorphous phase of CAB. The blend of PEG and CAB with increases PEG ratio resulting </w:t>
      </w:r>
      <w:r w:rsidR="004118D8" w:rsidRPr="00B64A89">
        <w:rPr>
          <w:color w:val="auto"/>
          <w:lang w:eastAsia="ja-JP"/>
        </w:rPr>
        <w:t>in a change of the form of spectra</w:t>
      </w:r>
      <w:r w:rsidR="004118D8" w:rsidRPr="00B64A89">
        <w:rPr>
          <w:rFonts w:hint="eastAsia"/>
          <w:color w:val="auto"/>
          <w:lang w:eastAsia="ja-JP"/>
        </w:rPr>
        <w:t>; from the PEG-like spectra to the CAB-like spectra with the transition point at around (30/70).</w:t>
      </w:r>
      <w:r w:rsidR="00A73E74" w:rsidRPr="00B64A89">
        <w:rPr>
          <w:rFonts w:hint="eastAsia"/>
          <w:color w:val="auto"/>
          <w:lang w:eastAsia="ja-JP"/>
        </w:rPr>
        <w:t xml:space="preserve"> </w:t>
      </w:r>
      <w:r w:rsidR="00A73E74" w:rsidRPr="00B64A89">
        <w:rPr>
          <w:color w:val="auto"/>
          <w:lang w:eastAsia="ja-JP"/>
        </w:rPr>
        <w:t>I</w:t>
      </w:r>
      <w:r w:rsidR="00A73E74" w:rsidRPr="00B64A89">
        <w:rPr>
          <w:rFonts w:hint="eastAsia"/>
          <w:color w:val="auto"/>
          <w:lang w:eastAsia="ja-JP"/>
        </w:rPr>
        <w:t xml:space="preserve">t is a same result with the spectra behavior of the blend sample in the C-H stretching region. Therefore, it also indicates that </w:t>
      </w:r>
      <w:r w:rsidR="00471E7C" w:rsidRPr="00B64A89">
        <w:rPr>
          <w:rFonts w:hint="eastAsia"/>
          <w:color w:val="auto"/>
          <w:lang w:eastAsia="ja-JP"/>
        </w:rPr>
        <w:t>the crystalline structure conformation of PEG transform into the amorphous structure conformation of CAB due to the blending ratio modification.</w:t>
      </w:r>
    </w:p>
    <w:p w14:paraId="5163EAE2" w14:textId="77777777" w:rsidR="00DF1D55" w:rsidRPr="00B64A89" w:rsidRDefault="00A6045A" w:rsidP="00DF1D55">
      <w:pPr>
        <w:pStyle w:val="BodytextIndented"/>
        <w:rPr>
          <w:color w:val="auto"/>
          <w:lang w:eastAsia="ja-JP"/>
        </w:rPr>
      </w:pPr>
      <w:r w:rsidRPr="00B64A89">
        <w:rPr>
          <w:rFonts w:hint="eastAsia"/>
          <w:color w:val="auto"/>
          <w:lang w:eastAsia="ja-JP"/>
        </w:rPr>
        <w:t xml:space="preserve">Spectral bands obtained in the C-O-C stretching region of Raman </w:t>
      </w:r>
      <w:r w:rsidRPr="00B64A89">
        <w:rPr>
          <w:color w:val="auto"/>
          <w:lang w:eastAsia="ja-JP"/>
        </w:rPr>
        <w:t>spectroscopy</w:t>
      </w:r>
      <w:r w:rsidRPr="00B64A89">
        <w:rPr>
          <w:rFonts w:hint="eastAsia"/>
          <w:color w:val="auto"/>
          <w:lang w:eastAsia="ja-JP"/>
        </w:rPr>
        <w:t xml:space="preserve"> represent back bone of polymers. </w:t>
      </w:r>
      <w:r w:rsidR="007A68FE" w:rsidRPr="00B64A89">
        <w:rPr>
          <w:rFonts w:hint="eastAsia"/>
          <w:color w:val="auto"/>
          <w:lang w:eastAsia="ja-JP"/>
        </w:rPr>
        <w:t>In th</w:t>
      </w:r>
      <w:r w:rsidR="00231AC1" w:rsidRPr="00B64A89">
        <w:rPr>
          <w:rFonts w:hint="eastAsia"/>
          <w:color w:val="auto"/>
          <w:lang w:eastAsia="ja-JP"/>
        </w:rPr>
        <w:t>is C-O-C stretching</w:t>
      </w:r>
      <w:r w:rsidR="007A68FE" w:rsidRPr="00B64A89">
        <w:rPr>
          <w:rFonts w:hint="eastAsia"/>
          <w:color w:val="auto"/>
          <w:lang w:eastAsia="ja-JP"/>
        </w:rPr>
        <w:t xml:space="preserve"> region</w:t>
      </w:r>
      <w:r w:rsidR="00615CB5" w:rsidRPr="00B64A89">
        <w:rPr>
          <w:rFonts w:hint="eastAsia"/>
          <w:color w:val="auto"/>
          <w:lang w:eastAsia="ja-JP"/>
        </w:rPr>
        <w:t xml:space="preserve">, </w:t>
      </w:r>
      <w:r w:rsidRPr="00B64A89">
        <w:rPr>
          <w:rFonts w:hint="eastAsia"/>
          <w:color w:val="auto"/>
          <w:lang w:eastAsia="ja-JP"/>
        </w:rPr>
        <w:t xml:space="preserve">there are 2 major bands of the pure PEG at around </w:t>
      </w:r>
      <w:r w:rsidR="007A68FE" w:rsidRPr="00B64A89">
        <w:rPr>
          <w:rFonts w:hint="eastAsia"/>
          <w:color w:val="auto"/>
          <w:lang w:eastAsia="ja-JP"/>
        </w:rPr>
        <w:t>859 and 843 cm</w:t>
      </w:r>
      <w:r w:rsidR="007A68FE" w:rsidRPr="00B64A89">
        <w:rPr>
          <w:rFonts w:hint="eastAsia"/>
          <w:color w:val="auto"/>
          <w:vertAlign w:val="superscript"/>
          <w:lang w:eastAsia="ja-JP"/>
        </w:rPr>
        <w:t>-1</w:t>
      </w:r>
      <w:r w:rsidR="007A68FE" w:rsidRPr="00B64A89">
        <w:rPr>
          <w:rFonts w:hint="eastAsia"/>
          <w:color w:val="auto"/>
          <w:lang w:eastAsia="ja-JP"/>
        </w:rPr>
        <w:t xml:space="preserve"> related to the crystalline structure conformation of PEG. While, pure CAB shows bands at 923, 895, 8</w:t>
      </w:r>
      <w:r w:rsidR="00BE1AD0" w:rsidRPr="00B64A89">
        <w:rPr>
          <w:rFonts w:hint="eastAsia"/>
          <w:color w:val="auto"/>
          <w:lang w:eastAsia="ja-JP"/>
        </w:rPr>
        <w:t>66, and 836 cm</w:t>
      </w:r>
      <w:r w:rsidR="00BE1AD0" w:rsidRPr="00B64A89">
        <w:rPr>
          <w:rFonts w:hint="eastAsia"/>
          <w:color w:val="auto"/>
          <w:vertAlign w:val="superscript"/>
          <w:lang w:eastAsia="ja-JP"/>
        </w:rPr>
        <w:t>-1</w:t>
      </w:r>
      <w:r w:rsidR="00231AC1" w:rsidRPr="00B64A89">
        <w:rPr>
          <w:rFonts w:hint="eastAsia"/>
          <w:color w:val="auto"/>
          <w:vertAlign w:val="superscript"/>
          <w:lang w:eastAsia="ja-JP"/>
        </w:rPr>
        <w:t xml:space="preserve"> </w:t>
      </w:r>
      <w:r w:rsidR="00231AC1" w:rsidRPr="00B64A89">
        <w:rPr>
          <w:rFonts w:hint="eastAsia"/>
          <w:color w:val="auto"/>
          <w:lang w:eastAsia="ja-JP"/>
        </w:rPr>
        <w:t xml:space="preserve">due to its </w:t>
      </w:r>
      <w:r w:rsidR="00231AC1" w:rsidRPr="00B64A89">
        <w:rPr>
          <w:color w:val="auto"/>
          <w:lang w:eastAsia="ja-JP"/>
        </w:rPr>
        <w:t>amorphous</w:t>
      </w:r>
      <w:r w:rsidR="00231AC1" w:rsidRPr="00B64A89">
        <w:rPr>
          <w:rFonts w:hint="eastAsia"/>
          <w:color w:val="auto"/>
          <w:lang w:eastAsia="ja-JP"/>
        </w:rPr>
        <w:t xml:space="preserve"> structure conformation</w:t>
      </w:r>
      <w:r w:rsidR="00526D71" w:rsidRPr="00B64A89">
        <w:rPr>
          <w:rFonts w:hint="eastAsia"/>
          <w:color w:val="auto"/>
          <w:lang w:eastAsia="ja-JP"/>
        </w:rPr>
        <w:t xml:space="preserve">. The change of PEG-like spectra to CAB-like </w:t>
      </w:r>
      <w:r w:rsidR="00526D71" w:rsidRPr="00B64A89">
        <w:rPr>
          <w:color w:val="auto"/>
          <w:lang w:eastAsia="ja-JP"/>
        </w:rPr>
        <w:t>spectra</w:t>
      </w:r>
      <w:r w:rsidR="00526D71" w:rsidRPr="00B64A89">
        <w:rPr>
          <w:rFonts w:hint="eastAsia"/>
          <w:color w:val="auto"/>
          <w:lang w:eastAsia="ja-JP"/>
        </w:rPr>
        <w:t xml:space="preserve"> also can be seen in this region clearly</w:t>
      </w:r>
      <w:r w:rsidR="00231AC1" w:rsidRPr="00B64A89">
        <w:rPr>
          <w:rFonts w:hint="eastAsia"/>
          <w:color w:val="auto"/>
          <w:lang w:eastAsia="ja-JP"/>
        </w:rPr>
        <w:t xml:space="preserve"> with the same transition point at around PEG/CAB (30/70)</w:t>
      </w:r>
      <w:r w:rsidR="00526D71" w:rsidRPr="00B64A89">
        <w:rPr>
          <w:rFonts w:hint="eastAsia"/>
          <w:color w:val="auto"/>
          <w:lang w:eastAsia="ja-JP"/>
        </w:rPr>
        <w:t xml:space="preserve">. </w:t>
      </w:r>
      <w:r w:rsidR="00FE1B5B" w:rsidRPr="00B64A89">
        <w:rPr>
          <w:rFonts w:hint="eastAsia"/>
          <w:color w:val="auto"/>
          <w:lang w:eastAsia="ja-JP"/>
        </w:rPr>
        <w:t xml:space="preserve">Among </w:t>
      </w:r>
      <w:r w:rsidR="006A7317" w:rsidRPr="00B64A89">
        <w:rPr>
          <w:color w:val="auto"/>
          <w:lang w:eastAsia="ja-JP"/>
        </w:rPr>
        <w:t>the entire</w:t>
      </w:r>
      <w:r w:rsidR="00FE1B5B" w:rsidRPr="00B64A89">
        <w:rPr>
          <w:rFonts w:hint="eastAsia"/>
          <w:color w:val="auto"/>
          <w:lang w:eastAsia="ja-JP"/>
        </w:rPr>
        <w:t xml:space="preserve"> </w:t>
      </w:r>
      <w:r w:rsidR="006A7317" w:rsidRPr="00B64A89">
        <w:rPr>
          <w:rFonts w:hint="eastAsia"/>
          <w:color w:val="auto"/>
          <w:lang w:eastAsia="ja-JP"/>
        </w:rPr>
        <w:t xml:space="preserve">spectra region, the spectra transformations in this region </w:t>
      </w:r>
      <w:r w:rsidR="006A7317" w:rsidRPr="00B64A89">
        <w:rPr>
          <w:rFonts w:hint="eastAsia"/>
          <w:color w:val="auto"/>
          <w:lang w:eastAsia="ja-JP"/>
        </w:rPr>
        <w:lastRenderedPageBreak/>
        <w:t>are very obvious. It is</w:t>
      </w:r>
      <w:r w:rsidR="00B75B51" w:rsidRPr="00B64A89">
        <w:rPr>
          <w:rFonts w:hint="eastAsia"/>
          <w:color w:val="auto"/>
          <w:lang w:eastAsia="ja-JP"/>
        </w:rPr>
        <w:t xml:space="preserve"> the</w:t>
      </w:r>
      <w:r w:rsidR="006A7317" w:rsidRPr="00B64A89">
        <w:rPr>
          <w:rFonts w:hint="eastAsia"/>
          <w:color w:val="auto"/>
          <w:lang w:eastAsia="ja-JP"/>
        </w:rPr>
        <w:t xml:space="preserve"> </w:t>
      </w:r>
      <w:r w:rsidR="00695A9F" w:rsidRPr="00B64A89">
        <w:rPr>
          <w:rFonts w:hint="eastAsia"/>
          <w:color w:val="auto"/>
          <w:lang w:eastAsia="ja-JP"/>
        </w:rPr>
        <w:t xml:space="preserve">indication that in the PEG back bone, </w:t>
      </w:r>
      <w:r w:rsidR="006A7317" w:rsidRPr="00B64A89">
        <w:rPr>
          <w:rFonts w:hint="eastAsia"/>
          <w:color w:val="auto"/>
          <w:lang w:eastAsia="ja-JP"/>
        </w:rPr>
        <w:t>the hydrogen bond between two polymer</w:t>
      </w:r>
      <w:r w:rsidR="00695A9F" w:rsidRPr="00B64A89">
        <w:rPr>
          <w:rFonts w:hint="eastAsia"/>
          <w:color w:val="auto"/>
          <w:lang w:eastAsia="ja-JP"/>
        </w:rPr>
        <w:t>s</w:t>
      </w:r>
      <w:r w:rsidR="006A7317" w:rsidRPr="00B64A89">
        <w:rPr>
          <w:rFonts w:hint="eastAsia"/>
          <w:color w:val="auto"/>
          <w:lang w:eastAsia="ja-JP"/>
        </w:rPr>
        <w:t xml:space="preserve"> PEG and CAB mostly occurs.</w:t>
      </w:r>
    </w:p>
    <w:p w14:paraId="0136D165" w14:textId="77777777" w:rsidR="00487388" w:rsidRPr="00B64A89" w:rsidRDefault="0028026D" w:rsidP="00DF1D55">
      <w:pPr>
        <w:pStyle w:val="Section"/>
        <w:rPr>
          <w:color w:val="auto"/>
          <w:lang w:eastAsia="ja-JP"/>
        </w:rPr>
      </w:pPr>
      <w:r w:rsidRPr="00B64A89">
        <w:rPr>
          <w:rFonts w:hint="eastAsia"/>
          <w:noProof/>
          <w:color w:val="auto"/>
          <w:lang w:eastAsia="ja-JP"/>
        </w:rPr>
        <mc:AlternateContent>
          <mc:Choice Requires="wps">
            <w:drawing>
              <wp:anchor distT="0" distB="0" distL="114300" distR="114300" simplePos="0" relativeHeight="251660288" behindDoc="0" locked="0" layoutInCell="1" allowOverlap="1" wp14:anchorId="1240EF3F" wp14:editId="6026F5A3">
                <wp:simplePos x="0" y="0"/>
                <wp:positionH relativeFrom="margin">
                  <wp:align>left</wp:align>
                </wp:positionH>
                <wp:positionV relativeFrom="margin">
                  <wp:align>top</wp:align>
                </wp:positionV>
                <wp:extent cx="3059430" cy="4937760"/>
                <wp:effectExtent l="0" t="0" r="26670" b="15240"/>
                <wp:wrapSquare wrapText="bothSides"/>
                <wp:docPr id="121" name="Text Box 121"/>
                <wp:cNvGraphicFramePr/>
                <a:graphic xmlns:a="http://schemas.openxmlformats.org/drawingml/2006/main">
                  <a:graphicData uri="http://schemas.microsoft.com/office/word/2010/wordprocessingShape">
                    <wps:wsp>
                      <wps:cNvSpPr txBox="1"/>
                      <wps:spPr>
                        <a:xfrm>
                          <a:off x="0" y="0"/>
                          <a:ext cx="3059430" cy="4937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596BE7" w14:textId="77777777" w:rsidR="00091000" w:rsidRDefault="00091000">
                            <w:pPr>
                              <w:rPr>
                                <w:lang w:eastAsia="ja-JP"/>
                              </w:rPr>
                            </w:pPr>
                            <w:r w:rsidRPr="008B5F85">
                              <w:rPr>
                                <w:noProof/>
                                <w:lang w:eastAsia="ja-JP"/>
                              </w:rPr>
                              <w:drawing>
                                <wp:inline distT="0" distB="0" distL="0" distR="0" wp14:anchorId="4E6F86A0" wp14:editId="278C8A6F">
                                  <wp:extent cx="2870200" cy="4014739"/>
                                  <wp:effectExtent l="0" t="0" r="6350" b="5080"/>
                                  <wp:docPr id="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0" cy="4014739"/>
                                          </a:xfrm>
                                          <a:prstGeom prst="rect">
                                            <a:avLst/>
                                          </a:prstGeom>
                                          <a:noFill/>
                                          <a:ln>
                                            <a:noFill/>
                                          </a:ln>
                                          <a:effectLst/>
                                        </pic:spPr>
                                      </pic:pic>
                                    </a:graphicData>
                                  </a:graphic>
                                </wp:inline>
                              </w:drawing>
                            </w:r>
                          </w:p>
                          <w:p w14:paraId="3E8D6AC3" w14:textId="77777777" w:rsidR="00091000" w:rsidRPr="008B5F85" w:rsidRDefault="00091000" w:rsidP="008B5F85">
                            <w:pPr>
                              <w:jc w:val="both"/>
                              <w:rPr>
                                <w:rFonts w:ascii="Times New Roman" w:hAnsi="Times New Roman"/>
                                <w:szCs w:val="22"/>
                                <w:lang w:eastAsia="ja-JP"/>
                              </w:rPr>
                            </w:pPr>
                            <w:r w:rsidRPr="00836796">
                              <w:rPr>
                                <w:rFonts w:ascii="Times New Roman" w:hAnsi="Times New Roman"/>
                                <w:b/>
                                <w:szCs w:val="22"/>
                              </w:rPr>
                              <w:t xml:space="preserve">Figure </w:t>
                            </w:r>
                            <w:r>
                              <w:rPr>
                                <w:rFonts w:ascii="Times New Roman" w:hAnsi="Times New Roman" w:hint="eastAsia"/>
                                <w:b/>
                                <w:szCs w:val="22"/>
                                <w:lang w:eastAsia="ja-JP"/>
                              </w:rPr>
                              <w:t>3</w:t>
                            </w:r>
                            <w:r w:rsidRPr="00836796">
                              <w:rPr>
                                <w:rFonts w:ascii="Times New Roman" w:hAnsi="Times New Roman"/>
                                <w:b/>
                                <w:szCs w:val="22"/>
                              </w:rPr>
                              <w:t>.</w:t>
                            </w:r>
                            <w:r w:rsidRPr="00836796">
                              <w:rPr>
                                <w:rFonts w:ascii="Times New Roman" w:hAnsi="Times New Roman"/>
                                <w:szCs w:val="22"/>
                              </w:rPr>
                              <w:t xml:space="preserve"> </w:t>
                            </w:r>
                            <w:r>
                              <w:rPr>
                                <w:rFonts w:ascii="Times New Roman" w:hAnsi="Times New Roman" w:hint="eastAsia"/>
                                <w:szCs w:val="22"/>
                                <w:lang w:eastAsia="ja-JP"/>
                              </w:rPr>
                              <w:t>Raman spectra of PEG/CAB biopolymer blend film sample with eleventh ratio combinations measured at room temperature in the C-H bending region (1500</w:t>
                            </w:r>
                            <w:r>
                              <w:rPr>
                                <w:rFonts w:ascii="Times New Roman" w:hAnsi="Times New Roman"/>
                                <w:szCs w:val="22"/>
                                <w:lang w:eastAsia="ja-JP"/>
                              </w:rPr>
                              <w:t>–</w:t>
                            </w:r>
                            <w:r>
                              <w:rPr>
                                <w:rFonts w:ascii="Times New Roman" w:hAnsi="Times New Roman" w:hint="eastAsia"/>
                                <w:szCs w:val="22"/>
                                <w:lang w:eastAsia="ja-JP"/>
                              </w:rPr>
                              <w:t>1400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and C-O-C stretching region (1000</w:t>
                            </w:r>
                            <w:r>
                              <w:rPr>
                                <w:rFonts w:ascii="Times New Roman" w:hAnsi="Times New Roman"/>
                                <w:szCs w:val="22"/>
                                <w:lang w:eastAsia="ja-JP"/>
                              </w:rPr>
                              <w:t>–</w:t>
                            </w:r>
                            <w:r>
                              <w:rPr>
                                <w:rFonts w:ascii="Times New Roman" w:hAnsi="Times New Roman" w:hint="eastAsia"/>
                                <w:szCs w:val="22"/>
                                <w:lang w:eastAsia="ja-JP"/>
                              </w:rPr>
                              <w:t>800cm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EF3F" id="Text Box 121" o:spid="_x0000_s1029" type="#_x0000_t202" style="position:absolute;left:0;text-align:left;margin-left:0;margin-top:0;width:240.9pt;height:388.8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" fillcolor="white [3201]" strokecolor="white [3212]" strokeweight=".5pt">
                <v:textbox>
                  <w:txbxContent>
                    <w:p w14:paraId="61596BE7" w14:textId="77777777" w:rsidR="00091000" w:rsidRDefault="00091000">
                      <w:pPr>
                        <w:rPr>
                          <w:lang w:eastAsia="ja-JP"/>
                        </w:rPr>
                      </w:pPr>
                      <w:r w:rsidRPr="008B5F85">
                        <w:rPr>
                          <w:noProof/>
                          <w:lang w:eastAsia="ja-JP"/>
                        </w:rPr>
                        <w:drawing>
                          <wp:inline distT="0" distB="0" distL="0" distR="0" wp14:anchorId="4E6F86A0" wp14:editId="278C8A6F">
                            <wp:extent cx="2870200" cy="4014739"/>
                            <wp:effectExtent l="0" t="0" r="6350" b="5080"/>
                            <wp:docPr id="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0" cy="4014739"/>
                                    </a:xfrm>
                                    <a:prstGeom prst="rect">
                                      <a:avLst/>
                                    </a:prstGeom>
                                    <a:noFill/>
                                    <a:ln>
                                      <a:noFill/>
                                    </a:ln>
                                    <a:effectLst/>
                                  </pic:spPr>
                                </pic:pic>
                              </a:graphicData>
                            </a:graphic>
                          </wp:inline>
                        </w:drawing>
                      </w:r>
                    </w:p>
                    <w:p w14:paraId="3E8D6AC3" w14:textId="77777777" w:rsidR="00091000" w:rsidRPr="008B5F85" w:rsidRDefault="00091000" w:rsidP="008B5F85">
                      <w:pPr>
                        <w:jc w:val="both"/>
                        <w:rPr>
                          <w:rFonts w:ascii="Times New Roman" w:hAnsi="Times New Roman"/>
                          <w:szCs w:val="22"/>
                          <w:lang w:eastAsia="ja-JP"/>
                        </w:rPr>
                      </w:pPr>
                      <w:r w:rsidRPr="00836796">
                        <w:rPr>
                          <w:rFonts w:ascii="Times New Roman" w:hAnsi="Times New Roman"/>
                          <w:b/>
                          <w:szCs w:val="22"/>
                        </w:rPr>
                        <w:t xml:space="preserve">Figure </w:t>
                      </w:r>
                      <w:r>
                        <w:rPr>
                          <w:rFonts w:ascii="Times New Roman" w:hAnsi="Times New Roman" w:hint="eastAsia"/>
                          <w:b/>
                          <w:szCs w:val="22"/>
                          <w:lang w:eastAsia="ja-JP"/>
                        </w:rPr>
                        <w:t>3</w:t>
                      </w:r>
                      <w:r w:rsidRPr="00836796">
                        <w:rPr>
                          <w:rFonts w:ascii="Times New Roman" w:hAnsi="Times New Roman"/>
                          <w:b/>
                          <w:szCs w:val="22"/>
                        </w:rPr>
                        <w:t>.</w:t>
                      </w:r>
                      <w:r w:rsidRPr="00836796">
                        <w:rPr>
                          <w:rFonts w:ascii="Times New Roman" w:hAnsi="Times New Roman"/>
                          <w:szCs w:val="22"/>
                        </w:rPr>
                        <w:t xml:space="preserve"> </w:t>
                      </w:r>
                      <w:r>
                        <w:rPr>
                          <w:rFonts w:ascii="Times New Roman" w:hAnsi="Times New Roman" w:hint="eastAsia"/>
                          <w:szCs w:val="22"/>
                          <w:lang w:eastAsia="ja-JP"/>
                        </w:rPr>
                        <w:t>Raman spectra of PEG/CAB biopolymer blend film sample with eleventh ratio combinations measured at room temperature in the C-H bending region (1500</w:t>
                      </w:r>
                      <w:r>
                        <w:rPr>
                          <w:rFonts w:ascii="Times New Roman" w:hAnsi="Times New Roman"/>
                          <w:szCs w:val="22"/>
                          <w:lang w:eastAsia="ja-JP"/>
                        </w:rPr>
                        <w:t>–</w:t>
                      </w:r>
                      <w:r>
                        <w:rPr>
                          <w:rFonts w:ascii="Times New Roman" w:hAnsi="Times New Roman" w:hint="eastAsia"/>
                          <w:szCs w:val="22"/>
                          <w:lang w:eastAsia="ja-JP"/>
                        </w:rPr>
                        <w:t>1400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and C-O-C stretching region (1000</w:t>
                      </w:r>
                      <w:r>
                        <w:rPr>
                          <w:rFonts w:ascii="Times New Roman" w:hAnsi="Times New Roman"/>
                          <w:szCs w:val="22"/>
                          <w:lang w:eastAsia="ja-JP"/>
                        </w:rPr>
                        <w:t>–</w:t>
                      </w:r>
                      <w:r>
                        <w:rPr>
                          <w:rFonts w:ascii="Times New Roman" w:hAnsi="Times New Roman" w:hint="eastAsia"/>
                          <w:szCs w:val="22"/>
                          <w:lang w:eastAsia="ja-JP"/>
                        </w:rPr>
                        <w:t>800cm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txbxContent>
                </v:textbox>
                <w10:wrap type="square" anchorx="margin" anchory="margin"/>
              </v:shape>
            </w:pict>
          </mc:Fallback>
        </mc:AlternateContent>
      </w:r>
      <w:r w:rsidR="00DF1D55" w:rsidRPr="00B64A89">
        <w:rPr>
          <w:color w:val="auto"/>
          <w:lang w:eastAsia="ja-JP"/>
        </w:rPr>
        <w:t>Conclusion</w:t>
      </w:r>
    </w:p>
    <w:p w14:paraId="2F0BADBD" w14:textId="77777777" w:rsidR="00DF1D55" w:rsidRPr="00B64A89" w:rsidRDefault="00231AC1" w:rsidP="00DF1D55">
      <w:pPr>
        <w:pStyle w:val="Bodytext"/>
        <w:rPr>
          <w:color w:val="auto"/>
          <w:lang w:eastAsia="ja-JP"/>
        </w:rPr>
      </w:pPr>
      <w:r w:rsidRPr="00B64A89">
        <w:rPr>
          <w:rFonts w:hint="eastAsia"/>
          <w:color w:val="auto"/>
          <w:lang w:val="en-GB" w:eastAsia="ja-JP"/>
        </w:rPr>
        <w:t xml:space="preserve">Crystalline structure transformation of PEG/CAB biopolymer blend has been </w:t>
      </w:r>
      <w:r w:rsidR="007B7C91" w:rsidRPr="00B64A89">
        <w:rPr>
          <w:rFonts w:hint="eastAsia"/>
          <w:color w:val="auto"/>
          <w:lang w:val="en-GB" w:eastAsia="ja-JP"/>
        </w:rPr>
        <w:t>investigated</w:t>
      </w:r>
      <w:r w:rsidRPr="00B64A89">
        <w:rPr>
          <w:rFonts w:hint="eastAsia"/>
          <w:color w:val="auto"/>
          <w:lang w:val="en-GB" w:eastAsia="ja-JP"/>
        </w:rPr>
        <w:t xml:space="preserve"> in this study by using Raman spectroscopy. There are 4 regions in </w:t>
      </w:r>
      <w:r w:rsidR="007B7C91" w:rsidRPr="00B64A89">
        <w:rPr>
          <w:rFonts w:hint="eastAsia"/>
          <w:color w:val="auto"/>
          <w:lang w:val="en-GB" w:eastAsia="ja-JP"/>
        </w:rPr>
        <w:t>Raman spectra</w:t>
      </w:r>
      <w:r w:rsidR="00F670B7" w:rsidRPr="00B64A89">
        <w:rPr>
          <w:rFonts w:hint="eastAsia"/>
          <w:color w:val="auto"/>
          <w:lang w:val="en-GB" w:eastAsia="ja-JP"/>
        </w:rPr>
        <w:t>; C-H stretching region (3000</w:t>
      </w:r>
      <w:r w:rsidR="00F670B7" w:rsidRPr="00B64A89">
        <w:rPr>
          <w:color w:val="auto"/>
          <w:lang w:val="en-GB" w:eastAsia="ja-JP"/>
        </w:rPr>
        <w:t>–</w:t>
      </w:r>
      <w:r w:rsidR="00F670B7" w:rsidRPr="00B64A89">
        <w:rPr>
          <w:rFonts w:hint="eastAsia"/>
          <w:color w:val="auto"/>
          <w:lang w:val="en-GB" w:eastAsia="ja-JP"/>
        </w:rPr>
        <w:t>2700 cm</w:t>
      </w:r>
      <w:r w:rsidR="00F670B7" w:rsidRPr="00B64A89">
        <w:rPr>
          <w:rFonts w:hint="eastAsia"/>
          <w:color w:val="auto"/>
          <w:vertAlign w:val="superscript"/>
          <w:lang w:val="en-GB" w:eastAsia="ja-JP"/>
        </w:rPr>
        <w:t>-1</w:t>
      </w:r>
      <w:r w:rsidR="00F670B7" w:rsidRPr="00B64A89">
        <w:rPr>
          <w:rFonts w:hint="eastAsia"/>
          <w:color w:val="auto"/>
          <w:lang w:val="en-GB" w:eastAsia="ja-JP"/>
        </w:rPr>
        <w:t>), C=O stretching region (1800</w:t>
      </w:r>
      <w:r w:rsidR="00F670B7" w:rsidRPr="00B64A89">
        <w:rPr>
          <w:color w:val="auto"/>
          <w:lang w:val="en-GB" w:eastAsia="ja-JP"/>
        </w:rPr>
        <w:t>–</w:t>
      </w:r>
      <w:r w:rsidR="00F670B7" w:rsidRPr="00B64A89">
        <w:rPr>
          <w:rFonts w:hint="eastAsia"/>
          <w:color w:val="auto"/>
          <w:lang w:val="en-GB" w:eastAsia="ja-JP"/>
        </w:rPr>
        <w:t>1700 cm</w:t>
      </w:r>
      <w:r w:rsidR="00F670B7" w:rsidRPr="00B64A89">
        <w:rPr>
          <w:rFonts w:hint="eastAsia"/>
          <w:color w:val="auto"/>
          <w:vertAlign w:val="superscript"/>
          <w:lang w:val="en-GB" w:eastAsia="ja-JP"/>
        </w:rPr>
        <w:t>-1</w:t>
      </w:r>
      <w:r w:rsidR="00F670B7" w:rsidRPr="00B64A89">
        <w:rPr>
          <w:rFonts w:hint="eastAsia"/>
          <w:color w:val="auto"/>
          <w:lang w:val="en-GB" w:eastAsia="ja-JP"/>
        </w:rPr>
        <w:t>), C-H bending region (1500</w:t>
      </w:r>
      <w:r w:rsidR="00F670B7" w:rsidRPr="00B64A89">
        <w:rPr>
          <w:color w:val="auto"/>
          <w:lang w:val="en-GB" w:eastAsia="ja-JP"/>
        </w:rPr>
        <w:t>–</w:t>
      </w:r>
      <w:r w:rsidR="00F670B7" w:rsidRPr="00B64A89">
        <w:rPr>
          <w:rFonts w:hint="eastAsia"/>
          <w:color w:val="auto"/>
          <w:lang w:val="en-GB" w:eastAsia="ja-JP"/>
        </w:rPr>
        <w:t>1400 cm</w:t>
      </w:r>
      <w:r w:rsidR="00F670B7" w:rsidRPr="00B64A89">
        <w:rPr>
          <w:rFonts w:hint="eastAsia"/>
          <w:color w:val="auto"/>
          <w:vertAlign w:val="superscript"/>
          <w:lang w:val="en-GB" w:eastAsia="ja-JP"/>
        </w:rPr>
        <w:t>-1</w:t>
      </w:r>
      <w:r w:rsidR="00F670B7" w:rsidRPr="00B64A89">
        <w:rPr>
          <w:rFonts w:hint="eastAsia"/>
          <w:color w:val="auto"/>
          <w:lang w:val="en-GB" w:eastAsia="ja-JP"/>
        </w:rPr>
        <w:t>), and C-O-C stretching region (1000</w:t>
      </w:r>
      <w:r w:rsidR="00F670B7" w:rsidRPr="00B64A89">
        <w:rPr>
          <w:color w:val="auto"/>
          <w:lang w:val="en-GB" w:eastAsia="ja-JP"/>
        </w:rPr>
        <w:t>–</w:t>
      </w:r>
      <w:r w:rsidR="00F670B7" w:rsidRPr="00B64A89">
        <w:rPr>
          <w:rFonts w:hint="eastAsia"/>
          <w:color w:val="auto"/>
          <w:lang w:val="en-GB" w:eastAsia="ja-JP"/>
        </w:rPr>
        <w:t>800 cm</w:t>
      </w:r>
      <w:r w:rsidR="00F670B7" w:rsidRPr="00B64A89">
        <w:rPr>
          <w:rFonts w:hint="eastAsia"/>
          <w:color w:val="auto"/>
          <w:vertAlign w:val="superscript"/>
          <w:lang w:val="en-GB" w:eastAsia="ja-JP"/>
        </w:rPr>
        <w:t>-1</w:t>
      </w:r>
      <w:r w:rsidR="00F670B7" w:rsidRPr="00B64A89">
        <w:rPr>
          <w:rFonts w:hint="eastAsia"/>
          <w:color w:val="auto"/>
          <w:lang w:val="en-GB" w:eastAsia="ja-JP"/>
        </w:rPr>
        <w:t xml:space="preserve">) that </w:t>
      </w:r>
      <w:r w:rsidR="007B7C91" w:rsidRPr="00B64A89">
        <w:rPr>
          <w:rFonts w:hint="eastAsia"/>
          <w:color w:val="auto"/>
          <w:lang w:val="en-GB" w:eastAsia="ja-JP"/>
        </w:rPr>
        <w:t>p</w:t>
      </w:r>
      <w:r w:rsidR="00F670B7" w:rsidRPr="00B64A89">
        <w:rPr>
          <w:rFonts w:hint="eastAsia"/>
          <w:color w:val="auto"/>
          <w:lang w:val="en-GB" w:eastAsia="ja-JP"/>
        </w:rPr>
        <w:t xml:space="preserve">rovided the information of the spectra transformation from the PEG-like structure to the CAB-like structure along with the addition of CAB ratio in the blend composition. </w:t>
      </w:r>
      <w:r w:rsidR="00A309D3" w:rsidRPr="00B64A89">
        <w:rPr>
          <w:rFonts w:hint="eastAsia"/>
          <w:color w:val="auto"/>
          <w:lang w:val="en-GB" w:eastAsia="ja-JP"/>
        </w:rPr>
        <w:t xml:space="preserve">Spectra features in the C-H stretching and C-H bending regions clearly exposed the transition point at about PEG/CAB (30/70). </w:t>
      </w:r>
      <w:r w:rsidR="00B75B51" w:rsidRPr="00B64A89">
        <w:rPr>
          <w:rFonts w:hint="eastAsia"/>
          <w:color w:val="auto"/>
          <w:lang w:val="en-GB" w:eastAsia="ja-JP"/>
        </w:rPr>
        <w:t>Band at 1737 cm</w:t>
      </w:r>
      <w:r w:rsidR="00B75B51" w:rsidRPr="00B64A89">
        <w:rPr>
          <w:rFonts w:hint="eastAsia"/>
          <w:color w:val="auto"/>
          <w:vertAlign w:val="superscript"/>
          <w:lang w:val="en-GB" w:eastAsia="ja-JP"/>
        </w:rPr>
        <w:t>-1</w:t>
      </w:r>
      <w:r w:rsidR="00B75B51" w:rsidRPr="00B64A89">
        <w:rPr>
          <w:rFonts w:hint="eastAsia"/>
          <w:color w:val="auto"/>
          <w:lang w:val="en-GB" w:eastAsia="ja-JP"/>
        </w:rPr>
        <w:t xml:space="preserve"> in the C=O stretching </w:t>
      </w:r>
      <w:r w:rsidR="007E0EB6" w:rsidRPr="00B64A89">
        <w:rPr>
          <w:rFonts w:hint="eastAsia"/>
          <w:color w:val="auto"/>
          <w:lang w:val="en-GB" w:eastAsia="ja-JP"/>
        </w:rPr>
        <w:t>region</w:t>
      </w:r>
      <w:r w:rsidR="00B75B51" w:rsidRPr="00B64A89">
        <w:rPr>
          <w:rFonts w:hint="eastAsia"/>
          <w:color w:val="auto"/>
          <w:lang w:val="en-GB" w:eastAsia="ja-JP"/>
        </w:rPr>
        <w:t xml:space="preserve"> describes the hydrogen bond that might occurs between PEG and CAB which is weaker than a homopolymer PHB. Moreover, the dramatic change of the spectra in the C-O-C region indicated that </w:t>
      </w:r>
      <w:r w:rsidR="00B75B51" w:rsidRPr="00B64A89">
        <w:rPr>
          <w:rFonts w:hint="eastAsia"/>
          <w:color w:val="auto"/>
          <w:lang w:eastAsia="ja-JP"/>
        </w:rPr>
        <w:t xml:space="preserve">the hydrogen bond </w:t>
      </w:r>
      <w:r w:rsidR="00695A9F" w:rsidRPr="00B64A89">
        <w:rPr>
          <w:rFonts w:hint="eastAsia"/>
          <w:color w:val="auto"/>
          <w:lang w:eastAsia="ja-JP"/>
        </w:rPr>
        <w:t>principally</w:t>
      </w:r>
      <w:r w:rsidR="00B75B51" w:rsidRPr="00B64A89">
        <w:rPr>
          <w:rFonts w:hint="eastAsia"/>
          <w:color w:val="auto"/>
          <w:lang w:eastAsia="ja-JP"/>
        </w:rPr>
        <w:t xml:space="preserve"> occurs in the PEG back bone.</w:t>
      </w:r>
    </w:p>
    <w:p w14:paraId="6E14FF47" w14:textId="77777777" w:rsidR="00263A0E" w:rsidRPr="00B64A89" w:rsidRDefault="00263A0E" w:rsidP="00263A0E">
      <w:pPr>
        <w:pStyle w:val="BodytextIndented"/>
        <w:rPr>
          <w:color w:val="auto"/>
          <w:lang w:eastAsia="ja-JP"/>
        </w:rPr>
      </w:pPr>
    </w:p>
    <w:p w14:paraId="36924769" w14:textId="77777777" w:rsidR="00263A0E" w:rsidRPr="00B64A89" w:rsidRDefault="00263A0E" w:rsidP="00263A0E">
      <w:pPr>
        <w:pStyle w:val="BodytextIndented"/>
        <w:rPr>
          <w:color w:val="auto"/>
          <w:lang w:eastAsia="ja-JP"/>
        </w:rPr>
      </w:pPr>
    </w:p>
    <w:p w14:paraId="24CA45B6" w14:textId="77777777" w:rsidR="009A0487" w:rsidRPr="00B64A89" w:rsidRDefault="009A0487">
      <w:pPr>
        <w:pStyle w:val="Sectionnonumber"/>
        <w:rPr>
          <w:color w:val="auto"/>
        </w:rPr>
      </w:pPr>
      <w:commentRangeStart w:id="4"/>
      <w:r w:rsidRPr="00B64A89">
        <w:rPr>
          <w:color w:val="auto"/>
        </w:rPr>
        <w:t>References</w:t>
      </w:r>
      <w:commentRangeEnd w:id="4"/>
      <w:r w:rsidR="00243BFB">
        <w:rPr>
          <w:rStyle w:val="CommentReference"/>
          <w:b w:val="0"/>
          <w:iCs w:val="0"/>
          <w:color w:val="auto"/>
          <w:lang w:val="en-GB"/>
        </w:rPr>
        <w:commentReference w:id="4"/>
      </w:r>
    </w:p>
    <w:p w14:paraId="7EE1244A" w14:textId="77777777" w:rsidR="00263A0E" w:rsidRPr="00B64A89" w:rsidRDefault="00FF1EB3" w:rsidP="00263A0E">
      <w:pPr>
        <w:widowControl w:val="0"/>
        <w:autoSpaceDE w:val="0"/>
        <w:autoSpaceDN w:val="0"/>
        <w:adjustRightInd w:val="0"/>
        <w:ind w:left="640" w:hanging="640"/>
        <w:rPr>
          <w:rFonts w:cs="Times"/>
          <w:noProof/>
          <w:szCs w:val="24"/>
        </w:rPr>
      </w:pPr>
      <w:r w:rsidRPr="00B64A89">
        <w:fldChar w:fldCharType="begin" w:fldLock="1"/>
      </w:r>
      <w:r w:rsidRPr="00B64A89">
        <w:instrText xml:space="preserve">ADDIN Mendeley Bibliography CSL_BIBLIOGRAPHY </w:instrText>
      </w:r>
      <w:r w:rsidRPr="00B64A89">
        <w:fldChar w:fldCharType="separate"/>
      </w:r>
      <w:r w:rsidR="00263A0E" w:rsidRPr="00B64A89">
        <w:rPr>
          <w:rFonts w:cs="Times"/>
          <w:noProof/>
          <w:szCs w:val="24"/>
        </w:rPr>
        <w:t>[1]</w:t>
      </w:r>
      <w:r w:rsidR="00263A0E" w:rsidRPr="00B64A89">
        <w:rPr>
          <w:rFonts w:cs="Times"/>
          <w:noProof/>
          <w:szCs w:val="24"/>
        </w:rPr>
        <w:tab/>
        <w:t xml:space="preserve"> Higgins J S, Tambasco M and Lipson J E G 2005 Polymer blends; Stretching what we can learn through the combination of experiment and theory </w:t>
      </w:r>
      <w:r w:rsidR="00263A0E" w:rsidRPr="00B64A89">
        <w:rPr>
          <w:rFonts w:cs="Times"/>
          <w:i/>
          <w:iCs/>
          <w:noProof/>
          <w:szCs w:val="24"/>
        </w:rPr>
        <w:t>Progress in Polymer Science (Oxford)</w:t>
      </w:r>
    </w:p>
    <w:p w14:paraId="1E3A2E89"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[2]</w:t>
      </w:r>
      <w:r w:rsidRPr="00B64A89">
        <w:rPr>
          <w:rFonts w:cs="Times"/>
          <w:noProof/>
          <w:szCs w:val="24"/>
        </w:rPr>
        <w:tab/>
        <w:t xml:space="preserve"> Leung H W 2014 Polyethylene Glycol </w:t>
      </w:r>
      <w:r w:rsidRPr="00B64A89">
        <w:rPr>
          <w:rFonts w:cs="Times"/>
          <w:i/>
          <w:iCs/>
          <w:noProof/>
          <w:szCs w:val="24"/>
        </w:rPr>
        <w:t>Encyclopedia of Toxicology: Third Edition</w:t>
      </w:r>
    </w:p>
    <w:p w14:paraId="3917F6CA"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[3]</w:t>
      </w:r>
      <w:r w:rsidRPr="00B64A89">
        <w:rPr>
          <w:rFonts w:cs="Times"/>
          <w:noProof/>
          <w:szCs w:val="24"/>
        </w:rPr>
        <w:tab/>
        <w:t xml:space="preserve"> Hu Y, Hu Y S, Topolkaraev V, Hiltner A and Baer E 2003 Crystallization and phase separation in blends of high stereoregular poly(lactide) with poly(ethylene glycol) </w:t>
      </w:r>
      <w:r w:rsidRPr="00B64A89">
        <w:rPr>
          <w:rFonts w:cs="Times"/>
          <w:i/>
          <w:iCs/>
          <w:noProof/>
          <w:szCs w:val="24"/>
        </w:rPr>
        <w:t>Polymer (Guildf).</w:t>
      </w:r>
      <w:r w:rsidRPr="00B64A89">
        <w:rPr>
          <w:rFonts w:cs="Times"/>
          <w:noProof/>
          <w:szCs w:val="24"/>
        </w:rPr>
        <w:t xml:space="preserve"> </w:t>
      </w:r>
      <w:r w:rsidRPr="00B64A89">
        <w:rPr>
          <w:rFonts w:cs="Times"/>
          <w:b/>
          <w:bCs/>
          <w:noProof/>
          <w:szCs w:val="24"/>
        </w:rPr>
        <w:t>44</w:t>
      </w:r>
      <w:r w:rsidRPr="00B64A89">
        <w:rPr>
          <w:rFonts w:cs="Times"/>
          <w:noProof/>
          <w:szCs w:val="24"/>
        </w:rPr>
        <w:t xml:space="preserve"> 5681–9</w:t>
      </w:r>
    </w:p>
    <w:p w14:paraId="676385FD"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[4]</w:t>
      </w:r>
      <w:r w:rsidRPr="00B64A89">
        <w:rPr>
          <w:rFonts w:cs="Times"/>
          <w:noProof/>
          <w:szCs w:val="24"/>
        </w:rPr>
        <w:tab/>
        <w:t xml:space="preserve"> Luo C, Chen W and Gao Y 2016 Fractional crystallization behavior of PCL and PEG in blends </w:t>
      </w:r>
      <w:r w:rsidRPr="00B64A89">
        <w:rPr>
          <w:rFonts w:cs="Times"/>
          <w:i/>
          <w:iCs/>
          <w:noProof/>
          <w:szCs w:val="24"/>
        </w:rPr>
        <w:t>Polym. Sci. Ser. A</w:t>
      </w:r>
      <w:r w:rsidRPr="00B64A89">
        <w:rPr>
          <w:rFonts w:cs="Times"/>
          <w:noProof/>
          <w:szCs w:val="24"/>
        </w:rPr>
        <w:t xml:space="preserve"> </w:t>
      </w:r>
      <w:r w:rsidRPr="00B64A89">
        <w:rPr>
          <w:rFonts w:cs="Times"/>
          <w:b/>
          <w:bCs/>
          <w:noProof/>
          <w:szCs w:val="24"/>
        </w:rPr>
        <w:t>58</w:t>
      </w:r>
      <w:r w:rsidRPr="00B64A89">
        <w:rPr>
          <w:rFonts w:cs="Times"/>
          <w:noProof/>
          <w:szCs w:val="24"/>
        </w:rPr>
        <w:t xml:space="preserve"> 196–205</w:t>
      </w:r>
    </w:p>
    <w:p w14:paraId="7018163F"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[5]</w:t>
      </w:r>
      <w:r w:rsidRPr="00B64A89">
        <w:rPr>
          <w:rFonts w:cs="Times"/>
          <w:noProof/>
          <w:szCs w:val="24"/>
        </w:rPr>
        <w:tab/>
        <w:t xml:space="preserve"> Zheng L, Wang Y Z, Yang K K, Wang X L, Chen S C and Li J 2005 Effect of PEG on the crystallization of PPDO/PEG blends </w:t>
      </w:r>
      <w:r w:rsidRPr="00B64A89">
        <w:rPr>
          <w:rFonts w:cs="Times"/>
          <w:i/>
          <w:iCs/>
          <w:noProof/>
          <w:szCs w:val="24"/>
        </w:rPr>
        <w:t>Eur. Polym. J.</w:t>
      </w:r>
      <w:r w:rsidRPr="00B64A89">
        <w:rPr>
          <w:rFonts w:cs="Times"/>
          <w:noProof/>
          <w:szCs w:val="24"/>
        </w:rPr>
        <w:t xml:space="preserve"> </w:t>
      </w:r>
      <w:r w:rsidRPr="00B64A89">
        <w:rPr>
          <w:rFonts w:cs="Times"/>
          <w:b/>
          <w:bCs/>
          <w:noProof/>
          <w:szCs w:val="24"/>
        </w:rPr>
        <w:t>41</w:t>
      </w:r>
      <w:r w:rsidRPr="00B64A89">
        <w:rPr>
          <w:rFonts w:cs="Times"/>
          <w:noProof/>
          <w:szCs w:val="24"/>
        </w:rPr>
        <w:t xml:space="preserve"> 1243–50</w:t>
      </w:r>
    </w:p>
    <w:p w14:paraId="671A58D5"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[6]</w:t>
      </w:r>
      <w:r w:rsidRPr="00B64A89">
        <w:rPr>
          <w:rFonts w:cs="Times"/>
          <w:noProof/>
          <w:szCs w:val="24"/>
        </w:rPr>
        <w:tab/>
        <w:t xml:space="preserve"> Suttiwijitpukdee N, Sato H, Zhang J, Hashimoto T and Ozaki Y 2011 Intermolecular interactions and crystallization behaviors of biodegradable polymer blends between poly (3-hydroxybutyrate) and cellulose acetate butyrate studied by DSC, FT-IR, and WAXD </w:t>
      </w:r>
      <w:r w:rsidRPr="00B64A89">
        <w:rPr>
          <w:rFonts w:cs="Times"/>
          <w:i/>
          <w:iCs/>
          <w:noProof/>
          <w:szCs w:val="24"/>
        </w:rPr>
        <w:t>Polymer (Guildf).</w:t>
      </w:r>
      <w:r w:rsidRPr="00B64A89">
        <w:rPr>
          <w:rFonts w:cs="Times"/>
          <w:noProof/>
          <w:szCs w:val="24"/>
        </w:rPr>
        <w:t xml:space="preserve"> </w:t>
      </w:r>
      <w:r w:rsidRPr="00B64A89">
        <w:rPr>
          <w:rFonts w:cs="Times"/>
          <w:b/>
          <w:bCs/>
          <w:noProof/>
          <w:szCs w:val="24"/>
        </w:rPr>
        <w:t>52</w:t>
      </w:r>
      <w:r w:rsidRPr="00B64A89">
        <w:rPr>
          <w:rFonts w:cs="Times"/>
          <w:noProof/>
          <w:szCs w:val="24"/>
        </w:rPr>
        <w:t xml:space="preserve"> 461–71</w:t>
      </w:r>
    </w:p>
    <w:p w14:paraId="78CEDD95"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[7]</w:t>
      </w:r>
      <w:r w:rsidRPr="00B64A89">
        <w:rPr>
          <w:rFonts w:cs="Times"/>
          <w:noProof/>
          <w:szCs w:val="24"/>
        </w:rPr>
        <w:tab/>
        <w:t xml:space="preserve"> Sato H, Suttiwijitpukdee N, Hashimoto T and Ozaki Y 2012 Simultaneous Synchrotron SAXS/WAXD Study of Composition Fluctuatins, Cold-Crystallization, and Melting in Biodegradable Polymer Blends of Cellulose Acetate Butyrate and PHB </w:t>
      </w:r>
      <w:r w:rsidRPr="00B64A89">
        <w:rPr>
          <w:rFonts w:cs="Times"/>
          <w:i/>
          <w:iCs/>
          <w:noProof/>
          <w:szCs w:val="24"/>
        </w:rPr>
        <w:t>Macromolecules</w:t>
      </w:r>
      <w:r w:rsidRPr="00B64A89">
        <w:rPr>
          <w:rFonts w:cs="Times"/>
          <w:noProof/>
          <w:szCs w:val="24"/>
        </w:rPr>
        <w:t xml:space="preserve"> </w:t>
      </w:r>
      <w:r w:rsidRPr="00B64A89">
        <w:rPr>
          <w:rFonts w:cs="Times"/>
          <w:b/>
          <w:bCs/>
          <w:noProof/>
          <w:szCs w:val="24"/>
        </w:rPr>
        <w:t>45</w:t>
      </w:r>
      <w:r w:rsidRPr="00B64A89">
        <w:rPr>
          <w:rFonts w:cs="Times"/>
          <w:noProof/>
          <w:szCs w:val="24"/>
        </w:rPr>
        <w:t xml:space="preserve"> 2785–95</w:t>
      </w:r>
    </w:p>
    <w:p w14:paraId="3317A726"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lastRenderedPageBreak/>
        <w:t>[8]</w:t>
      </w:r>
      <w:r w:rsidRPr="00B64A89">
        <w:rPr>
          <w:rFonts w:cs="Times"/>
          <w:noProof/>
          <w:szCs w:val="24"/>
        </w:rPr>
        <w:tab/>
        <w:t xml:space="preserve"> Suttiwijitpukdee N, Sato H, Zhang J and Hashimoto T 2011 Effects of intermolecular hydrogen bondings on isothermal crystallization behavior of polymer blends of cellulose acetate butyrate and poly(3-hydroxybutyrate) </w:t>
      </w:r>
      <w:r w:rsidRPr="00B64A89">
        <w:rPr>
          <w:rFonts w:cs="Times"/>
          <w:i/>
          <w:iCs/>
          <w:noProof/>
          <w:szCs w:val="24"/>
        </w:rPr>
        <w:t>Macromolecules</w:t>
      </w:r>
      <w:r w:rsidRPr="00B64A89">
        <w:rPr>
          <w:rFonts w:cs="Times"/>
          <w:noProof/>
          <w:szCs w:val="24"/>
        </w:rPr>
        <w:t xml:space="preserve"> </w:t>
      </w:r>
      <w:r w:rsidRPr="00B64A89">
        <w:rPr>
          <w:rFonts w:cs="Times"/>
          <w:b/>
          <w:bCs/>
          <w:noProof/>
          <w:szCs w:val="24"/>
        </w:rPr>
        <w:t>44</w:t>
      </w:r>
      <w:r w:rsidRPr="00B64A89">
        <w:rPr>
          <w:rFonts w:cs="Times"/>
          <w:noProof/>
          <w:szCs w:val="24"/>
        </w:rPr>
        <w:t xml:space="preserve"> 3467–77</w:t>
      </w:r>
    </w:p>
    <w:p w14:paraId="2D7426C3"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[9]</w:t>
      </w:r>
      <w:r w:rsidRPr="00B64A89">
        <w:rPr>
          <w:rFonts w:cs="Times"/>
          <w:noProof/>
          <w:szCs w:val="24"/>
        </w:rPr>
        <w:tab/>
        <w:t xml:space="preserve"> Suttiwijitpukdee N, Sato H, Unger M and Ozaki Y 2012 Effects of Hydrogen Bond Intermolecular Interactions on the Crystal Spherulite of Poly(3-hydroxybutyrate) and Cellulose Acetate Butyrate Blends: Studied by FT-IR and FT-NIR Imaging Spectroscopy </w:t>
      </w:r>
      <w:r w:rsidRPr="00B64A89">
        <w:rPr>
          <w:rFonts w:cs="Times"/>
          <w:i/>
          <w:iCs/>
          <w:noProof/>
          <w:szCs w:val="24"/>
        </w:rPr>
        <w:t>Macromolecules</w:t>
      </w:r>
      <w:r w:rsidRPr="00B64A89">
        <w:rPr>
          <w:rFonts w:cs="Times"/>
          <w:noProof/>
          <w:szCs w:val="24"/>
        </w:rPr>
        <w:t xml:space="preserve"> </w:t>
      </w:r>
      <w:r w:rsidRPr="00B64A89">
        <w:rPr>
          <w:rFonts w:cs="Times"/>
          <w:b/>
          <w:bCs/>
          <w:noProof/>
          <w:szCs w:val="24"/>
        </w:rPr>
        <w:t>45</w:t>
      </w:r>
      <w:r w:rsidRPr="00B64A89">
        <w:rPr>
          <w:rFonts w:cs="Times"/>
          <w:noProof/>
          <w:szCs w:val="24"/>
        </w:rPr>
        <w:t xml:space="preserve"> 2738–48</w:t>
      </w:r>
    </w:p>
    <w:p w14:paraId="5BFFC507"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[10]</w:t>
      </w:r>
      <w:r w:rsidRPr="00B64A89">
        <w:rPr>
          <w:rFonts w:cs="Times"/>
          <w:noProof/>
          <w:szCs w:val="24"/>
        </w:rPr>
        <w:tab/>
        <w:t xml:space="preserve"> Marlina D, Sato H, Hoshina H and Ozaki Y 2018 Intermolecular interactions of poly(3-hydroxybutyrate-co-3-hydroxyvalerate) (P(HB-co-HV)) with PHB-type crystal structure and PHV-type crystal structure studied by low-frequency Raman and terahertz spectroscopy </w:t>
      </w:r>
      <w:r w:rsidRPr="00B64A89">
        <w:rPr>
          <w:rFonts w:cs="Times"/>
          <w:i/>
          <w:iCs/>
          <w:noProof/>
          <w:szCs w:val="24"/>
        </w:rPr>
        <w:t>Polymer (Guildf).</w:t>
      </w:r>
      <w:r w:rsidRPr="00B64A89">
        <w:rPr>
          <w:rFonts w:cs="Times"/>
          <w:noProof/>
          <w:szCs w:val="24"/>
        </w:rPr>
        <w:t xml:space="preserve"> </w:t>
      </w:r>
      <w:r w:rsidRPr="00B64A89">
        <w:rPr>
          <w:rFonts w:cs="Times"/>
          <w:b/>
          <w:bCs/>
          <w:noProof/>
          <w:szCs w:val="24"/>
        </w:rPr>
        <w:t>135</w:t>
      </w:r>
      <w:r w:rsidRPr="00B64A89">
        <w:rPr>
          <w:rFonts w:cs="Times"/>
          <w:noProof/>
          <w:szCs w:val="24"/>
        </w:rPr>
        <w:t xml:space="preserve"> 331–7</w:t>
      </w:r>
    </w:p>
    <w:p w14:paraId="7E36949A"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[11]</w:t>
      </w:r>
      <w:r w:rsidRPr="00B64A89">
        <w:rPr>
          <w:rFonts w:cs="Times"/>
          <w:noProof/>
          <w:szCs w:val="24"/>
        </w:rPr>
        <w:tab/>
        <w:t xml:space="preserve"> Marlina D, Hoshina H, Ozaki Y and Sato H 2019 Crystallization and crystalline dynamics of poly(3-hydroxybutyrate) / poly(4-vinylphenol) polymer blends studied by low-frequency vibrational spectroscopy </w:t>
      </w:r>
      <w:r w:rsidRPr="00B64A89">
        <w:rPr>
          <w:rFonts w:cs="Times"/>
          <w:i/>
          <w:iCs/>
          <w:noProof/>
          <w:szCs w:val="24"/>
        </w:rPr>
        <w:t>Polymer (Guildf).</w:t>
      </w:r>
    </w:p>
    <w:p w14:paraId="0EEFC9D7" w14:textId="77777777"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[12]</w:t>
      </w:r>
      <w:r w:rsidRPr="00B64A89">
        <w:rPr>
          <w:rFonts w:cs="Times"/>
          <w:noProof/>
          <w:szCs w:val="24"/>
        </w:rPr>
        <w:tab/>
        <w:t xml:space="preserve"> Marlina D, Park Y, Hoshina H, Ozaki Y, Jung Y M and Sato H 2020 A study on blend ratio-dependent Far-IR and low-frequency raman spectra and WAXD patterns of poly(3-hydroxybutyrate)/poly(4-vinylphenol) using homospectral and heterospectral two-dimensional correlation spectroscopy </w:t>
      </w:r>
      <w:r w:rsidRPr="00B64A89">
        <w:rPr>
          <w:rFonts w:cs="Times"/>
          <w:i/>
          <w:iCs/>
          <w:noProof/>
          <w:szCs w:val="24"/>
        </w:rPr>
        <w:t>Anal. Sci.</w:t>
      </w:r>
    </w:p>
    <w:p w14:paraId="201EF42E" w14:textId="77777777" w:rsidR="00263A0E" w:rsidRPr="00B64A89" w:rsidRDefault="00263A0E" w:rsidP="00263A0E">
      <w:pPr>
        <w:widowControl w:val="0"/>
        <w:autoSpaceDE w:val="0"/>
        <w:autoSpaceDN w:val="0"/>
        <w:adjustRightInd w:val="0"/>
        <w:ind w:left="640" w:hanging="640"/>
        <w:rPr>
          <w:rFonts w:cs="Times"/>
          <w:noProof/>
        </w:rPr>
      </w:pPr>
      <w:r w:rsidRPr="00B64A89">
        <w:rPr>
          <w:rFonts w:cs="Times"/>
          <w:noProof/>
          <w:szCs w:val="24"/>
        </w:rPr>
        <w:t>[13]</w:t>
      </w:r>
      <w:r w:rsidRPr="00B64A89">
        <w:rPr>
          <w:rFonts w:cs="Times"/>
          <w:noProof/>
          <w:szCs w:val="24"/>
        </w:rPr>
        <w:tab/>
        <w:t xml:space="preserve"> Sato H, Dybal J, Murakami R, Noda I and Ozaki Y 2005 Infrared and Raman spectroscopy and quantum chemistry calculation studies of C-H</w:t>
      </w:r>
      <w:r w:rsidRPr="00B64A89">
        <w:rPr>
          <w:rFonts w:ascii="Cambria Math" w:hAnsi="Cambria Math" w:cs="Cambria Math"/>
          <w:noProof/>
          <w:szCs w:val="24"/>
        </w:rPr>
        <w:t>⋯</w:t>
      </w:r>
      <w:r w:rsidRPr="00B64A89">
        <w:rPr>
          <w:rFonts w:cs="Times"/>
          <w:noProof/>
          <w:szCs w:val="24"/>
        </w:rPr>
        <w:t xml:space="preserve">O hydrogen bondings and thermal behavior of biodegradable polyhydroxyalkanoate </w:t>
      </w:r>
      <w:r w:rsidRPr="00B64A89">
        <w:rPr>
          <w:rFonts w:cs="Times"/>
          <w:i/>
          <w:iCs/>
          <w:noProof/>
          <w:szCs w:val="24"/>
        </w:rPr>
        <w:t>Journal of Molecular Structure</w:t>
      </w:r>
    </w:p>
    <w:p w14:paraId="5E8A4F97" w14:textId="77777777" w:rsidR="008B5F85" w:rsidRPr="00B64A89" w:rsidRDefault="00FF1EB3" w:rsidP="00263A0E">
      <w:pPr>
        <w:widowControl w:val="0"/>
        <w:autoSpaceDE w:val="0"/>
        <w:autoSpaceDN w:val="0"/>
        <w:adjustRightInd w:val="0"/>
        <w:ind w:left="640" w:hanging="640"/>
        <w:rPr>
          <w:lang w:eastAsia="ja-JP"/>
        </w:rPr>
      </w:pPr>
      <w:r w:rsidRPr="00B64A89">
        <w:fldChar w:fldCharType="end"/>
      </w:r>
    </w:p>
    <w:sectPr w:rsidR="008B5F85" w:rsidRPr="00B64A89">
      <w:headerReference w:type="default" r:id="rId16"/>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17T15:03:00Z" w:initials="MNH">
    <w:p w14:paraId="6978C20D" w14:textId="77777777" w:rsidR="00243BFB" w:rsidRDefault="00243BFB" w:rsidP="00243BFB">
      <w:pPr>
        <w:pStyle w:val="ListParagraph"/>
        <w:ind w:left="0"/>
      </w:pPr>
      <w:r>
        <w:rPr>
          <w:rStyle w:val="CommentReference"/>
        </w:rPr>
        <w:annotationRef/>
      </w:r>
      <w:r>
        <w:t xml:space="preserve">Abstrak harus berisi tujuan, method, hasil utama, dan implikasi. </w:t>
      </w:r>
    </w:p>
    <w:p w14:paraId="58B9679B" w14:textId="77777777" w:rsidR="00243BFB" w:rsidRDefault="00243BFB">
      <w:pPr>
        <w:pStyle w:val="CommentText"/>
      </w:pPr>
    </w:p>
  </w:comment>
  <w:comment w:id="1" w:author="power rangers" w:date="2020-11-17T15:04:00Z" w:initials="MNH">
    <w:p w14:paraId="5BC87AF3" w14:textId="77777777" w:rsidR="00243BFB" w:rsidRDefault="00243BFB" w:rsidP="00243BFB">
      <w:pPr>
        <w:pStyle w:val="ListParagraph"/>
        <w:ind w:left="0"/>
      </w:pPr>
      <w:r>
        <w:rPr>
          <w:rStyle w:val="CommentReference"/>
        </w:rPr>
        <w:annotationRef/>
      </w:r>
      <w:r>
        <w:t>Paragraph terakhir harus mencantumkan tujuan penelitian</w:t>
      </w:r>
    </w:p>
    <w:p w14:paraId="3521ADB8" w14:textId="77777777" w:rsidR="00243BFB" w:rsidRDefault="00243BFB">
      <w:pPr>
        <w:pStyle w:val="CommentText"/>
      </w:pPr>
    </w:p>
  </w:comment>
  <w:comment w:id="2" w:author="power rangers" w:date="2020-11-17T15:05:00Z" w:initials="MNH">
    <w:p w14:paraId="681245D5" w14:textId="77777777" w:rsidR="00243BFB" w:rsidRDefault="00243BFB" w:rsidP="00243BFB">
      <w:pPr>
        <w:pStyle w:val="ListParagraph"/>
        <w:numPr>
          <w:ilvl w:val="0"/>
          <w:numId w:val="7"/>
        </w:numPr>
      </w:pPr>
      <w:r>
        <w:rPr>
          <w:rStyle w:val="CommentReference"/>
        </w:rPr>
        <w:annotationRef/>
      </w:r>
      <w:r>
        <w:t>Design Peneletian harus dipaparkan dengan jelas</w:t>
      </w:r>
    </w:p>
    <w:p w14:paraId="200DDBFD" w14:textId="77777777" w:rsidR="00243BFB" w:rsidRDefault="00243BFB" w:rsidP="00243BFB">
      <w:pPr>
        <w:pStyle w:val="ListParagraph"/>
        <w:numPr>
          <w:ilvl w:val="0"/>
          <w:numId w:val="7"/>
        </w:numPr>
      </w:pPr>
      <w:r>
        <w:t>Dalam method harus mencantumkan karakteristik objek dan subject penelitian secara rinci/detail</w:t>
      </w:r>
    </w:p>
    <w:p w14:paraId="4EBD4A0F" w14:textId="77777777" w:rsidR="00243BFB" w:rsidRDefault="00243BFB" w:rsidP="00243BFB">
      <w:pPr>
        <w:pStyle w:val="ListParagraph"/>
        <w:numPr>
          <w:ilvl w:val="0"/>
          <w:numId w:val="7"/>
        </w:numPr>
      </w:pPr>
      <w:r>
        <w:t>Method tidak terlalu textbook</w:t>
      </w:r>
    </w:p>
    <w:p w14:paraId="4ECEF06C" w14:textId="77777777" w:rsidR="00243BFB" w:rsidRDefault="00243BFB" w:rsidP="00243BFB">
      <w:pPr>
        <w:pStyle w:val="ListParagraph"/>
        <w:numPr>
          <w:ilvl w:val="0"/>
          <w:numId w:val="7"/>
        </w:numPr>
      </w:pPr>
      <w:r>
        <w:t>Teknik pengambilan sample harus dipaparkan dengan jelas</w:t>
      </w:r>
    </w:p>
    <w:p w14:paraId="73EA4A4E" w14:textId="77777777" w:rsidR="00243BFB" w:rsidRDefault="00243BFB">
      <w:pPr>
        <w:pStyle w:val="CommentText"/>
      </w:pPr>
    </w:p>
  </w:comment>
  <w:comment w:id="3" w:author="power rangers" w:date="2020-11-17T15:05:00Z" w:initials="MNH">
    <w:p w14:paraId="7E3181D3" w14:textId="77777777" w:rsidR="00243BFB" w:rsidRDefault="00243BFB" w:rsidP="00243BFB">
      <w:pPr>
        <w:pStyle w:val="ListParagraph"/>
        <w:numPr>
          <w:ilvl w:val="0"/>
          <w:numId w:val="8"/>
        </w:numPr>
      </w:pPr>
      <w:r>
        <w:rPr>
          <w:rStyle w:val="CommentReference"/>
        </w:rPr>
        <w:annotationRef/>
      </w:r>
      <w:r>
        <w:t>Gambar harus memiliki resolusi yang baik (tidak blur)</w:t>
      </w:r>
    </w:p>
    <w:p w14:paraId="4C4E86A5" w14:textId="77777777" w:rsidR="00243BFB" w:rsidRDefault="00243BFB" w:rsidP="00243BFB">
      <w:pPr>
        <w:pStyle w:val="ListParagraph"/>
        <w:numPr>
          <w:ilvl w:val="0"/>
          <w:numId w:val="8"/>
        </w:numPr>
      </w:pPr>
      <w:r>
        <w:t>Diskusi harus didukung oleh referensi</w:t>
      </w:r>
    </w:p>
    <w:p w14:paraId="7B903FAE" w14:textId="77777777" w:rsidR="00243BFB" w:rsidRDefault="00243BFB" w:rsidP="00243BFB">
      <w:pPr>
        <w:pStyle w:val="ListParagraph"/>
        <w:numPr>
          <w:ilvl w:val="0"/>
          <w:numId w:val="8"/>
        </w:numPr>
      </w:pPr>
      <w:r>
        <w:t>Gambar harus dipanggil dalam paragraph dan dijelaskan apa yang dimaksud dalam gambar tersebut</w:t>
      </w:r>
    </w:p>
    <w:p w14:paraId="67E7EAF2" w14:textId="77777777" w:rsidR="00243BFB" w:rsidRPr="00243BFB" w:rsidRDefault="00243BFB">
      <w:pPr>
        <w:pStyle w:val="CommentText"/>
        <w:rPr>
          <w:b/>
          <w:bCs/>
        </w:rPr>
      </w:pPr>
    </w:p>
  </w:comment>
  <w:comment w:id="4" w:author="power rangers" w:date="2020-11-17T15:06:00Z" w:initials="MNH">
    <w:p w14:paraId="472D461E" w14:textId="77777777" w:rsidR="00243BFB" w:rsidRDefault="00243BFB" w:rsidP="00243BFB">
      <w:pPr>
        <w:pStyle w:val="ListParagraph"/>
        <w:numPr>
          <w:ilvl w:val="0"/>
          <w:numId w:val="9"/>
        </w:numPr>
      </w:pPr>
      <w:r>
        <w:rPr>
          <w:rStyle w:val="CommentReference"/>
        </w:rPr>
        <w:annotationRef/>
      </w:r>
      <w:r>
        <w:t>Minimal 1</w:t>
      </w:r>
      <w:r>
        <w:t xml:space="preserve">5 </w:t>
      </w:r>
      <w:bookmarkStart w:id="5" w:name="_GoBack"/>
      <w:bookmarkEnd w:id="5"/>
      <w:r>
        <w:t xml:space="preserve">reference </w:t>
      </w:r>
    </w:p>
    <w:p w14:paraId="2EE7BE92" w14:textId="77777777" w:rsidR="00243BFB" w:rsidRDefault="00243BF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B9679B" w15:done="0"/>
  <w15:commentEx w15:paraId="3521ADB8" w15:done="0"/>
  <w15:commentEx w15:paraId="73EA4A4E" w15:done="0"/>
  <w15:commentEx w15:paraId="67E7EAF2" w15:done="0"/>
  <w15:commentEx w15:paraId="2EE7BE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B9679B" w16cid:durableId="235E64CA"/>
  <w16cid:commentId w16cid:paraId="3521ADB8" w16cid:durableId="235E64FB"/>
  <w16cid:commentId w16cid:paraId="73EA4A4E" w16cid:durableId="235E651D"/>
  <w16cid:commentId w16cid:paraId="67E7EAF2" w16cid:durableId="235E652C"/>
  <w16cid:commentId w16cid:paraId="2EE7BE92" w16cid:durableId="235E65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28E48" w14:textId="77777777" w:rsidR="00391F1E" w:rsidRDefault="00391F1E">
      <w:r>
        <w:separator/>
      </w:r>
    </w:p>
  </w:endnote>
  <w:endnote w:type="continuationSeparator" w:id="0">
    <w:p w14:paraId="75F472C2" w14:textId="77777777" w:rsidR="00391F1E" w:rsidRDefault="00391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BA508" w14:textId="77777777" w:rsidR="00391F1E" w:rsidRPr="00043761" w:rsidRDefault="00391F1E">
      <w:pPr>
        <w:pStyle w:val="Bulleted"/>
        <w:numPr>
          <w:ilvl w:val="0"/>
          <w:numId w:val="0"/>
        </w:numPr>
        <w:rPr>
          <w:rFonts w:ascii="Sabon" w:hAnsi="Sabon"/>
          <w:color w:val="auto"/>
          <w:szCs w:val="20"/>
        </w:rPr>
      </w:pPr>
      <w:r>
        <w:separator/>
      </w:r>
    </w:p>
  </w:footnote>
  <w:footnote w:type="continuationSeparator" w:id="0">
    <w:p w14:paraId="3D41FDB2" w14:textId="77777777" w:rsidR="00391F1E" w:rsidRDefault="00391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44FB1" w14:textId="77777777" w:rsidR="00091000" w:rsidRDefault="00091000"/>
  <w:p w14:paraId="7161E415" w14:textId="77777777" w:rsidR="00091000" w:rsidRDefault="00091000"/>
  <w:p w14:paraId="5377EEF7" w14:textId="77777777" w:rsidR="00091000" w:rsidRDefault="00091000"/>
  <w:p w14:paraId="3B1764F4" w14:textId="77777777" w:rsidR="00091000" w:rsidRDefault="00091000"/>
  <w:p w14:paraId="0B88BBB6" w14:textId="77777777" w:rsidR="00091000" w:rsidRDefault="00091000"/>
  <w:p w14:paraId="1795EB25" w14:textId="77777777" w:rsidR="00091000" w:rsidRDefault="00091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A47E0DF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FC344B"/>
    <w:multiLevelType w:val="hybridMultilevel"/>
    <w:tmpl w:val="F3A8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891A86"/>
    <w:multiLevelType w:val="hybridMultilevel"/>
    <w:tmpl w:val="E70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862236"/>
    <w:multiLevelType w:val="hybridMultilevel"/>
    <w:tmpl w:val="F704F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8" w15:restartNumberingAfterBreak="0">
    <w:nsid w:val="7FD15A3B"/>
    <w:multiLevelType w:val="hybridMultilevel"/>
    <w:tmpl w:val="72CA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3"/>
  </w:num>
  <w:num w:numId="6">
    <w:abstractNumId w:val="1"/>
  </w:num>
  <w:num w:numId="7">
    <w:abstractNumId w:val="8"/>
  </w:num>
  <w:num w:numId="8">
    <w:abstractNumId w:val="4"/>
  </w:num>
  <w:num w:numId="9">
    <w:abstractNumId w:val="5"/>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6EA6"/>
    <w:rsid w:val="00041D4A"/>
    <w:rsid w:val="00065A76"/>
    <w:rsid w:val="00091000"/>
    <w:rsid w:val="000B3969"/>
    <w:rsid w:val="001027DE"/>
    <w:rsid w:val="00133F9A"/>
    <w:rsid w:val="001B16EB"/>
    <w:rsid w:val="001D045D"/>
    <w:rsid w:val="00217A99"/>
    <w:rsid w:val="00231AC1"/>
    <w:rsid w:val="00243BFB"/>
    <w:rsid w:val="00243C53"/>
    <w:rsid w:val="002637E5"/>
    <w:rsid w:val="00263A0E"/>
    <w:rsid w:val="00267E0A"/>
    <w:rsid w:val="0028026D"/>
    <w:rsid w:val="0028228C"/>
    <w:rsid w:val="002A15C9"/>
    <w:rsid w:val="002A5B49"/>
    <w:rsid w:val="00324C80"/>
    <w:rsid w:val="00341340"/>
    <w:rsid w:val="00391F1E"/>
    <w:rsid w:val="003B0013"/>
    <w:rsid w:val="003F65A5"/>
    <w:rsid w:val="00403B38"/>
    <w:rsid w:val="004118D8"/>
    <w:rsid w:val="00471E7C"/>
    <w:rsid w:val="004778BE"/>
    <w:rsid w:val="00487388"/>
    <w:rsid w:val="004A481B"/>
    <w:rsid w:val="004D1040"/>
    <w:rsid w:val="005158FA"/>
    <w:rsid w:val="00526D71"/>
    <w:rsid w:val="00542583"/>
    <w:rsid w:val="005B72F0"/>
    <w:rsid w:val="005F3946"/>
    <w:rsid w:val="00614A6C"/>
    <w:rsid w:val="00615CB5"/>
    <w:rsid w:val="00617D16"/>
    <w:rsid w:val="00635196"/>
    <w:rsid w:val="00695A9F"/>
    <w:rsid w:val="006A7317"/>
    <w:rsid w:val="006C6E12"/>
    <w:rsid w:val="006F3090"/>
    <w:rsid w:val="006F45A4"/>
    <w:rsid w:val="007123F6"/>
    <w:rsid w:val="00733CB3"/>
    <w:rsid w:val="00755CA0"/>
    <w:rsid w:val="00772D30"/>
    <w:rsid w:val="007973F9"/>
    <w:rsid w:val="007A68FE"/>
    <w:rsid w:val="007B7C91"/>
    <w:rsid w:val="007E0EB6"/>
    <w:rsid w:val="007F02E1"/>
    <w:rsid w:val="007F3706"/>
    <w:rsid w:val="008149A2"/>
    <w:rsid w:val="008B593B"/>
    <w:rsid w:val="008B5F85"/>
    <w:rsid w:val="008E7F08"/>
    <w:rsid w:val="00933504"/>
    <w:rsid w:val="009A0487"/>
    <w:rsid w:val="009C304B"/>
    <w:rsid w:val="009C6561"/>
    <w:rsid w:val="009C7441"/>
    <w:rsid w:val="00A20D95"/>
    <w:rsid w:val="00A309D3"/>
    <w:rsid w:val="00A331B4"/>
    <w:rsid w:val="00A6045A"/>
    <w:rsid w:val="00A73E74"/>
    <w:rsid w:val="00A8660E"/>
    <w:rsid w:val="00A904CD"/>
    <w:rsid w:val="00AB3DF3"/>
    <w:rsid w:val="00B05982"/>
    <w:rsid w:val="00B11507"/>
    <w:rsid w:val="00B12680"/>
    <w:rsid w:val="00B41728"/>
    <w:rsid w:val="00B64A89"/>
    <w:rsid w:val="00B73C81"/>
    <w:rsid w:val="00B75B51"/>
    <w:rsid w:val="00B83F45"/>
    <w:rsid w:val="00BD2611"/>
    <w:rsid w:val="00BE1AD0"/>
    <w:rsid w:val="00BE4597"/>
    <w:rsid w:val="00C36769"/>
    <w:rsid w:val="00C510C2"/>
    <w:rsid w:val="00C86B92"/>
    <w:rsid w:val="00D455B5"/>
    <w:rsid w:val="00D81AC1"/>
    <w:rsid w:val="00DB7B29"/>
    <w:rsid w:val="00DF1D55"/>
    <w:rsid w:val="00E43124"/>
    <w:rsid w:val="00E637E7"/>
    <w:rsid w:val="00E64B5B"/>
    <w:rsid w:val="00E85A99"/>
    <w:rsid w:val="00EC5035"/>
    <w:rsid w:val="00EE0D12"/>
    <w:rsid w:val="00EF6BE4"/>
    <w:rsid w:val="00F14C0F"/>
    <w:rsid w:val="00F60155"/>
    <w:rsid w:val="00F670B7"/>
    <w:rsid w:val="00F84752"/>
    <w:rsid w:val="00FE1B5B"/>
    <w:rsid w:val="00FE5FDA"/>
    <w:rsid w:val="00FF0AFD"/>
    <w:rsid w:val="00FF1E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77B075"/>
  <w15:docId w15:val="{3744F002-7A56-44FE-98CB-5337244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1D045D"/>
    <w:pPr>
      <w:spacing w:before="0"/>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2A15C9"/>
    <w:rPr>
      <w:color w:val="0000FF" w:themeColor="hyperlink"/>
      <w:u w:val="single"/>
    </w:rPr>
  </w:style>
  <w:style w:type="table" w:styleId="TableGrid">
    <w:name w:val="Table Grid"/>
    <w:basedOn w:val="TableNormal"/>
    <w:uiPriority w:val="59"/>
    <w:rsid w:val="002A1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F08"/>
    <w:rPr>
      <w:rFonts w:ascii="Tahoma" w:hAnsi="Tahoma" w:cs="Tahoma"/>
      <w:sz w:val="16"/>
      <w:szCs w:val="16"/>
    </w:rPr>
  </w:style>
  <w:style w:type="character" w:customStyle="1" w:styleId="BalloonTextChar">
    <w:name w:val="Balloon Text Char"/>
    <w:basedOn w:val="DefaultParagraphFont"/>
    <w:link w:val="BalloonText"/>
    <w:uiPriority w:val="99"/>
    <w:semiHidden/>
    <w:rsid w:val="008E7F08"/>
    <w:rPr>
      <w:rFonts w:ascii="Tahoma" w:hAnsi="Tahoma" w:cs="Tahoma"/>
      <w:sz w:val="16"/>
      <w:szCs w:val="16"/>
      <w:lang w:eastAsia="en-US"/>
    </w:rPr>
  </w:style>
  <w:style w:type="character" w:styleId="CommentReference">
    <w:name w:val="annotation reference"/>
    <w:basedOn w:val="DefaultParagraphFont"/>
    <w:uiPriority w:val="99"/>
    <w:semiHidden/>
    <w:unhideWhenUsed/>
    <w:rsid w:val="00243BFB"/>
    <w:rPr>
      <w:sz w:val="16"/>
      <w:szCs w:val="16"/>
    </w:rPr>
  </w:style>
  <w:style w:type="paragraph" w:styleId="CommentText">
    <w:name w:val="annotation text"/>
    <w:basedOn w:val="Normal"/>
    <w:link w:val="CommentTextChar"/>
    <w:uiPriority w:val="99"/>
    <w:semiHidden/>
    <w:unhideWhenUsed/>
    <w:rsid w:val="00243BFB"/>
    <w:rPr>
      <w:sz w:val="20"/>
    </w:rPr>
  </w:style>
  <w:style w:type="character" w:customStyle="1" w:styleId="CommentTextChar">
    <w:name w:val="Comment Text Char"/>
    <w:basedOn w:val="DefaultParagraphFont"/>
    <w:link w:val="CommentText"/>
    <w:uiPriority w:val="99"/>
    <w:semiHidden/>
    <w:rsid w:val="00243BF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243BFB"/>
    <w:rPr>
      <w:b/>
      <w:bCs/>
    </w:rPr>
  </w:style>
  <w:style w:type="character" w:customStyle="1" w:styleId="CommentSubjectChar">
    <w:name w:val="Comment Subject Char"/>
    <w:basedOn w:val="CommentTextChar"/>
    <w:link w:val="CommentSubject"/>
    <w:uiPriority w:val="99"/>
    <w:semiHidden/>
    <w:rsid w:val="00243BFB"/>
    <w:rPr>
      <w:rFonts w:ascii="Times" w:hAnsi="Times"/>
      <w:b/>
      <w:bCs/>
      <w:lang w:eastAsia="en-US"/>
    </w:rPr>
  </w:style>
  <w:style w:type="paragraph" w:styleId="ListParagraph">
    <w:name w:val="List Paragraph"/>
    <w:basedOn w:val="Normal"/>
    <w:uiPriority w:val="34"/>
    <w:qFormat/>
    <w:rsid w:val="00243BFB"/>
    <w:pPr>
      <w:spacing w:after="160" w:line="259" w:lineRule="auto"/>
      <w:ind w:left="720"/>
      <w:contextualSpacing/>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M%20N%20Hudha\Downloads\marlina@setiabudi.ac.id" TargetMode="Externa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341FD-038E-470C-9E7A-00CB962A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0</TotalTime>
  <Pages>5</Pages>
  <Words>7395</Words>
  <Characters>42155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49452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power rangers</cp:lastModifiedBy>
  <cp:revision>2</cp:revision>
  <cp:lastPrinted>2005-02-25T09:52:00Z</cp:lastPrinted>
  <dcterms:created xsi:type="dcterms:W3CDTF">2020-11-17T08:06:00Z</dcterms:created>
  <dcterms:modified xsi:type="dcterms:W3CDTF">2020-11-17T08:06:00Z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http://www.zotero.org/styles/journal-of-physics-conference-series</vt:lpwstr>
  </property>
  <property fmtid="{D5CDD505-2E9C-101B-9397-08002B2CF9AE}" pid="4" name="Mendeley Unique User Id_1">
    <vt:lpwstr>3a242e95-3086-3444-9eaf-78f1a6e5108e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