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1B11E9" w14:textId="77777777" w:rsidR="00537E73" w:rsidRPr="00360688" w:rsidRDefault="004B29C9" w:rsidP="00F211F4">
      <w:pPr>
        <w:spacing w:line="240" w:lineRule="auto"/>
        <w:rPr>
          <w:rFonts w:ascii="Times New Roman" w:hAnsi="Times New Roman" w:cs="Times New Roman"/>
          <w:b/>
          <w:sz w:val="34"/>
        </w:rPr>
      </w:pPr>
      <w:r w:rsidRPr="00360688">
        <w:rPr>
          <w:rFonts w:ascii="Times New Roman" w:hAnsi="Times New Roman" w:cs="Times New Roman"/>
          <w:b/>
          <w:sz w:val="34"/>
        </w:rPr>
        <w:t xml:space="preserve">How to Learn Oscillation and Wave </w:t>
      </w:r>
      <w:r w:rsidR="00175976" w:rsidRPr="00360688">
        <w:rPr>
          <w:rFonts w:ascii="Times New Roman" w:hAnsi="Times New Roman" w:cs="Times New Roman"/>
          <w:b/>
          <w:sz w:val="34"/>
        </w:rPr>
        <w:t xml:space="preserve">in </w:t>
      </w:r>
      <w:r w:rsidR="006867F5" w:rsidRPr="00360688">
        <w:rPr>
          <w:rFonts w:ascii="Times New Roman" w:hAnsi="Times New Roman" w:cs="Times New Roman"/>
          <w:b/>
          <w:sz w:val="34"/>
        </w:rPr>
        <w:t>SAMR F</w:t>
      </w:r>
      <w:r w:rsidR="00F54900" w:rsidRPr="00360688">
        <w:rPr>
          <w:rFonts w:ascii="Times New Roman" w:hAnsi="Times New Roman" w:cs="Times New Roman"/>
          <w:b/>
          <w:sz w:val="34"/>
        </w:rPr>
        <w:t>ramework</w:t>
      </w:r>
      <w:r w:rsidR="00931469" w:rsidRPr="00360688">
        <w:rPr>
          <w:rFonts w:ascii="Times New Roman" w:hAnsi="Times New Roman" w:cs="Times New Roman"/>
          <w:b/>
          <w:sz w:val="34"/>
        </w:rPr>
        <w:t>?</w:t>
      </w:r>
    </w:p>
    <w:p w14:paraId="5C8B0749" w14:textId="77777777" w:rsidR="00F211F4" w:rsidRDefault="00F211F4" w:rsidP="00F211F4">
      <w:pPr>
        <w:spacing w:line="240" w:lineRule="auto"/>
        <w:ind w:left="1418"/>
        <w:rPr>
          <w:rFonts w:ascii="Times New Roman" w:hAnsi="Times New Roman" w:cs="Times New Roman"/>
          <w:b/>
          <w:sz w:val="24"/>
        </w:rPr>
      </w:pPr>
    </w:p>
    <w:p w14:paraId="5CA36E15" w14:textId="77777777" w:rsidR="00F211F4" w:rsidRPr="0098362E" w:rsidRDefault="00F211F4" w:rsidP="00F211F4">
      <w:pPr>
        <w:spacing w:line="240" w:lineRule="auto"/>
        <w:ind w:left="1418"/>
        <w:rPr>
          <w:rFonts w:ascii="Times New Roman" w:hAnsi="Times New Roman" w:cs="Times New Roman"/>
          <w:b/>
          <w:vertAlign w:val="superscript"/>
          <w:lang w:val="id-ID"/>
        </w:rPr>
      </w:pPr>
      <w:proofErr w:type="spellStart"/>
      <w:r w:rsidRPr="0098362E">
        <w:rPr>
          <w:rFonts w:ascii="Times New Roman" w:hAnsi="Times New Roman" w:cs="Times New Roman"/>
          <w:b/>
        </w:rPr>
        <w:t>Hena</w:t>
      </w:r>
      <w:proofErr w:type="spellEnd"/>
      <w:r w:rsidRPr="0098362E">
        <w:rPr>
          <w:rFonts w:ascii="Times New Roman" w:hAnsi="Times New Roman" w:cs="Times New Roman"/>
          <w:b/>
        </w:rPr>
        <w:t xml:space="preserve"> Dian Ayu</w:t>
      </w:r>
      <w:r w:rsidRPr="0098362E">
        <w:rPr>
          <w:rFonts w:ascii="Times New Roman" w:hAnsi="Times New Roman" w:cs="Times New Roman"/>
          <w:b/>
          <w:vertAlign w:val="superscript"/>
        </w:rPr>
        <w:t>1*</w:t>
      </w:r>
      <w:r w:rsidRPr="0098362E">
        <w:rPr>
          <w:rFonts w:ascii="Times New Roman" w:hAnsi="Times New Roman" w:cs="Times New Roman"/>
          <w:b/>
        </w:rPr>
        <w:t xml:space="preserve">, </w:t>
      </w:r>
      <w:proofErr w:type="spellStart"/>
      <w:r w:rsidRPr="0098362E">
        <w:rPr>
          <w:rFonts w:ascii="Times New Roman" w:hAnsi="Times New Roman" w:cs="Times New Roman"/>
          <w:b/>
        </w:rPr>
        <w:t>Akhmad</w:t>
      </w:r>
      <w:proofErr w:type="spellEnd"/>
      <w:r w:rsidRPr="0098362E">
        <w:rPr>
          <w:rFonts w:ascii="Times New Roman" w:hAnsi="Times New Roman" w:cs="Times New Roman"/>
          <w:b/>
        </w:rPr>
        <w:t xml:space="preserve"> Jufriadi</w:t>
      </w:r>
      <w:r w:rsidRPr="0098362E">
        <w:rPr>
          <w:rFonts w:ascii="Times New Roman" w:hAnsi="Times New Roman" w:cs="Times New Roman"/>
          <w:b/>
          <w:vertAlign w:val="superscript"/>
        </w:rPr>
        <w:t>1*</w:t>
      </w:r>
      <w:r w:rsidR="008F1025" w:rsidRPr="0098362E">
        <w:rPr>
          <w:rFonts w:ascii="Times New Roman" w:hAnsi="Times New Roman" w:cs="Times New Roman"/>
          <w:b/>
        </w:rPr>
        <w:t xml:space="preserve">, </w:t>
      </w:r>
      <w:proofErr w:type="spellStart"/>
      <w:r w:rsidR="008F1025" w:rsidRPr="0098362E">
        <w:rPr>
          <w:rFonts w:ascii="Times New Roman" w:hAnsi="Times New Roman" w:cs="Times New Roman"/>
          <w:b/>
        </w:rPr>
        <w:t>Syelvy</w:t>
      </w:r>
      <w:proofErr w:type="spellEnd"/>
      <w:r w:rsidR="008F1025" w:rsidRPr="0098362E">
        <w:rPr>
          <w:rFonts w:ascii="Times New Roman" w:hAnsi="Times New Roman" w:cs="Times New Roman"/>
          <w:b/>
        </w:rPr>
        <w:t xml:space="preserve"> </w:t>
      </w:r>
      <w:proofErr w:type="spellStart"/>
      <w:r w:rsidRPr="0098362E">
        <w:rPr>
          <w:rFonts w:ascii="Times New Roman" w:hAnsi="Times New Roman" w:cs="Times New Roman"/>
          <w:b/>
        </w:rPr>
        <w:t>Erin</w:t>
      </w:r>
      <w:r w:rsidR="008F1025" w:rsidRPr="0098362E">
        <w:rPr>
          <w:rFonts w:ascii="Times New Roman" w:hAnsi="Times New Roman" w:cs="Times New Roman"/>
          <w:b/>
        </w:rPr>
        <w:t>e</w:t>
      </w:r>
      <w:proofErr w:type="spellEnd"/>
      <w:r w:rsidRPr="0098362E">
        <w:rPr>
          <w:rFonts w:ascii="Times New Roman" w:hAnsi="Times New Roman" w:cs="Times New Roman"/>
          <w:b/>
        </w:rPr>
        <w:t xml:space="preserve"> </w:t>
      </w:r>
      <w:proofErr w:type="spellStart"/>
      <w:r w:rsidRPr="0098362E">
        <w:rPr>
          <w:rFonts w:ascii="Times New Roman" w:hAnsi="Times New Roman" w:cs="Times New Roman"/>
          <w:b/>
        </w:rPr>
        <w:t>Mustika</w:t>
      </w:r>
      <w:proofErr w:type="spellEnd"/>
      <w:r w:rsidRPr="0098362E">
        <w:rPr>
          <w:rFonts w:ascii="Times New Roman" w:hAnsi="Times New Roman" w:cs="Times New Roman"/>
          <w:b/>
        </w:rPr>
        <w:t xml:space="preserve">, </w:t>
      </w:r>
      <w:r w:rsidR="008F1025" w:rsidRPr="0098362E">
        <w:rPr>
          <w:rFonts w:ascii="Times New Roman" w:hAnsi="Times New Roman" w:cs="Times New Roman"/>
          <w:b/>
        </w:rPr>
        <w:t>Maris Kurniawati</w:t>
      </w:r>
      <w:r w:rsidR="008F1025" w:rsidRPr="0098362E">
        <w:rPr>
          <w:rFonts w:ascii="Times New Roman" w:hAnsi="Times New Roman" w:cs="Times New Roman"/>
          <w:b/>
          <w:vertAlign w:val="superscript"/>
        </w:rPr>
        <w:t>1</w:t>
      </w:r>
      <w:r w:rsidR="008F1025" w:rsidRPr="0098362E">
        <w:rPr>
          <w:rFonts w:ascii="Times New Roman" w:hAnsi="Times New Roman" w:cs="Times New Roman"/>
          <w:b/>
        </w:rPr>
        <w:t xml:space="preserve">, </w:t>
      </w:r>
      <w:proofErr w:type="spellStart"/>
      <w:r w:rsidRPr="0098362E">
        <w:rPr>
          <w:rFonts w:ascii="Times New Roman" w:hAnsi="Times New Roman" w:cs="Times New Roman"/>
          <w:b/>
        </w:rPr>
        <w:t>Hestiningtyas</w:t>
      </w:r>
      <w:proofErr w:type="spellEnd"/>
      <w:r w:rsidRPr="0098362E">
        <w:rPr>
          <w:rFonts w:ascii="Times New Roman" w:hAnsi="Times New Roman" w:cs="Times New Roman"/>
          <w:b/>
        </w:rPr>
        <w:t xml:space="preserve"> </w:t>
      </w:r>
      <w:proofErr w:type="spellStart"/>
      <w:r w:rsidRPr="0098362E">
        <w:rPr>
          <w:rFonts w:ascii="Times New Roman" w:hAnsi="Times New Roman" w:cs="Times New Roman"/>
          <w:b/>
        </w:rPr>
        <w:t>Yuli</w:t>
      </w:r>
      <w:proofErr w:type="spellEnd"/>
      <w:r w:rsidRPr="0098362E">
        <w:rPr>
          <w:rFonts w:ascii="Times New Roman" w:hAnsi="Times New Roman" w:cs="Times New Roman"/>
          <w:b/>
        </w:rPr>
        <w:t xml:space="preserve"> Pratiwi</w:t>
      </w:r>
      <w:r w:rsidRPr="0098362E">
        <w:rPr>
          <w:rFonts w:ascii="Times New Roman" w:hAnsi="Times New Roman" w:cs="Times New Roman"/>
          <w:b/>
          <w:vertAlign w:val="superscript"/>
        </w:rPr>
        <w:t>1</w:t>
      </w:r>
      <w:r w:rsidRPr="0098362E">
        <w:rPr>
          <w:rFonts w:ascii="Times New Roman" w:hAnsi="Times New Roman" w:cs="Times New Roman"/>
          <w:b/>
        </w:rPr>
        <w:t>, Chandra Sundaygara</w:t>
      </w:r>
      <w:r w:rsidRPr="0098362E">
        <w:rPr>
          <w:rFonts w:ascii="Times New Roman" w:hAnsi="Times New Roman" w:cs="Times New Roman"/>
          <w:b/>
          <w:vertAlign w:val="superscript"/>
        </w:rPr>
        <w:t>1</w:t>
      </w:r>
      <w:r w:rsidRPr="0098362E">
        <w:rPr>
          <w:rFonts w:ascii="Times New Roman" w:hAnsi="Times New Roman" w:cs="Times New Roman"/>
          <w:b/>
        </w:rPr>
        <w:t>, Muhammad Nur Hudha</w:t>
      </w:r>
      <w:r w:rsidRPr="0098362E">
        <w:rPr>
          <w:rFonts w:ascii="Times New Roman" w:hAnsi="Times New Roman" w:cs="Times New Roman"/>
          <w:b/>
          <w:vertAlign w:val="superscript"/>
        </w:rPr>
        <w:t>1</w:t>
      </w:r>
    </w:p>
    <w:p w14:paraId="04C3116C" w14:textId="77777777" w:rsidR="00F211F4" w:rsidRPr="008F1025" w:rsidRDefault="00F211F4" w:rsidP="00F211F4">
      <w:pPr>
        <w:spacing w:after="0" w:line="240" w:lineRule="auto"/>
        <w:ind w:left="1418"/>
        <w:rPr>
          <w:rFonts w:ascii="Times New Roman" w:hAnsi="Times New Roman" w:cs="Times New Roman"/>
          <w:sz w:val="20"/>
          <w:szCs w:val="20"/>
        </w:rPr>
      </w:pPr>
      <w:r w:rsidRPr="008F1025">
        <w:rPr>
          <w:rFonts w:ascii="Times New Roman" w:hAnsi="Times New Roman" w:cs="Times New Roman"/>
          <w:sz w:val="20"/>
          <w:szCs w:val="20"/>
          <w:vertAlign w:val="superscript"/>
        </w:rPr>
        <w:t>1</w:t>
      </w:r>
      <w:r w:rsidRPr="008F1025">
        <w:rPr>
          <w:rFonts w:ascii="Times New Roman" w:hAnsi="Times New Roman" w:cs="Times New Roman"/>
          <w:sz w:val="20"/>
          <w:szCs w:val="20"/>
        </w:rPr>
        <w:t xml:space="preserve">Physics Education Study Program, </w:t>
      </w:r>
      <w:proofErr w:type="spellStart"/>
      <w:r w:rsidRPr="008F1025">
        <w:rPr>
          <w:rFonts w:ascii="Times New Roman" w:hAnsi="Times New Roman" w:cs="Times New Roman"/>
          <w:sz w:val="20"/>
          <w:szCs w:val="20"/>
        </w:rPr>
        <w:t>Universitas</w:t>
      </w:r>
      <w:proofErr w:type="spellEnd"/>
      <w:r w:rsidRPr="008F1025">
        <w:rPr>
          <w:rFonts w:ascii="Times New Roman" w:hAnsi="Times New Roman" w:cs="Times New Roman"/>
          <w:sz w:val="20"/>
          <w:szCs w:val="20"/>
        </w:rPr>
        <w:t xml:space="preserve"> </w:t>
      </w:r>
      <w:proofErr w:type="spellStart"/>
      <w:r w:rsidRPr="008F1025">
        <w:rPr>
          <w:rFonts w:ascii="Times New Roman" w:hAnsi="Times New Roman" w:cs="Times New Roman"/>
          <w:sz w:val="20"/>
          <w:szCs w:val="20"/>
        </w:rPr>
        <w:t>Kanjuruhan</w:t>
      </w:r>
      <w:proofErr w:type="spellEnd"/>
      <w:r w:rsidRPr="008F1025">
        <w:rPr>
          <w:rFonts w:ascii="Times New Roman" w:hAnsi="Times New Roman" w:cs="Times New Roman"/>
          <w:sz w:val="20"/>
          <w:szCs w:val="20"/>
        </w:rPr>
        <w:t xml:space="preserve"> Malang</w:t>
      </w:r>
    </w:p>
    <w:p w14:paraId="4A7FFE07" w14:textId="77777777" w:rsidR="00F211F4" w:rsidRPr="008F1025" w:rsidRDefault="006B4BEC" w:rsidP="00F211F4">
      <w:pPr>
        <w:spacing w:after="0" w:line="240" w:lineRule="auto"/>
        <w:ind w:left="1418"/>
        <w:rPr>
          <w:rFonts w:ascii="Times New Roman" w:hAnsi="Times New Roman" w:cs="Times New Roman"/>
          <w:sz w:val="20"/>
          <w:szCs w:val="20"/>
        </w:rPr>
      </w:pPr>
      <w:hyperlink r:id="rId6" w:history="1">
        <w:r w:rsidR="00F211F4" w:rsidRPr="008F1025">
          <w:rPr>
            <w:rStyle w:val="Hyperlink"/>
            <w:rFonts w:ascii="Times New Roman" w:hAnsi="Times New Roman" w:cs="Times New Roman"/>
            <w:sz w:val="20"/>
            <w:szCs w:val="20"/>
            <w:u w:val="none"/>
          </w:rPr>
          <w:t>*akhmadjufriadi@unikama.ac.id</w:t>
        </w:r>
      </w:hyperlink>
    </w:p>
    <w:p w14:paraId="2B412950" w14:textId="77777777" w:rsidR="00F211F4" w:rsidRPr="008F1025" w:rsidRDefault="006B4BEC" w:rsidP="00F211F4">
      <w:pPr>
        <w:spacing w:after="0" w:line="240" w:lineRule="auto"/>
        <w:ind w:left="1418"/>
        <w:rPr>
          <w:rFonts w:ascii="Times New Roman" w:hAnsi="Times New Roman" w:cs="Times New Roman"/>
          <w:sz w:val="20"/>
          <w:szCs w:val="20"/>
        </w:rPr>
      </w:pPr>
      <w:hyperlink r:id="rId7" w:history="1">
        <w:r w:rsidR="00F211F4" w:rsidRPr="008F1025">
          <w:rPr>
            <w:rStyle w:val="Hyperlink"/>
            <w:rFonts w:ascii="Times New Roman" w:hAnsi="Times New Roman" w:cs="Times New Roman"/>
            <w:sz w:val="20"/>
            <w:szCs w:val="20"/>
            <w:u w:val="none"/>
          </w:rPr>
          <w:t>*henadian@unikama.ac.id</w:t>
        </w:r>
      </w:hyperlink>
    </w:p>
    <w:p w14:paraId="7DDAA293" w14:textId="77777777" w:rsidR="00F211F4" w:rsidRPr="00F211F4" w:rsidRDefault="00F211F4" w:rsidP="00A91D6C">
      <w:pPr>
        <w:spacing w:line="240" w:lineRule="auto"/>
        <w:jc w:val="center"/>
        <w:rPr>
          <w:rFonts w:ascii="Times New Roman" w:hAnsi="Times New Roman" w:cs="Times New Roman"/>
          <w:sz w:val="24"/>
        </w:rPr>
      </w:pPr>
    </w:p>
    <w:p w14:paraId="479BCA4D" w14:textId="77777777" w:rsidR="00A80655" w:rsidRPr="00F211F4" w:rsidRDefault="008F1025" w:rsidP="008F1025">
      <w:pPr>
        <w:spacing w:after="0" w:line="240" w:lineRule="auto"/>
        <w:ind w:left="1418"/>
        <w:jc w:val="both"/>
        <w:rPr>
          <w:rFonts w:ascii="Times New Roman" w:hAnsi="Times New Roman" w:cs="Times New Roman"/>
          <w:color w:val="212529"/>
          <w:shd w:val="clear" w:color="auto" w:fill="FFFFFF"/>
        </w:rPr>
      </w:pPr>
      <w:r w:rsidRPr="008F1025">
        <w:rPr>
          <w:rFonts w:ascii="Times New Roman" w:hAnsi="Times New Roman" w:cs="Times New Roman"/>
          <w:b/>
          <w:color w:val="212529"/>
          <w:sz w:val="20"/>
          <w:szCs w:val="20"/>
          <w:shd w:val="clear" w:color="auto" w:fill="FFFFFF"/>
        </w:rPr>
        <w:t xml:space="preserve">Abstract. </w:t>
      </w:r>
      <w:r w:rsidR="00CA5266" w:rsidRPr="008F1025">
        <w:rPr>
          <w:rFonts w:ascii="Times New Roman" w:hAnsi="Times New Roman" w:cs="Times New Roman"/>
          <w:color w:val="212529"/>
          <w:sz w:val="20"/>
          <w:szCs w:val="20"/>
          <w:shd w:val="clear" w:color="auto" w:fill="FFFFFF"/>
        </w:rPr>
        <w:t xml:space="preserve">This study was to see how to optimize the application and laboratory software on Oscillation and Wave material. This study was conducted using computers and android equipped with Internet access in SAMR framework. SAMR is a framework that requires the use of technology in learning </w:t>
      </w:r>
      <w:proofErr w:type="gramStart"/>
      <w:r w:rsidR="00CA5266" w:rsidRPr="008F1025">
        <w:rPr>
          <w:rFonts w:ascii="Times New Roman" w:hAnsi="Times New Roman" w:cs="Times New Roman"/>
          <w:color w:val="212529"/>
          <w:sz w:val="20"/>
          <w:szCs w:val="20"/>
          <w:shd w:val="clear" w:color="auto" w:fill="FFFFFF"/>
        </w:rPr>
        <w:t>The</w:t>
      </w:r>
      <w:proofErr w:type="gramEnd"/>
      <w:r w:rsidR="00CA5266" w:rsidRPr="008F1025">
        <w:rPr>
          <w:rFonts w:ascii="Times New Roman" w:hAnsi="Times New Roman" w:cs="Times New Roman"/>
          <w:color w:val="212529"/>
          <w:sz w:val="20"/>
          <w:szCs w:val="20"/>
          <w:shd w:val="clear" w:color="auto" w:fill="FFFFFF"/>
        </w:rPr>
        <w:t xml:space="preserve"> design of this research is content analysis. The results show that the </w:t>
      </w:r>
      <w:proofErr w:type="spellStart"/>
      <w:r w:rsidR="00CA5266" w:rsidRPr="008F1025">
        <w:rPr>
          <w:rFonts w:ascii="Times New Roman" w:hAnsi="Times New Roman" w:cs="Times New Roman"/>
          <w:color w:val="212529"/>
          <w:sz w:val="20"/>
          <w:szCs w:val="20"/>
          <w:shd w:val="clear" w:color="auto" w:fill="FFFFFF"/>
        </w:rPr>
        <w:t>Olabs</w:t>
      </w:r>
      <w:proofErr w:type="spellEnd"/>
      <w:r w:rsidR="00CA5266" w:rsidRPr="008F1025">
        <w:rPr>
          <w:rFonts w:ascii="Times New Roman" w:hAnsi="Times New Roman" w:cs="Times New Roman"/>
          <w:color w:val="212529"/>
          <w:sz w:val="20"/>
          <w:szCs w:val="20"/>
          <w:shd w:val="clear" w:color="auto" w:fill="FFFFFF"/>
        </w:rPr>
        <w:t xml:space="preserve"> application is complete and the most capable of explaining the formula if it is reviewed mathematically and </w:t>
      </w:r>
      <w:proofErr w:type="spellStart"/>
      <w:r w:rsidR="00CA5266" w:rsidRPr="008F1025">
        <w:rPr>
          <w:rFonts w:ascii="Times New Roman" w:hAnsi="Times New Roman" w:cs="Times New Roman"/>
          <w:color w:val="212529"/>
          <w:sz w:val="20"/>
          <w:szCs w:val="20"/>
          <w:shd w:val="clear" w:color="auto" w:fill="FFFFFF"/>
        </w:rPr>
        <w:t>physis</w:t>
      </w:r>
      <w:proofErr w:type="spellEnd"/>
      <w:r w:rsidR="00CA5266" w:rsidRPr="008F1025">
        <w:rPr>
          <w:rFonts w:ascii="Times New Roman" w:hAnsi="Times New Roman" w:cs="Times New Roman"/>
          <w:color w:val="212529"/>
          <w:sz w:val="20"/>
          <w:szCs w:val="20"/>
          <w:shd w:val="clear" w:color="auto" w:fill="FFFFFF"/>
        </w:rPr>
        <w:t xml:space="preserve"> meaning. This application is also able to explain the oscillator and wave phenomena well. Based on this research, during the Covid-19 pandemic, students can do STEM (science, technology, engineering and mathematics) from home, one of which is with the help of the </w:t>
      </w:r>
      <w:proofErr w:type="spellStart"/>
      <w:r w:rsidR="00CA5266" w:rsidRPr="008F1025">
        <w:rPr>
          <w:rFonts w:ascii="Times New Roman" w:hAnsi="Times New Roman" w:cs="Times New Roman"/>
          <w:color w:val="212529"/>
          <w:sz w:val="20"/>
          <w:szCs w:val="20"/>
          <w:shd w:val="clear" w:color="auto" w:fill="FFFFFF"/>
        </w:rPr>
        <w:t>Olabs</w:t>
      </w:r>
      <w:proofErr w:type="spellEnd"/>
      <w:r w:rsidR="006E7081">
        <w:rPr>
          <w:rFonts w:ascii="Times New Roman" w:hAnsi="Times New Roman" w:cs="Times New Roman"/>
          <w:color w:val="212529"/>
          <w:sz w:val="20"/>
          <w:szCs w:val="20"/>
          <w:shd w:val="clear" w:color="auto" w:fill="FFFFFF"/>
          <w:lang w:val="id-ID"/>
        </w:rPr>
        <w:t xml:space="preserve"> </w:t>
      </w:r>
      <w:proofErr w:type="spellStart"/>
      <w:r w:rsidR="006E7081">
        <w:rPr>
          <w:rFonts w:ascii="Times New Roman" w:hAnsi="Times New Roman" w:cs="Times New Roman"/>
          <w:color w:val="212529"/>
          <w:sz w:val="20"/>
          <w:szCs w:val="20"/>
          <w:shd w:val="clear" w:color="auto" w:fill="FFFFFF"/>
          <w:lang w:val="id-ID"/>
        </w:rPr>
        <w:t>and</w:t>
      </w:r>
      <w:proofErr w:type="spellEnd"/>
      <w:r w:rsidR="006E7081">
        <w:rPr>
          <w:rFonts w:ascii="Times New Roman" w:hAnsi="Times New Roman" w:cs="Times New Roman"/>
          <w:color w:val="212529"/>
          <w:sz w:val="20"/>
          <w:szCs w:val="20"/>
          <w:shd w:val="clear" w:color="auto" w:fill="FFFFFF"/>
          <w:lang w:val="id-ID"/>
        </w:rPr>
        <w:t xml:space="preserve"> </w:t>
      </w:r>
      <w:proofErr w:type="spellStart"/>
      <w:r w:rsidR="006E7081">
        <w:rPr>
          <w:rFonts w:ascii="Times New Roman" w:hAnsi="Times New Roman" w:cs="Times New Roman"/>
          <w:color w:val="212529"/>
          <w:sz w:val="20"/>
          <w:szCs w:val="20"/>
          <w:shd w:val="clear" w:color="auto" w:fill="FFFFFF"/>
          <w:lang w:val="id-ID"/>
        </w:rPr>
        <w:t>PhET</w:t>
      </w:r>
      <w:proofErr w:type="spellEnd"/>
      <w:r w:rsidR="00CA5266" w:rsidRPr="008F1025">
        <w:rPr>
          <w:rFonts w:ascii="Times New Roman" w:hAnsi="Times New Roman" w:cs="Times New Roman"/>
          <w:color w:val="212529"/>
          <w:sz w:val="20"/>
          <w:szCs w:val="20"/>
          <w:shd w:val="clear" w:color="auto" w:fill="FFFFFF"/>
        </w:rPr>
        <w:t xml:space="preserve"> application</w:t>
      </w:r>
      <w:r w:rsidR="00CA5266" w:rsidRPr="00F211F4">
        <w:rPr>
          <w:rFonts w:ascii="Times New Roman" w:hAnsi="Times New Roman" w:cs="Times New Roman"/>
          <w:color w:val="212529"/>
          <w:shd w:val="clear" w:color="auto" w:fill="FFFFFF"/>
        </w:rPr>
        <w:t>.</w:t>
      </w:r>
    </w:p>
    <w:p w14:paraId="3EACD134" w14:textId="77777777" w:rsidR="008F1025" w:rsidRDefault="008F1025" w:rsidP="00A91D6C">
      <w:pPr>
        <w:spacing w:line="240" w:lineRule="auto"/>
        <w:jc w:val="both"/>
        <w:rPr>
          <w:rFonts w:ascii="Times New Roman" w:hAnsi="Times New Roman" w:cs="Times New Roman"/>
          <w:b/>
        </w:rPr>
      </w:pPr>
    </w:p>
    <w:p w14:paraId="06E27A95" w14:textId="77777777" w:rsidR="00931469" w:rsidRPr="008F1025" w:rsidRDefault="00931469" w:rsidP="008F1025">
      <w:pPr>
        <w:pStyle w:val="ListParagraph"/>
        <w:numPr>
          <w:ilvl w:val="0"/>
          <w:numId w:val="1"/>
        </w:numPr>
        <w:spacing w:before="240" w:after="0" w:line="240" w:lineRule="auto"/>
        <w:ind w:left="426"/>
        <w:jc w:val="both"/>
        <w:rPr>
          <w:rFonts w:ascii="Times New Roman" w:hAnsi="Times New Roman" w:cs="Times New Roman"/>
          <w:b/>
        </w:rPr>
      </w:pPr>
      <w:proofErr w:type="spellStart"/>
      <w:r w:rsidRPr="008F1025">
        <w:rPr>
          <w:rFonts w:ascii="Times New Roman" w:hAnsi="Times New Roman" w:cs="Times New Roman"/>
          <w:b/>
        </w:rPr>
        <w:t>Intoduction</w:t>
      </w:r>
      <w:proofErr w:type="spellEnd"/>
    </w:p>
    <w:p w14:paraId="39854C91" w14:textId="77777777" w:rsidR="002E5156" w:rsidRPr="00F211F4" w:rsidRDefault="002E5156" w:rsidP="008F1025">
      <w:pPr>
        <w:spacing w:after="0" w:line="240" w:lineRule="auto"/>
        <w:ind w:firstLine="426"/>
        <w:jc w:val="both"/>
        <w:rPr>
          <w:rFonts w:ascii="Times New Roman" w:hAnsi="Times New Roman" w:cs="Times New Roman"/>
        </w:rPr>
      </w:pPr>
      <w:commentRangeStart w:id="0"/>
      <w:r w:rsidRPr="00F211F4">
        <w:rPr>
          <w:rFonts w:ascii="Times New Roman" w:hAnsi="Times New Roman" w:cs="Times New Roman"/>
        </w:rPr>
        <w:t>Technophobia has become a problem that is often taken for granted by teachers and students</w:t>
      </w:r>
      <w:commentRangeEnd w:id="0"/>
      <w:r w:rsidR="006B4BEC">
        <w:rPr>
          <w:rStyle w:val="CommentReference"/>
        </w:rPr>
        <w:commentReference w:id="0"/>
      </w:r>
      <w:r w:rsidRPr="00F211F4">
        <w:rPr>
          <w:rFonts w:ascii="Times New Roman" w:hAnsi="Times New Roman" w:cs="Times New Roman"/>
        </w:rPr>
        <w:t>. Many teachers have refused to integrate technology into learning on the grounds that they do not know how</w:t>
      </w:r>
      <w:r w:rsidR="0098362E">
        <w:rPr>
          <w:rFonts w:ascii="Times New Roman" w:hAnsi="Times New Roman" w:cs="Times New Roman"/>
        </w:rPr>
        <w:fldChar w:fldCharType="begin" w:fldLock="1"/>
      </w:r>
      <w:r w:rsidR="0027239B">
        <w:rPr>
          <w:rFonts w:ascii="Times New Roman" w:hAnsi="Times New Roman" w:cs="Times New Roman"/>
        </w:rPr>
        <w:instrText>ADDIN CSL_CITATION {"citationItems":[{"id":"ITEM-1","itemData":{"DOI":"10.1080/02635143.2011.653876","author":[{"dropping-particle":"","family":"Hast","given":"Michael","non-dropping-particle":"","parse-names":false,"suffix":""},{"dropping-particle":"","family":"Howe","given":"Christine","non-dropping-particle":"","parse-names":false,"suffix":""}],"id":"ITEM-1","issue":"January 2015","issued":{"date-parts":[["2012"]]},"page":"37-41","title":"Research in Science &amp; Technological Education Understanding the beliefs informing children ’ s commonsense theories of motion : the role of everyday object variables in dynamic event predictions","type":"article-journal"},"uris":["http://www.mendeley.com/documents/?uuid=d4f17590-c396-4afb-a3db-b5a46a93fea5"]}],"mendeley":{"formattedCitation":"[1]","plainTextFormattedCitation":"[1]","previouslyFormattedCitation":"[1]"},"properties":{"noteIndex":0},"schema":"https://github.com/citation-style-language/schema/raw/master/csl-citation.json"}</w:instrText>
      </w:r>
      <w:r w:rsidR="0098362E">
        <w:rPr>
          <w:rFonts w:ascii="Times New Roman" w:hAnsi="Times New Roman" w:cs="Times New Roman"/>
        </w:rPr>
        <w:fldChar w:fldCharType="separate"/>
      </w:r>
      <w:r w:rsidR="0098362E" w:rsidRPr="0098362E">
        <w:rPr>
          <w:rFonts w:ascii="Times New Roman" w:hAnsi="Times New Roman" w:cs="Times New Roman"/>
          <w:noProof/>
        </w:rPr>
        <w:t>[1]</w:t>
      </w:r>
      <w:r w:rsidR="0098362E">
        <w:rPr>
          <w:rFonts w:ascii="Times New Roman" w:hAnsi="Times New Roman" w:cs="Times New Roman"/>
        </w:rPr>
        <w:fldChar w:fldCharType="end"/>
      </w:r>
      <w:r w:rsidRPr="00F211F4">
        <w:rPr>
          <w:rFonts w:ascii="Times New Roman" w:hAnsi="Times New Roman" w:cs="Times New Roman"/>
        </w:rPr>
        <w:t>. Teachers sometimes have difficulty finding the right technology media to be integrated in learning. Especially science learning activities, namely during practicum</w:t>
      </w:r>
      <w:r w:rsidR="0098362E">
        <w:rPr>
          <w:rFonts w:ascii="Times New Roman" w:hAnsi="Times New Roman" w:cs="Times New Roman"/>
        </w:rPr>
        <w:fldChar w:fldCharType="begin" w:fldLock="1"/>
      </w:r>
      <w:r w:rsidR="0027239B">
        <w:rPr>
          <w:rFonts w:ascii="Times New Roman" w:hAnsi="Times New Roman" w:cs="Times New Roman"/>
        </w:rPr>
        <w:instrText>ADDIN CSL_CITATION {"citationItems":[{"id":"ITEM-1","itemData":{"DOI":"10.1080/09500693.2018.1453175","ISSN":"14645289","abstract":"The Bifocal Modelling Framework (BMF) is an approach for science learning which links students’ physical experimentation with computer modelling in real time, focusing on the comparison of the two media. In this paper, we explore how a Bifocal Modelling implementation supported learning outcomes related to both content and metamodeling knowledge, focusing on the role of designing models. Our study consisted of three conditions implemented with a total of 69 9th grade high-school students. The first and second classes were assigned two implementation modes of BMF: with and without a model design module. The third condition, employed as a control, consisted of a class that received instruction in the school’s traditional approach. Our results indicate that students participating in both BMF implementations demonstrated improved content knowledge and a better understanding of metamodeling. However, only the ‘BMF-with-design’ group improved significantly in both content and metamodeling knowledge. Our qualitative analyses indicate that both BMF groups designed detailed models that included scientific explanations. However only students who engaged in the model design component: (1) completed a detailed model displaying molecular interaction; and (2) developed a critical perspective about models. We discuss the implications of those results for teaching scientific science concepts and metamodeling knowledge.","author":[{"dropping-particle":"","family":"Fuhrmann","given":"Tamar","non-dropping-particle":"","parse-names":false,"suffix":""},{"dropping-particle":"","family":"Schneider","given":"Bertrand","non-dropping-particle":"","parse-names":false,"suffix":""},{"dropping-particle":"","family":"Blikstein","given":"Paulo","non-dropping-particle":"","parse-names":false,"suffix":""}],"container-title":"International Journal of Science Education","id":"ITEM-1","issue":"8","issued":{"date-parts":[["2018"]]},"page":"867-893","publisher":"Taylor &amp; Francis","title":"Should students design or interact with models? Using the Bifocal Modelling Framework to investigate model construction in high school science","type":"article-journal","volume":"40"},"uris":["http://www.mendeley.com/documents/?uuid=220fa3d6-55e9-4e11-90d9-aebd6b844aa9","http://www.mendeley.com/documents/?uuid=51fe96cd-a922-45e8-84f8-74f0ab805389"]}],"mendeley":{"formattedCitation":"[2]","plainTextFormattedCitation":"[2]","previouslyFormattedCitation":"[2]"},"properties":{"noteIndex":0},"schema":"https://github.com/citation-style-language/schema/raw/master/csl-citation.json"}</w:instrText>
      </w:r>
      <w:r w:rsidR="0098362E">
        <w:rPr>
          <w:rFonts w:ascii="Times New Roman" w:hAnsi="Times New Roman" w:cs="Times New Roman"/>
        </w:rPr>
        <w:fldChar w:fldCharType="separate"/>
      </w:r>
      <w:r w:rsidR="0098362E" w:rsidRPr="0098362E">
        <w:rPr>
          <w:rFonts w:ascii="Times New Roman" w:hAnsi="Times New Roman" w:cs="Times New Roman"/>
          <w:noProof/>
        </w:rPr>
        <w:t>[2]</w:t>
      </w:r>
      <w:r w:rsidR="0098362E">
        <w:rPr>
          <w:rFonts w:ascii="Times New Roman" w:hAnsi="Times New Roman" w:cs="Times New Roman"/>
        </w:rPr>
        <w:fldChar w:fldCharType="end"/>
      </w:r>
      <w:r w:rsidRPr="00F211F4">
        <w:rPr>
          <w:rFonts w:ascii="Times New Roman" w:hAnsi="Times New Roman" w:cs="Times New Roman"/>
        </w:rPr>
        <w:t>. Teachers have considered that practicum should be done directly as a psychomotor skill. This has had an impact on students' ICT skills and student motivation in learning science</w:t>
      </w:r>
      <w:r w:rsidR="0098362E">
        <w:rPr>
          <w:rFonts w:ascii="Times New Roman" w:hAnsi="Times New Roman" w:cs="Times New Roman"/>
        </w:rPr>
        <w:fldChar w:fldCharType="begin" w:fldLock="1"/>
      </w:r>
      <w:r w:rsidR="0027239B">
        <w:rPr>
          <w:rFonts w:ascii="Times New Roman" w:hAnsi="Times New Roman" w:cs="Times New Roman"/>
        </w:rPr>
        <w:instrText>ADDIN CSL_CITATION {"citationItems":[{"id":"ITEM-1","itemData":{"DOI":"10.1007/s10763-014-9526-0","ISSN":"15731774","abstract":"The purpose of this study was to investigate whether participating in science, technology, engineering, and mathematics (STEM) project-based learning (PBL) activities effected students who had varied performance levels and to what extent students’ individual factors influenced their mathematics achievement. STEM PBL has been a critical challenge to be embedded in schools, thus the effect of STEM PBL should to be examined. Teachers in 3 high schools attended sustained professional developments provided by 1 STEM center based in a Southwestern university and were required to implement STEM PBLs once in every 6 weeks for 3 years (2008 through 2010). The participants were 836 high school students in these 3 schools who took the Texas Assessment of Knowledge and Skills (TAKS) test and had scores at least in the initial year. Hierarchical linear modeling was used to analyze the data using student’s mathematics TAKS scores and demographic information for the longitudinal study. STEM PBL instruction influenced student achievement in mathematics by both student demographic backgrounds and performance levels. Low performing students showed statistically significantly higher growth rates on mathematics scores than high and middle performing students over the 3 years. In addition, student’s ethnicity and economic status were good predictors of academic achievement. Results of the present study implied that STEM PBLs in schools benefitted low performing students to a greater extent and decreased the achievement gap.","author":[{"dropping-particle":"","family":"Han","given":"Sunyoung","non-dropping-particle":"","parse-names":false,"suffix":""},{"dropping-particle":"","family":"Capraro","given":"Robert","non-dropping-particle":"","parse-names":false,"suffix":""},{"dropping-particle":"","family":"Capraro","given":"Mary Margaret","non-dropping-particle":"","parse-names":false,"suffix":""}],"container-title":"International Journal of Science and Mathematics Education","id":"ITEM-1","issue":"5","issued":{"date-parts":[["2015"]]},"page":"1089-1113","title":"How Science, Technology, Engineering, and Mathematics (Stem) Project-Based Learning (Pbl) Affects High, Middle, and Low Achievers Differently: the Impact of Student Factors on Achievement","type":"article-journal","volume":"13"},"uris":["http://www.mendeley.com/documents/?uuid=d87b38da-57ab-4cd2-a40b-eceae748352a","http://www.mendeley.com/documents/?uuid=c2fb7cb0-59a1-4a62-90db-7613b17f744f"]}],"mendeley":{"formattedCitation":"[3]","plainTextFormattedCitation":"[3]","previouslyFormattedCitation":"[3]"},"properties":{"noteIndex":0},"schema":"https://github.com/citation-style-language/schema/raw/master/csl-citation.json"}</w:instrText>
      </w:r>
      <w:r w:rsidR="0098362E">
        <w:rPr>
          <w:rFonts w:ascii="Times New Roman" w:hAnsi="Times New Roman" w:cs="Times New Roman"/>
        </w:rPr>
        <w:fldChar w:fldCharType="separate"/>
      </w:r>
      <w:r w:rsidR="0098362E" w:rsidRPr="0098362E">
        <w:rPr>
          <w:rFonts w:ascii="Times New Roman" w:hAnsi="Times New Roman" w:cs="Times New Roman"/>
          <w:noProof/>
        </w:rPr>
        <w:t>[3]</w:t>
      </w:r>
      <w:r w:rsidR="0098362E">
        <w:rPr>
          <w:rFonts w:ascii="Times New Roman" w:hAnsi="Times New Roman" w:cs="Times New Roman"/>
        </w:rPr>
        <w:fldChar w:fldCharType="end"/>
      </w:r>
      <w:r w:rsidRPr="00F211F4">
        <w:rPr>
          <w:rFonts w:ascii="Times New Roman" w:hAnsi="Times New Roman" w:cs="Times New Roman"/>
        </w:rPr>
        <w:t>. Especially during the current covid-19 pandemic. Where learning has been required to be based online and blended learning.</w:t>
      </w:r>
    </w:p>
    <w:p w14:paraId="49D7377C" w14:textId="77777777" w:rsidR="00033D92" w:rsidRPr="00F211F4" w:rsidRDefault="002E5156" w:rsidP="00A91D6C">
      <w:pPr>
        <w:spacing w:after="0" w:line="240" w:lineRule="auto"/>
        <w:ind w:firstLine="720"/>
        <w:jc w:val="both"/>
        <w:rPr>
          <w:rFonts w:ascii="Times New Roman" w:hAnsi="Times New Roman" w:cs="Times New Roman"/>
        </w:rPr>
      </w:pPr>
      <w:r w:rsidRPr="00F211F4">
        <w:rPr>
          <w:rFonts w:ascii="Times New Roman" w:hAnsi="Times New Roman" w:cs="Times New Roman"/>
        </w:rPr>
        <w:t>SAMR framework has become a solution to technology integration problems in learning</w:t>
      </w:r>
      <w:r w:rsidR="0098362E">
        <w:rPr>
          <w:rFonts w:ascii="Times New Roman" w:hAnsi="Times New Roman" w:cs="Times New Roman"/>
        </w:rPr>
        <w:fldChar w:fldCharType="begin" w:fldLock="1"/>
      </w:r>
      <w:r w:rsidR="0027239B">
        <w:rPr>
          <w:rFonts w:ascii="Times New Roman" w:hAnsi="Times New Roman" w:cs="Times New Roman"/>
        </w:rPr>
        <w:instrText>ADDIN CSL_CITATION {"citationItems":[{"id":"ITEM-1","itemData":{"ISSN":"00934666","abstract":"Fresh collections of stromata of Discoxylaria myrmecophila growing in an ant nest in the State of Veracruz have been studied. Both teleomorph and anamorph stages were found. A description and photographs of the \"stroma\" are presented. New collections are also reported from the states of Jalisco, Morelos and Nuevo León.","author":[{"dropping-particle":"","family":"Medel","given":"Rosario","non-dropping-particle":"","parse-names":false,"suffix":""},{"dropping-particle":"","family":"Guzmán","given":"Gastón","non-dropping-particle":"","parse-names":false,"suffix":""},{"dropping-particle":"","family":"Ramírez-Guillén","given":"Florencia","non-dropping-particle":"","parse-names":false,"suffix":""}],"container-title":"Mycotaxon","id":"ITEM-1","issued":{"date-parts":[["2008"]]},"page":"1-6","title":"First record of Discoxylaria myrmecophila (Ascomycotina, Xylariales) from Veracruz with new reports from Jalisco, Morelos, and Nuevo Leon (Mexico)","type":"article-journal","volume":"106"},"uris":["http://www.mendeley.com/documents/?uuid=e63de4f3-9390-47ad-882d-8fd8511be637","http://www.mendeley.com/documents/?uuid=0a9e48e7-0f78-4931-90cd-4f4a218d8edf"]}],"mendeley":{"formattedCitation":"[4]","plainTextFormattedCitation":"[4]","previouslyFormattedCitation":"[4]"},"properties":{"noteIndex":0},"schema":"https://github.com/citation-style-language/schema/raw/master/csl-citation.json"}</w:instrText>
      </w:r>
      <w:r w:rsidR="0098362E">
        <w:rPr>
          <w:rFonts w:ascii="Times New Roman" w:hAnsi="Times New Roman" w:cs="Times New Roman"/>
        </w:rPr>
        <w:fldChar w:fldCharType="separate"/>
      </w:r>
      <w:r w:rsidR="0098362E" w:rsidRPr="0098362E">
        <w:rPr>
          <w:rFonts w:ascii="Times New Roman" w:hAnsi="Times New Roman" w:cs="Times New Roman"/>
          <w:noProof/>
        </w:rPr>
        <w:t>[4]</w:t>
      </w:r>
      <w:r w:rsidR="0098362E">
        <w:rPr>
          <w:rFonts w:ascii="Times New Roman" w:hAnsi="Times New Roman" w:cs="Times New Roman"/>
        </w:rPr>
        <w:fldChar w:fldCharType="end"/>
      </w:r>
      <w:r w:rsidRPr="00F211F4">
        <w:rPr>
          <w:rFonts w:ascii="Times New Roman" w:hAnsi="Times New Roman" w:cs="Times New Roman"/>
        </w:rPr>
        <w:t>. SAMR has shown how teachers should increase the level of technology use in the classroom</w:t>
      </w:r>
      <w:r w:rsidR="0098362E">
        <w:rPr>
          <w:rFonts w:ascii="Times New Roman" w:hAnsi="Times New Roman" w:cs="Times New Roman"/>
        </w:rPr>
        <w:fldChar w:fldCharType="begin" w:fldLock="1"/>
      </w:r>
      <w:r w:rsidR="0027239B">
        <w:rPr>
          <w:rFonts w:ascii="Times New Roman" w:hAnsi="Times New Roman" w:cs="Times New Roman"/>
        </w:rPr>
        <w:instrText>ADDIN CSL_CITATION {"citationItems":[{"id":"ITEM-1","itemData":{"DOI":"10.1016/j.edurev.2017.06.001","ISBN":"1747-938X","ISSN":"1747938X","abstract":"The design of blended learning environments brings with it four key challenges: (1) incorporating flexibility, (2) stimulating interaction, (3) facilitating students' learning processes, and (4) fostering an affective learning climate. Seeing that attempts to resolve these challenges are fragmented across the literature, a systematic review was performed. Starting from 640 sources, 20 studies on the design of blended learning environments were selected through a staged procedure based on the guidelines of the PRISMA statement, using predefined selection criteria. For each study, the instructional activities for dealing with these four challenges were analyzed by two coders. The results show that few studies offer learners control over the realization of the blend. Social interaction is generally stimulated through introductory face-to-face meetings, while personalization and monitoring of students’ learning progress is commonly organized through online instructional activities. Finally, little attention is paid to instructional activities that foster an affective learning climate.","author":[{"dropping-particle":"","family":"Boelens","given":"Ruth","non-dropping-particle":"","parse-names":false,"suffix":""},{"dropping-particle":"","family":"Wever","given":"Bram","non-dropping-particle":"De","parse-names":false,"suffix":""},{"dropping-particle":"","family":"Voet","given":"Michiel","non-dropping-particle":"","parse-names":false,"suffix":""}],"container-title":"Educational Research Review","id":"ITEM-1","issued":{"date-parts":[["2017"]]},"page":"1-18","publisher":"Elsevier Ltd","title":"Four key challenges to the design of blended learning: A systematic literature review","type":"article-journal","volume":"22"},"uris":["http://www.mendeley.com/documents/?uuid=58c79365-2872-47a8-9b5b-267d3ded93ec","http://www.mendeley.com/documents/?uuid=c5ff0127-516b-40c4-a3a9-48b279bff4e1"]}],"mendeley":{"formattedCitation":"[5]","plainTextFormattedCitation":"[5]","previouslyFormattedCitation":"[5]"},"properties":{"noteIndex":0},"schema":"https://github.com/citation-style-language/schema/raw/master/csl-citation.json"}</w:instrText>
      </w:r>
      <w:r w:rsidR="0098362E">
        <w:rPr>
          <w:rFonts w:ascii="Times New Roman" w:hAnsi="Times New Roman" w:cs="Times New Roman"/>
        </w:rPr>
        <w:fldChar w:fldCharType="separate"/>
      </w:r>
      <w:r w:rsidR="0098362E" w:rsidRPr="0098362E">
        <w:rPr>
          <w:rFonts w:ascii="Times New Roman" w:hAnsi="Times New Roman" w:cs="Times New Roman"/>
          <w:noProof/>
        </w:rPr>
        <w:t>[5]</w:t>
      </w:r>
      <w:r w:rsidR="0098362E">
        <w:rPr>
          <w:rFonts w:ascii="Times New Roman" w:hAnsi="Times New Roman" w:cs="Times New Roman"/>
        </w:rPr>
        <w:fldChar w:fldCharType="end"/>
      </w:r>
      <w:r w:rsidRPr="00F211F4">
        <w:rPr>
          <w:rFonts w:ascii="Times New Roman" w:hAnsi="Times New Roman" w:cs="Times New Roman"/>
        </w:rPr>
        <w:t>. SAMR has levels in integrating technology in the classroom, namely Substitution, Augmentation, Modification, Redefinition</w:t>
      </w:r>
      <w:r w:rsidR="0098362E">
        <w:rPr>
          <w:rFonts w:ascii="Times New Roman" w:hAnsi="Times New Roman" w:cs="Times New Roman"/>
        </w:rPr>
        <w:fldChar w:fldCharType="begin" w:fldLock="1"/>
      </w:r>
      <w:r w:rsidR="0027239B">
        <w:rPr>
          <w:rFonts w:ascii="Times New Roman" w:hAnsi="Times New Roman" w:cs="Times New Roman"/>
        </w:rPr>
        <w:instrText>ADDIN CSL_CITATION {"citationItems":[{"id":"ITEM-1","itemData":{"DOI":"10.23919/ISTAFRICA.2017.8102351","ISBN":"9781905824571","abstract":"Constructivism approach to learning is known to support multiple perspectives in interpretations of reality, knowledge construction and context rich, experience based activities. Technology comes in handy to offer incredible amounts of information and tools for creativity and development as well as diverse environments and communication forums where students can build knowledge in an engaged setting. However, technophobia has been reported among teachers as inhibiting integration of technology in the classroom. Teachers feel confident about their knowledge of the pedagogy. They are also confident about their knowledge of the content but less confident when it comes to technology knowledge. There are many models of instruction informed by constructivist theories to implement technology into teaching. These models do not demonstrate how a teacher can develop a lesson plan using the Constructivist Learning Perspective and integrate technology in the plan particularly using SAMR Model of technology integration. This paper explores how technology can be used to complement constructivism approach to learning as part of building teacher's confidence in using technology in the classroom. This will be possible through developing a lesson plan and using the Substitution Augmentation Modification Redefinition Model (SAMR) technology integration model. Fifteen (15) PhD students taking a course in education in May-August 2016 were engaged in developing a lesson plan based on constructivism approach to learning and they were required to use SAMR model of ICT integration in order to demonstrate how technology complements constructivism. The SMAR supports and allows trainers and teachers to plan, develop, and infuse learning experiences that utilize technology in their teaching. Specific practices in the lesson plan that specified tasks to be done using cognitive terminology such as classify, analyze, predict and create, coupled with various levels of technology integration model enabled students to explore learning.","author":[{"dropping-particle":"","family":"Onyango","given":"George","non-dropping-particle":"","parse-names":false,"suffix":""},{"dropping-particle":"","family":"Gitonga","given":"Rhoda","non-dropping-particle":"","parse-names":false,"suffix":""}],"container-title":"2017 IST-Africa Week Conference, IST-Africa 2017","id":"ITEM-1","issued":{"date-parts":[["2017"]]},"page":"1-11","title":"Exploring how technology complements constructivism using a lesson plan","type":"article-journal"},"uris":["http://www.mendeley.com/documents/?uuid=05f9233e-9944-4227-ad91-65655eb2bd4f"]}],"mendeley":{"formattedCitation":"[6]","plainTextFormattedCitation":"[6]","previouslyFormattedCitation":"[6]"},"properties":{"noteIndex":0},"schema":"https://github.com/citation-style-language/schema/raw/master/csl-citation.json"}</w:instrText>
      </w:r>
      <w:r w:rsidR="0098362E">
        <w:rPr>
          <w:rFonts w:ascii="Times New Roman" w:hAnsi="Times New Roman" w:cs="Times New Roman"/>
        </w:rPr>
        <w:fldChar w:fldCharType="separate"/>
      </w:r>
      <w:r w:rsidR="0098362E" w:rsidRPr="0098362E">
        <w:rPr>
          <w:rFonts w:ascii="Times New Roman" w:hAnsi="Times New Roman" w:cs="Times New Roman"/>
          <w:noProof/>
        </w:rPr>
        <w:t>[6]</w:t>
      </w:r>
      <w:r w:rsidR="0098362E">
        <w:rPr>
          <w:rFonts w:ascii="Times New Roman" w:hAnsi="Times New Roman" w:cs="Times New Roman"/>
        </w:rPr>
        <w:fldChar w:fldCharType="end"/>
      </w:r>
      <w:r w:rsidRPr="00F211F4">
        <w:rPr>
          <w:rFonts w:ascii="Times New Roman" w:hAnsi="Times New Roman" w:cs="Times New Roman"/>
        </w:rPr>
        <w:t>. These levels aim to increase the level of students' cognitive development of a material. Several studies have shown that SAMR is able to have an impact on improving students' thinking skills. There have been several technologies that can be used to support this framework, especially practicum activities</w:t>
      </w:r>
      <w:r w:rsidR="0098362E">
        <w:rPr>
          <w:rFonts w:ascii="Times New Roman" w:hAnsi="Times New Roman" w:cs="Times New Roman"/>
        </w:rPr>
        <w:fldChar w:fldCharType="begin" w:fldLock="1"/>
      </w:r>
      <w:r w:rsidR="0027239B">
        <w:rPr>
          <w:rFonts w:ascii="Times New Roman" w:hAnsi="Times New Roman" w:cs="Times New Roman"/>
        </w:rPr>
        <w:instrText>ADDIN CSL_CITATION {"citationItems":[{"id":"ITEM-1","itemData":{"DOI":"10.1088/1757-899X/434/1/012309","ISSN":"1757899X","abstract":"The rapid development of technology in learning demands teachers to use ICT-integrated learning models. One of the applicable learning models is called SAMR, a learning model integrating technology comprehensively. The model, which was first introduced by an educational consultant namely Dr. Ruben Puentedura, uses a hierarchy to describe cognitive levels using technology as a learning tool. It is believed that the use of technology in learning should be proportional and in accordance with the learning needs. ICT integration in a vocational education system impacts the roles of teachers and students. Thus, it is expected that the use of ICT will be a good facilitator and collaborator in teaching and learning process which demands the students to be more active.","author":[{"dropping-particle":"","family":"Aprinaldi","given":"A.","non-dropping-particle":"","parse-names":false,"suffix":""},{"dropping-particle":"","family":"Widiaty","given":"I.","non-dropping-particle":"","parse-names":false,"suffix":""},{"dropping-particle":"","family":"Abdullah","given":"A. G.","non-dropping-particle":"","parse-names":false,"suffix":""}],"container-title":"IOP Conference Series: Materials Science and Engineering","id":"ITEM-1","issue":"1","issued":{"date-parts":[["2018"]]},"title":"Integrating SAMR learning model in vocational education","type":"article-journal","volume":"434"},"uris":["http://www.mendeley.com/documents/?uuid=1cdefccf-03bd-41f7-b2f3-3026f01d0bf9","http://www.mendeley.com/documents/?uuid=d8393206-b8a4-4dd5-8c95-906471b3bf4e"]}],"mendeley":{"formattedCitation":"[7]","plainTextFormattedCitation":"[7]","previouslyFormattedCitation":"[7]"},"properties":{"noteIndex":0},"schema":"https://github.com/citation-style-language/schema/raw/master/csl-citation.json"}</w:instrText>
      </w:r>
      <w:r w:rsidR="0098362E">
        <w:rPr>
          <w:rFonts w:ascii="Times New Roman" w:hAnsi="Times New Roman" w:cs="Times New Roman"/>
        </w:rPr>
        <w:fldChar w:fldCharType="separate"/>
      </w:r>
      <w:r w:rsidR="0098362E" w:rsidRPr="0098362E">
        <w:rPr>
          <w:rFonts w:ascii="Times New Roman" w:hAnsi="Times New Roman" w:cs="Times New Roman"/>
          <w:noProof/>
        </w:rPr>
        <w:t>[7]</w:t>
      </w:r>
      <w:r w:rsidR="0098362E">
        <w:rPr>
          <w:rFonts w:ascii="Times New Roman" w:hAnsi="Times New Roman" w:cs="Times New Roman"/>
        </w:rPr>
        <w:fldChar w:fldCharType="end"/>
      </w:r>
      <w:r w:rsidR="0098362E">
        <w:rPr>
          <w:rFonts w:ascii="Times New Roman" w:hAnsi="Times New Roman" w:cs="Times New Roman"/>
        </w:rPr>
        <w:fldChar w:fldCharType="begin" w:fldLock="1"/>
      </w:r>
      <w:r w:rsidR="0027239B">
        <w:rPr>
          <w:rFonts w:ascii="Times New Roman" w:hAnsi="Times New Roman" w:cs="Times New Roman"/>
        </w:rPr>
        <w:instrText>ADDIN CSL_CITATION {"citationItems":[{"id":"ITEM-1","itemData":{"DOI":"10.1016/j.chb.2006.02.012","ISSN":"07475632","abstract":"The study investigated how inclination towards critical thinking about history, and also knowledge of history could be nurtured through E-critical/thematic doing history project. Thirty-three participants from a junior high school participated in a history workshop as an extracurricular school activity. Using a one-group pretest-posttest design, the history-learning questionnaire was employed to determine the effectiveness of doing history projects in promoting critical historical thinking skills among the subject group. A self-evaluation of the program, observation of student learning, and semi-structural interviews also were performed. The study found that history projects could scaffold learner development of historical and critical thinking. Students developed more positive and critical attitudes toward learning. © 2006 Elsevier Ltd. All rights reserved.","author":[{"dropping-particle":"","family":"Yang","given":"Shu Ching","non-dropping-particle":"","parse-names":false,"suffix":""}],"container-title":"Computers in Human Behavior","id":"ITEM-1","issue":"5","issued":{"date-parts":[["2007"]]},"page":"2095-2112","title":"E-critical/thematic doing history project: Integrating the critical thinking approach with computer-mediated history learning","type":"article-journal","volume":"23"},"uris":["http://www.mendeley.com/documents/?uuid=3d9f5d07-eebd-4495-928e-41d5577b62b8","http://www.mendeley.com/documents/?uuid=c58f96a3-613c-4bf6-bf17-80cbdd80908a"]}],"mendeley":{"formattedCitation":"[8]","plainTextFormattedCitation":"[8]","previouslyFormattedCitation":"[8]"},"properties":{"noteIndex":0},"schema":"https://github.com/citation-style-language/schema/raw/master/csl-citation.json"}</w:instrText>
      </w:r>
      <w:r w:rsidR="0098362E">
        <w:rPr>
          <w:rFonts w:ascii="Times New Roman" w:hAnsi="Times New Roman" w:cs="Times New Roman"/>
        </w:rPr>
        <w:fldChar w:fldCharType="separate"/>
      </w:r>
      <w:r w:rsidR="0098362E" w:rsidRPr="0098362E">
        <w:rPr>
          <w:rFonts w:ascii="Times New Roman" w:hAnsi="Times New Roman" w:cs="Times New Roman"/>
          <w:noProof/>
        </w:rPr>
        <w:t>[8]</w:t>
      </w:r>
      <w:r w:rsidR="0098362E">
        <w:rPr>
          <w:rFonts w:ascii="Times New Roman" w:hAnsi="Times New Roman" w:cs="Times New Roman"/>
        </w:rPr>
        <w:fldChar w:fldCharType="end"/>
      </w:r>
      <w:r w:rsidR="0098362E">
        <w:rPr>
          <w:rFonts w:ascii="Times New Roman" w:hAnsi="Times New Roman" w:cs="Times New Roman"/>
        </w:rPr>
        <w:fldChar w:fldCharType="begin" w:fldLock="1"/>
      </w:r>
      <w:r w:rsidR="0027239B">
        <w:rPr>
          <w:rFonts w:ascii="Times New Roman" w:hAnsi="Times New Roman" w:cs="Times New Roman"/>
        </w:rPr>
        <w:instrText>ADDIN CSL_CITATION {"citationItems":[{"id":"ITEM-1","itemData":{"DOI":"10.1016/j.stueduc.2017.01.002","ISBN":"0191-491X","ISSN":"0191491X","abstract":"The present paper analyzes the impact of blended learning (BL) on the academic achievement of higher education students. A meta-analysis (k = 51 effect sizes) was conducted to perform a statistical synthesis of studies contrasting student performance in BL conditions with traditional classroom instruction. We include disciplines and instructors’ end-of-course evaluation method as moderating variables. The results show that BL demonstrates a small summary effect (g+= 0.385, p &lt; 0.001) compared to traditional teaching methods A significantly higher mean effect size was found in STEM disciplines (g+= 0.496) compared to that of non-STEM disciplines (g+= 0.210). Nevertheless, the weighted mean effect sizes reveal no significant differences regarding of end-of-course assessment methods, namely one-moment and multiple-component assessment. The finding confirms that BL is significantly associated with greater learning performance of STEM-disciplined students than with traditional classroom practice. Accordingly, discussion concerning the findings and implications for future research are elaborated.","author":[{"dropping-particle":"","family":"Vo","given":"Hien M.","non-dropping-particle":"","parse-names":false,"suffix":""},{"dropping-particle":"","family":"Zhu","given":"Chang","non-dropping-particle":"","parse-names":false,"suffix":""},{"dropping-particle":"","family":"Diep","given":"Nguyet A.","non-dropping-particle":"","parse-names":false,"suffix":""}],"container-title":"Studies in Educational Evaluation","id":"ITEM-1","issued":{"date-parts":[["2017"]]},"page":"17-28","publisher":"Elsevier Ltd","title":"The effect of blended learning on student performance at course-level in higher education: A meta-analysis","type":"article-journal","volume":"53"},"uris":["http://www.mendeley.com/documents/?uuid=c3fdb7c2-df83-4f63-8bb5-6cec0bb41f46","http://www.mendeley.com/documents/?uuid=f732a0ba-ffd5-4cef-a69e-798bfdfa5ad8"]}],"mendeley":{"formattedCitation":"[9]","plainTextFormattedCitation":"[9]","previouslyFormattedCitation":"[9]"},"properties":{"noteIndex":0},"schema":"https://github.com/citation-style-language/schema/raw/master/csl-citation.json"}</w:instrText>
      </w:r>
      <w:r w:rsidR="0098362E">
        <w:rPr>
          <w:rFonts w:ascii="Times New Roman" w:hAnsi="Times New Roman" w:cs="Times New Roman"/>
        </w:rPr>
        <w:fldChar w:fldCharType="separate"/>
      </w:r>
      <w:r w:rsidR="0098362E" w:rsidRPr="0098362E">
        <w:rPr>
          <w:rFonts w:ascii="Times New Roman" w:hAnsi="Times New Roman" w:cs="Times New Roman"/>
          <w:noProof/>
        </w:rPr>
        <w:t>[9]</w:t>
      </w:r>
      <w:r w:rsidR="0098362E">
        <w:rPr>
          <w:rFonts w:ascii="Times New Roman" w:hAnsi="Times New Roman" w:cs="Times New Roman"/>
        </w:rPr>
        <w:fldChar w:fldCharType="end"/>
      </w:r>
      <w:r w:rsidRPr="00F211F4">
        <w:rPr>
          <w:rFonts w:ascii="Times New Roman" w:hAnsi="Times New Roman" w:cs="Times New Roman"/>
        </w:rPr>
        <w:t>. Practical activities with virtual la</w:t>
      </w:r>
      <w:r w:rsidR="00100AAF" w:rsidRPr="00F211F4">
        <w:rPr>
          <w:rFonts w:ascii="Times New Roman" w:hAnsi="Times New Roman" w:cs="Times New Roman"/>
        </w:rPr>
        <w:t xml:space="preserve">boratories can be done using </w:t>
      </w:r>
      <w:proofErr w:type="spellStart"/>
      <w:r w:rsidR="00100AAF" w:rsidRPr="00F211F4">
        <w:rPr>
          <w:rFonts w:ascii="Times New Roman" w:hAnsi="Times New Roman" w:cs="Times New Roman"/>
        </w:rPr>
        <w:t>PhET</w:t>
      </w:r>
      <w:proofErr w:type="spellEnd"/>
      <w:r w:rsidRPr="00F211F4">
        <w:rPr>
          <w:rFonts w:ascii="Times New Roman" w:hAnsi="Times New Roman" w:cs="Times New Roman"/>
        </w:rPr>
        <w:t xml:space="preserve"> Laboratory applications, </w:t>
      </w:r>
      <w:proofErr w:type="spellStart"/>
      <w:r w:rsidRPr="00F211F4">
        <w:rPr>
          <w:rFonts w:ascii="Times New Roman" w:hAnsi="Times New Roman" w:cs="Times New Roman"/>
        </w:rPr>
        <w:t>Olabs</w:t>
      </w:r>
      <w:proofErr w:type="spellEnd"/>
      <w:r w:rsidRPr="00F211F4">
        <w:rPr>
          <w:rFonts w:ascii="Times New Roman" w:hAnsi="Times New Roman" w:cs="Times New Roman"/>
        </w:rPr>
        <w:t xml:space="preserve">, </w:t>
      </w:r>
      <w:proofErr w:type="spellStart"/>
      <w:r w:rsidRPr="00F211F4">
        <w:rPr>
          <w:rFonts w:ascii="Times New Roman" w:hAnsi="Times New Roman" w:cs="Times New Roman"/>
        </w:rPr>
        <w:t>Praxilabs</w:t>
      </w:r>
      <w:proofErr w:type="spellEnd"/>
      <w:r w:rsidRPr="00F211F4">
        <w:rPr>
          <w:rFonts w:ascii="Times New Roman" w:hAnsi="Times New Roman" w:cs="Times New Roman"/>
        </w:rPr>
        <w:t xml:space="preserve">, electric circuit studio, Physics classroom, </w:t>
      </w:r>
      <w:proofErr w:type="spellStart"/>
      <w:r w:rsidRPr="00F211F4">
        <w:rPr>
          <w:rFonts w:ascii="Times New Roman" w:hAnsi="Times New Roman" w:cs="Times New Roman"/>
        </w:rPr>
        <w:t>simphy</w:t>
      </w:r>
      <w:proofErr w:type="spellEnd"/>
      <w:r w:rsidRPr="00F211F4">
        <w:rPr>
          <w:rFonts w:ascii="Times New Roman" w:hAnsi="Times New Roman" w:cs="Times New Roman"/>
        </w:rPr>
        <w:t xml:space="preserve"> and others</w:t>
      </w:r>
      <w:r w:rsidR="008F1025">
        <w:rPr>
          <w:rFonts w:ascii="Times New Roman" w:hAnsi="Times New Roman" w:cs="Times New Roman"/>
        </w:rPr>
        <w:t>.</w:t>
      </w:r>
      <w:r w:rsidR="00537E73" w:rsidRPr="00F211F4">
        <w:rPr>
          <w:rFonts w:ascii="Times New Roman" w:hAnsi="Times New Roman" w:cs="Times New Roman"/>
        </w:rPr>
        <w:t xml:space="preserve">                                                                                                                                                                                                                                                                                                                                                                                                                                </w:t>
      </w:r>
    </w:p>
    <w:p w14:paraId="60785D99" w14:textId="77777777" w:rsidR="002E5156" w:rsidRPr="001F23A5" w:rsidRDefault="002E5156" w:rsidP="008F1025">
      <w:pPr>
        <w:spacing w:after="0" w:line="240" w:lineRule="auto"/>
        <w:ind w:firstLine="720"/>
        <w:jc w:val="both"/>
        <w:rPr>
          <w:rFonts w:ascii="Times New Roman" w:hAnsi="Times New Roman" w:cs="Times New Roman"/>
          <w:lang w:val="id-ID"/>
        </w:rPr>
      </w:pPr>
      <w:commentRangeStart w:id="1"/>
      <w:r w:rsidRPr="00F211F4">
        <w:rPr>
          <w:rFonts w:ascii="Times New Roman" w:hAnsi="Times New Roman" w:cs="Times New Roman"/>
        </w:rPr>
        <w:t>Some researchers have integrated the use of technology, especially virtual laboratories in online-based classes in science learning</w:t>
      </w:r>
      <w:r w:rsidR="00E42E86">
        <w:rPr>
          <w:rFonts w:ascii="Times New Roman" w:hAnsi="Times New Roman" w:cs="Times New Roman"/>
        </w:rPr>
        <w:fldChar w:fldCharType="begin" w:fldLock="1"/>
      </w:r>
      <w:r w:rsidR="0027239B">
        <w:rPr>
          <w:rFonts w:ascii="Times New Roman" w:hAnsi="Times New Roman" w:cs="Times New Roman"/>
        </w:rPr>
        <w:instrText>ADDIN CSL_CITATION {"citationItems":[{"id":"ITEM-1","itemData":{"DOI":"10.1080/09500693.2018.1453175","ISSN":"14645289","abstract":"The Bifocal Modelling Framework (BMF) is an approach for science learning which links students’ physical experimentation with computer modelling in real time, focusing on the comparison of the two media. In this paper, we explore how a Bifocal Modelling implementation supported learning outcomes related to both content and metamodeling knowledge, focusing on the role of designing models. Our study consisted of three conditions implemented with a total of 69 9th grade high-school students. The first and second classes were assigned two implementation modes of BMF: with and without a model design module. The third condition, employed as a control, consisted of a class that received instruction in the school’s traditional approach. Our results indicate that students participating in both BMF implementations demonstrated improved content knowledge and a better understanding of metamodeling. However, only the ‘BMF-with-design’ group improved significantly in both content and metamodeling knowledge. Our qualitative analyses indicate that both BMF groups designed detailed models that included scientific explanations. However only students who engaged in the model design component: (1) completed a detailed model displaying molecular interaction; and (2) developed a critical perspective about models. We discuss the implications of those results for teaching scientific science concepts and metamodeling knowledge.","author":[{"dropping-particle":"","family":"Fuhrmann","given":"Tamar","non-dropping-particle":"","parse-names":false,"suffix":""},{"dropping-particle":"","family":"Schneider","given":"Bertrand","non-dropping-particle":"","parse-names":false,"suffix":""},{"dropping-particle":"","family":"Blikstein","given":"Paulo","non-dropping-particle":"","parse-names":false,"suffix":""}],"container-title":"International Journal of Science Education","id":"ITEM-1","issue":"8","issued":{"date-parts":[["2018"]]},"page":"867-893","publisher":"Taylor &amp; Francis","title":"Should students design or interact with models? Using the Bifocal Modelling Framework to investigate model construction in high school science","type":"article-journal","volume":"40"},"uris":["http://www.mendeley.com/documents/?uuid=51fe96cd-a922-45e8-84f8-74f0ab805389","http://www.mendeley.com/documents/?uuid=220fa3d6-55e9-4e11-90d9-aebd6b844aa9"]}],"mendeley":{"formattedCitation":"[2]","plainTextFormattedCitation":"[2]","previouslyFormattedCitation":"[2]"},"properties":{"noteIndex":0},"schema":"https://github.com/citation-style-language/schema/raw/master/csl-citation.json"}</w:instrText>
      </w:r>
      <w:r w:rsidR="00E42E86">
        <w:rPr>
          <w:rFonts w:ascii="Times New Roman" w:hAnsi="Times New Roman" w:cs="Times New Roman"/>
        </w:rPr>
        <w:fldChar w:fldCharType="separate"/>
      </w:r>
      <w:r w:rsidR="00E42E86" w:rsidRPr="00E42E86">
        <w:rPr>
          <w:rFonts w:ascii="Times New Roman" w:hAnsi="Times New Roman" w:cs="Times New Roman"/>
          <w:noProof/>
        </w:rPr>
        <w:t>[2]</w:t>
      </w:r>
      <w:r w:rsidR="00E42E86">
        <w:rPr>
          <w:rFonts w:ascii="Times New Roman" w:hAnsi="Times New Roman" w:cs="Times New Roman"/>
        </w:rPr>
        <w:fldChar w:fldCharType="end"/>
      </w:r>
      <w:r w:rsidR="00E42E86">
        <w:rPr>
          <w:rFonts w:ascii="Times New Roman" w:hAnsi="Times New Roman" w:cs="Times New Roman"/>
        </w:rPr>
        <w:fldChar w:fldCharType="begin" w:fldLock="1"/>
      </w:r>
      <w:r w:rsidR="0027239B">
        <w:rPr>
          <w:rFonts w:ascii="Times New Roman" w:hAnsi="Times New Roman" w:cs="Times New Roman"/>
        </w:rPr>
        <w:instrText>ADDIN CSL_CITATION {"citationItems":[{"id":"ITEM-1","itemData":{"DOI":"10.1016/j.tsc.2019.100622","ISSN":"18711871","abstract":"Flipped Classroom (FC) has been considerably investigated in research and practice contexts because of the capacity it assumes to have in enhancing learners’ outcomes. However, research that explores advance organizers' impact, which might result in affecting the expected learning outcomes in the FC, is still insufficient. Hence, the present study aimed to assess the effectiveness of advance organizers utilization in FC via Learning Management System to develop learners’ integrated science process skills. It was carried out on all home economics students enrolled in a course entitled “Research Proposal” who were randomly divided into two equal groups, experimental and control. Data were collected through a five- domain product evaluation card namely, the operational definition; identifying and controlling variables; formulating hypothesis; experimenting; and interpreting data. Results showed that achievement and performance of participants who learnt the course content via FC lectures with the use of an advance organizer were better than the performance and achievement of their colleagues in the control group that were not provided by any advance organizer. In light of these results, the study concluded that advance organizers, if used in FC could have interesting benefits for research and development of learners’ integrated science process skills.","author":[{"dropping-particle":"","family":"Elfeky","given":"Abdellah Ibrahim Mohammed","non-dropping-particle":"","parse-names":false,"suffix":""},{"dropping-particle":"","family":"Masadeh","given":"Thouqan Saleem Yakoub","non-dropping-particle":"","parse-names":false,"suffix":""},{"dropping-particle":"","family":"Elbyaly","given":"Marwa Yasien Helmy","non-dropping-particle":"","parse-names":false,"suffix":""}],"container-title":"Thinking Skills and Creativity","id":"ITEM-1","issue":"September 2019","issued":{"date-parts":[["2020"]]},"page":"100622","publisher":"Elsevier","title":"Advance organizers in flipped classroom via e-learning management system and the promotion of integrated science process skills","type":"article-journal","volume":"35"},"uris":["http://www.mendeley.com/documents/?uuid=4e88f08b-e6c5-489c-8fea-93153c1c86a9","http://www.mendeley.com/documents/?uuid=a1e20e70-2e51-4aa6-8f69-5c1ea83d0768"]}],"mendeley":{"formattedCitation":"[10]","plainTextFormattedCitation":"[10]","previouslyFormattedCitation":"[10]"},"properties":{"noteIndex":0},"schema":"https://github.com/citation-style-language/schema/raw/master/csl-citation.json"}</w:instrText>
      </w:r>
      <w:r w:rsidR="00E42E86">
        <w:rPr>
          <w:rFonts w:ascii="Times New Roman" w:hAnsi="Times New Roman" w:cs="Times New Roman"/>
        </w:rPr>
        <w:fldChar w:fldCharType="separate"/>
      </w:r>
      <w:r w:rsidR="00BF401C" w:rsidRPr="00BF401C">
        <w:rPr>
          <w:rFonts w:ascii="Times New Roman" w:hAnsi="Times New Roman" w:cs="Times New Roman"/>
          <w:noProof/>
        </w:rPr>
        <w:t>[10]</w:t>
      </w:r>
      <w:r w:rsidR="00E42E86">
        <w:rPr>
          <w:rFonts w:ascii="Times New Roman" w:hAnsi="Times New Roman" w:cs="Times New Roman"/>
        </w:rPr>
        <w:fldChar w:fldCharType="end"/>
      </w:r>
      <w:r w:rsidRPr="00F211F4">
        <w:rPr>
          <w:rFonts w:ascii="Times New Roman" w:hAnsi="Times New Roman" w:cs="Times New Roman"/>
        </w:rPr>
        <w:t xml:space="preserve">. The research that has been done has proven </w:t>
      </w:r>
      <w:r w:rsidR="002145D8" w:rsidRPr="002145D8">
        <w:rPr>
          <w:rFonts w:ascii="Times New Roman" w:hAnsi="Times New Roman" w:cs="Times New Roman"/>
        </w:rPr>
        <w:t xml:space="preserve">technology </w:t>
      </w:r>
      <w:r w:rsidRPr="00F211F4">
        <w:rPr>
          <w:rFonts w:ascii="Times New Roman" w:hAnsi="Times New Roman" w:cs="Times New Roman"/>
        </w:rPr>
        <w:t>to be able to have an impact on improving students' thinking skills</w:t>
      </w:r>
      <w:r w:rsidR="00E42E86">
        <w:rPr>
          <w:rFonts w:ascii="Times New Roman" w:hAnsi="Times New Roman" w:cs="Times New Roman"/>
        </w:rPr>
        <w:fldChar w:fldCharType="begin" w:fldLock="1"/>
      </w:r>
      <w:r w:rsidR="0027239B">
        <w:rPr>
          <w:rFonts w:ascii="Times New Roman" w:hAnsi="Times New Roman" w:cs="Times New Roman"/>
        </w:rPr>
        <w:instrText>ADDIN CSL_CITATION {"citationItems":[{"id":"ITEM-1","itemData":{"DOI":"10.2991/assehr.k.200318.017","author":[{"dropping-particle":"","family":"Ayu","given":"Hena D","non-dropping-particle":"","parse-names":false,"suffix":""},{"dropping-particle":"","family":"Saputro","given":"Sulistyo","non-dropping-particle":"","parse-names":false,"suffix":""},{"dropping-particle":"","family":"Sarwanto","given":"","non-dropping-particle":"","parse-names":false,"suffix":""},{"dropping-particle":"","family":"Mulyani","given":"Sri","non-dropping-particle":"","parse-names":false,"suffix":""}],"id":"ITEM-1","issue":"Icesre 2019","issued":{"date-parts":[["2020"]]},"page":"87-94","title":"Meta-Analysis of a Blended Learning Approach: Implications for Student Critical Thinking","type":"article-journal","volume":"417"},"uris":["http://www.mendeley.com/documents/?uuid=2956013f-72ff-444c-84e4-89f61b446ec1","http://www.mendeley.com/documents/?uuid=114b8761-1a04-4f98-b1b8-39dfa502a25c"]}],"mendeley":{"formattedCitation":"[11]","plainTextFormattedCitation":"[11]","previouslyFormattedCitation":"[11]"},"properties":{"noteIndex":0},"schema":"https://github.com/citation-style-language/schema/raw/master/csl-citation.json"}</w:instrText>
      </w:r>
      <w:r w:rsidR="00E42E86">
        <w:rPr>
          <w:rFonts w:ascii="Times New Roman" w:hAnsi="Times New Roman" w:cs="Times New Roman"/>
        </w:rPr>
        <w:fldChar w:fldCharType="separate"/>
      </w:r>
      <w:r w:rsidR="00BF401C" w:rsidRPr="00BF401C">
        <w:rPr>
          <w:rFonts w:ascii="Times New Roman" w:hAnsi="Times New Roman" w:cs="Times New Roman"/>
          <w:noProof/>
        </w:rPr>
        <w:t>[11]</w:t>
      </w:r>
      <w:r w:rsidR="00E42E86">
        <w:rPr>
          <w:rFonts w:ascii="Times New Roman" w:hAnsi="Times New Roman" w:cs="Times New Roman"/>
        </w:rPr>
        <w:fldChar w:fldCharType="end"/>
      </w:r>
      <w:r w:rsidR="00E42E86">
        <w:rPr>
          <w:rFonts w:ascii="Times New Roman" w:hAnsi="Times New Roman" w:cs="Times New Roman"/>
        </w:rPr>
        <w:fldChar w:fldCharType="begin" w:fldLock="1"/>
      </w:r>
      <w:r w:rsidR="0027239B">
        <w:rPr>
          <w:rFonts w:ascii="Times New Roman" w:hAnsi="Times New Roman" w:cs="Times New Roman"/>
        </w:rPr>
        <w:instrText>ADDIN CSL_CITATION {"citationItems":[{"id":"ITEM-1","itemData":{"ISBN":"9789897583438","author":[{"dropping-particle":"","family":"Pratiwi","given":"Hestiningtyas Yuli","non-dropping-particle":"","parse-names":false,"suffix":""},{"dropping-particle":"","family":"Sujito","given":"Sujito","non-dropping-particle":"","parse-names":false,"suffix":""},{"dropping-particle":"","family":"Ayu","given":"Hena Dian","non-dropping-particle":"","parse-names":false,"suffix":""},{"dropping-particle":"","family":"Jufriadi","given":"Akhmad","non-dropping-particle":"","parse-names":false,"suffix":""}],"container-title":"fthe Annual Conference on Social Sciences and Humanities (ANCOSH 2018) - Revitalization ofLocal Wisdom in Global and Competitive Era","id":"ITEM-1","issue":"48","issued":{"date-parts":[["2018"]]},"page":"326-330","title":"The Importance of Hybrid Teaching and Learning Model to Improve Activities and Achievements","type":"paper-conference"},"uris":["http://www.mendeley.com/documents/?uuid=f4873f0f-5a2e-4455-843d-7b05c159ba27"]}],"mendeley":{"formattedCitation":"[12]","plainTextFormattedCitation":"[12]","previouslyFormattedCitation":"[12]"},"properties":{"noteIndex":0},"schema":"https://github.com/citation-style-language/schema/raw/master/csl-citation.json"}</w:instrText>
      </w:r>
      <w:r w:rsidR="00E42E86">
        <w:rPr>
          <w:rFonts w:ascii="Times New Roman" w:hAnsi="Times New Roman" w:cs="Times New Roman"/>
        </w:rPr>
        <w:fldChar w:fldCharType="separate"/>
      </w:r>
      <w:r w:rsidR="00BF401C" w:rsidRPr="00BF401C">
        <w:rPr>
          <w:rFonts w:ascii="Times New Roman" w:hAnsi="Times New Roman" w:cs="Times New Roman"/>
          <w:noProof/>
        </w:rPr>
        <w:t>[12]</w:t>
      </w:r>
      <w:r w:rsidR="00E42E86">
        <w:rPr>
          <w:rFonts w:ascii="Times New Roman" w:hAnsi="Times New Roman" w:cs="Times New Roman"/>
        </w:rPr>
        <w:fldChar w:fldCharType="end"/>
      </w:r>
      <w:r w:rsidR="00E42E86">
        <w:rPr>
          <w:rFonts w:ascii="Times New Roman" w:hAnsi="Times New Roman" w:cs="Times New Roman"/>
        </w:rPr>
        <w:fldChar w:fldCharType="begin" w:fldLock="1"/>
      </w:r>
      <w:r w:rsidR="0027239B">
        <w:rPr>
          <w:rFonts w:ascii="Times New Roman" w:hAnsi="Times New Roman" w:cs="Times New Roman"/>
        </w:rPr>
        <w:instrText>ADDIN CSL_CITATION {"citationItems":[{"id":"ITEM-1","itemData":{"author":[{"dropping-particle":"","family":"Ayu","given":"Hena D.","non-dropping-particle":"","parse-names":false,"suffix":""},{"dropping-particle":"","family":"Pratiwi","given":"Hestiningtyas Y","non-dropping-particle":"","parse-names":false,"suffix":""},{"dropping-particle":"","family":"Kusairi","given":"Sentot","non-dropping-particle":"","parse-names":false,"suffix":""},{"dropping-particle":"","family":"Muhardjito","given":"","non-dropping-particle":"","parse-names":false,"suffix":""}],"container-title":"Jurnal kependidikan","id":"ITEM-1","issued":{"date-parts":[["2017"]]},"title":"Developing E-Scaffolding to Improve the Quality of Process and Learning Outcomes","type":"article-journal"},"uris":["http://www.mendeley.com/documents/?uuid=1195456d-ba46-4e52-b697-b968b57603cc"]}],"mendeley":{"formattedCitation":"[13]","plainTextFormattedCitation":"[13]","previouslyFormattedCitation":"[13]"},"properties":{"noteIndex":0},"schema":"https://github.com/citation-style-language/schema/raw/master/csl-citation.json"}</w:instrText>
      </w:r>
      <w:r w:rsidR="00E42E86">
        <w:rPr>
          <w:rFonts w:ascii="Times New Roman" w:hAnsi="Times New Roman" w:cs="Times New Roman"/>
        </w:rPr>
        <w:fldChar w:fldCharType="separate"/>
      </w:r>
      <w:r w:rsidR="00BF401C" w:rsidRPr="00BF401C">
        <w:rPr>
          <w:rFonts w:ascii="Times New Roman" w:hAnsi="Times New Roman" w:cs="Times New Roman"/>
          <w:noProof/>
        </w:rPr>
        <w:t>[13]</w:t>
      </w:r>
      <w:r w:rsidR="00E42E86">
        <w:rPr>
          <w:rFonts w:ascii="Times New Roman" w:hAnsi="Times New Roman" w:cs="Times New Roman"/>
        </w:rPr>
        <w:fldChar w:fldCharType="end"/>
      </w:r>
      <w:r w:rsidR="00E42E86">
        <w:rPr>
          <w:rFonts w:ascii="Times New Roman" w:hAnsi="Times New Roman" w:cs="Times New Roman"/>
        </w:rPr>
        <w:fldChar w:fldCharType="begin" w:fldLock="1"/>
      </w:r>
      <w:r w:rsidR="0027239B">
        <w:rPr>
          <w:rFonts w:ascii="Times New Roman" w:hAnsi="Times New Roman" w:cs="Times New Roman"/>
        </w:rPr>
        <w:instrText>ADDIN CSL_CITATION {"citationItems":[{"id":"ITEM-1","itemData":{"DOI":"10.5220/0007416401190122","ISBN":"9789897583438","author":[{"dropping-particle":"","family":"Ayu","given":"H. D.","non-dropping-particle":"","parse-names":false,"suffix":""},{"dropping-particle":"","family":"Jufriadi","given":"A.","non-dropping-particle":"","parse-names":false,"suffix":""},{"dropping-particle":"","family":"Pratiwi","given":"H. Y.","non-dropping-particle":"","parse-names":false,"suffix":""},{"dropping-particle":"","family":"Sujito","given":"Sujito","non-dropping-particle":"","parse-names":false,"suffix":""}],"id":"ITEM-1","issue":"Ancosh","issued":{"date-parts":[["2018"]]},"page":"119-122","title":"The Implication of E-Scaffolding in Mathematical Physics - Students Achievement and Motivation","type":"article-journal"},"uris":["http://www.mendeley.com/documents/?uuid=d4737eb8-ebc1-4f9f-88c3-853460011e6b"]}],"mendeley":{"formattedCitation":"[14]","plainTextFormattedCitation":"[14]","previouslyFormattedCitation":"[14]"},"properties":{"noteIndex":0},"schema":"https://github.com/citation-style-language/schema/raw/master/csl-citation.json"}</w:instrText>
      </w:r>
      <w:r w:rsidR="00E42E86">
        <w:rPr>
          <w:rFonts w:ascii="Times New Roman" w:hAnsi="Times New Roman" w:cs="Times New Roman"/>
        </w:rPr>
        <w:fldChar w:fldCharType="separate"/>
      </w:r>
      <w:r w:rsidR="00BF401C" w:rsidRPr="00BF401C">
        <w:rPr>
          <w:rFonts w:ascii="Times New Roman" w:hAnsi="Times New Roman" w:cs="Times New Roman"/>
          <w:noProof/>
        </w:rPr>
        <w:t>[14]</w:t>
      </w:r>
      <w:r w:rsidR="00E42E86">
        <w:rPr>
          <w:rFonts w:ascii="Times New Roman" w:hAnsi="Times New Roman" w:cs="Times New Roman"/>
        </w:rPr>
        <w:fldChar w:fldCharType="end"/>
      </w:r>
      <w:r w:rsidR="00E42E86">
        <w:rPr>
          <w:rFonts w:ascii="Times New Roman" w:hAnsi="Times New Roman" w:cs="Times New Roman"/>
        </w:rPr>
        <w:fldChar w:fldCharType="begin" w:fldLock="1"/>
      </w:r>
      <w:r w:rsidR="0027239B">
        <w:rPr>
          <w:rFonts w:ascii="Times New Roman" w:hAnsi="Times New Roman" w:cs="Times New Roman"/>
        </w:rPr>
        <w:instrText>ADDIN CSL_CITATION {"citationItems":[{"id":"ITEM-1","itemData":{"DOI":"10.1063/1.5139861","ISBN":"9780735419452","ISSN":"15517616","abstract":"The profile of creativity is determined based on measurements of Torrance test skills through Assessment for Learning. The purpose of this study was to identify the creativity of science education students. Barg and Gall Research and Development (R &amp; D) research types are reduced only to the fifth stage including (1) potential and problems, (2) data collection, (3) product design, (4) design validation, (5) design revisions. Data collection uses the creativity test Torrance and observation, the analysis technique uses the test of the effectiveness of the t-test. The results of the percentage assessment of the TTCT instrument on material experts were 98.6%, media experts were 91.3%, and science teachers were 75%. Based on the t-test, the TTCT instrument was useful in measuring students' creativity. The implications of the development of the TTCT instrument contribute to the quality of learning, which will know the creativity of different students. The results of the study indicate that the TTCT instrument used is valid and reliable, it can be used in measuring student's creativity.","author":[{"dropping-particle":"","family":"Trisnayanti","given":"Y.","non-dropping-particle":"","parse-names":false,"suffix":""},{"dropping-particle":"","family":"Khoiri","given":"A.","non-dropping-particle":"","parse-names":false,"suffix":""},{"dropping-particle":"","family":"Miterianifa","given":"","non-dropping-particle":"","parse-names":false,"suffix":""},{"dropping-particle":"","family":"Ayu","given":"H. D.","non-dropping-particle":"","parse-names":false,"suffix":""}],"container-title":"AIP Conference Proceedings","id":"ITEM-1","issue":"December","issued":{"date-parts":[["2019"]]},"title":"Development of Torrance test creativity thinking (TTCT) instrument in science learning","type":"article-journal","volume":"2194"},"uris":["http://www.mendeley.com/documents/?uuid=6ba30ea3-4832-4d04-a269-a140ee2efc1f","http://www.mendeley.com/documents/?uuid=61ef7ef2-c7db-468e-8c87-54c8dadb7bf1"]}],"mendeley":{"formattedCitation":"[15]","plainTextFormattedCitation":"[15]","previouslyFormattedCitation":"[15]"},"properties":{"noteIndex":0},"schema":"https://github.com/citation-style-language/schema/raw/master/csl-citation.json"}</w:instrText>
      </w:r>
      <w:r w:rsidR="00E42E86">
        <w:rPr>
          <w:rFonts w:ascii="Times New Roman" w:hAnsi="Times New Roman" w:cs="Times New Roman"/>
        </w:rPr>
        <w:fldChar w:fldCharType="separate"/>
      </w:r>
      <w:r w:rsidR="00BF401C" w:rsidRPr="00BF401C">
        <w:rPr>
          <w:rFonts w:ascii="Times New Roman" w:hAnsi="Times New Roman" w:cs="Times New Roman"/>
          <w:noProof/>
        </w:rPr>
        <w:t>[15]</w:t>
      </w:r>
      <w:r w:rsidR="00E42E86">
        <w:rPr>
          <w:rFonts w:ascii="Times New Roman" w:hAnsi="Times New Roman" w:cs="Times New Roman"/>
        </w:rPr>
        <w:fldChar w:fldCharType="end"/>
      </w:r>
      <w:r w:rsidR="002145D8">
        <w:rPr>
          <w:rFonts w:ascii="Times New Roman" w:hAnsi="Times New Roman" w:cs="Times New Roman"/>
        </w:rPr>
        <w:fldChar w:fldCharType="begin" w:fldLock="1"/>
      </w:r>
      <w:r w:rsidR="0027239B">
        <w:rPr>
          <w:rFonts w:ascii="Times New Roman" w:hAnsi="Times New Roman" w:cs="Times New Roman"/>
        </w:rPr>
        <w:instrText>ADDIN CSL_CITATION {"citationItems":[{"id":"ITEM-1","itemData":{"DOI":"10.1063/1.5139796","ISBN":"9780735419452","ISSN":"15517616","abstract":"This meta-analysis aims to summarize the results of research on the effect of problem-based learning in improving students' critical thinking on physics, chemistry and biology subjects. The influence of large size (ES) on average, the percentage of influence based on learning to the critical is greatest and the relationship between variables towards improving students' critical thinking skills in science (physics, chemistry, and biology). The research method used is descriptive with the form of survey research. In the study, studies, which can be meta-analysed concerning predefined criteria, were examined and 98 studies fulfilling these criteria were identified. The results of the data analysis resulted in an effect size of 1.2 with an effect of 83.45%. From the relationship between the variables obtained, Based on Based Learning in enhancing the ability of politics Entrepreneurs who best apply it during physics lessons, with the effect size of 1.36 categories is very high and provides an influence of 90%. In the future, it is expected that the results of this study can be a reference to review the application of PBL to improve students' critical thinking skills in science learning.","author":[{"dropping-particle":"","family":"Miterianifa","given":"","non-dropping-particle":"","parse-names":false,"suffix":""},{"dropping-particle":"","family":"Trisnayanti","given":"Y.","non-dropping-particle":"","parse-names":false,"suffix":""},{"dropping-particle":"","family":"Khoiri","given":"A.","non-dropping-particle":"","parse-names":false,"suffix":""},{"dropping-particle":"","family":"Ayu","given":"H. D.","non-dropping-particle":"","parse-names":false,"suffix":""}],"container-title":"AIP Conference Proceedings","id":"ITEM-1","issue":"December","issued":{"date-parts":[["2019"]]},"title":"Meta-analysis: The effect of problem-based learning on students' critical thinking skills","type":"article-journal","volume":"2194"},"uris":["http://www.mendeley.com/documents/?uuid=e8894a7e-c418-4387-8bc4-ca2660b3c132","http://www.mendeley.com/documents/?uuid=30192d05-1e99-42b3-a509-62f302698af9"]}],"mendeley":{"formattedCitation":"[16]","plainTextFormattedCitation":"[16]","previouslyFormattedCitation":"[16]"},"properties":{"noteIndex":0},"schema":"https://github.com/citation-style-language/schema/raw/master/csl-citation.json"}</w:instrText>
      </w:r>
      <w:r w:rsidR="002145D8">
        <w:rPr>
          <w:rFonts w:ascii="Times New Roman" w:hAnsi="Times New Roman" w:cs="Times New Roman"/>
        </w:rPr>
        <w:fldChar w:fldCharType="separate"/>
      </w:r>
      <w:r w:rsidR="00BF401C" w:rsidRPr="00BF401C">
        <w:rPr>
          <w:rFonts w:ascii="Times New Roman" w:hAnsi="Times New Roman" w:cs="Times New Roman"/>
          <w:noProof/>
        </w:rPr>
        <w:t>[16]</w:t>
      </w:r>
      <w:r w:rsidR="002145D8">
        <w:rPr>
          <w:rFonts w:ascii="Times New Roman" w:hAnsi="Times New Roman" w:cs="Times New Roman"/>
        </w:rPr>
        <w:fldChar w:fldCharType="end"/>
      </w:r>
      <w:r w:rsidRPr="00F211F4">
        <w:rPr>
          <w:rFonts w:ascii="Times New Roman" w:hAnsi="Times New Roman" w:cs="Times New Roman"/>
        </w:rPr>
        <w:t>. Several studies have compared the effectiveness of the learning management system and the online-based media used. However, this research does not specifically show a comparison of the effectiveness of the technology used in the classroom, especially in terms of the use of virtual laboratories</w:t>
      </w:r>
      <w:r w:rsidR="00E42E86">
        <w:rPr>
          <w:rFonts w:ascii="Times New Roman" w:hAnsi="Times New Roman" w:cs="Times New Roman"/>
        </w:rPr>
        <w:fldChar w:fldCharType="begin" w:fldLock="1"/>
      </w:r>
      <w:r w:rsidR="0027239B">
        <w:rPr>
          <w:rFonts w:ascii="Times New Roman" w:hAnsi="Times New Roman" w:cs="Times New Roman"/>
        </w:rPr>
        <w:instrText>ADDIN CSL_CITATION {"citationItems":[{"id":"ITEM-1","itemData":{"DOI":"10.24017/science.2017.3.36","ISSN":"2411-7684","abstract":"High demands for technology increase every day. These demands required expert engineers with high skills to keep up with technology demands. Engineering departments need to responded for this requirement to develop their educational methods. researchers began to develop educational methods and measure their effectiveness. This paper develops an educational method to educate microprocessor course. The educational model mixed the spiral method and project based learning to achieve the desirable goal. Educational activities used in the educational method like lecture, lab, and project. also, virtual lab developed to achieve better learning performance. The proposed educational method evaluated in two ways. First, statistical analysis for students’ scores shows significant differences and improvement in the learning outcome. second, students survey shows very positive impact on students learning.","author":[{"dropping-particle":"","family":"Mohammad","given":"Mohammad Tarik","non-dropping-particle":"","parse-names":false,"suffix":""},{"dropping-particle":"","family":"ali","given":"Zahraa Tarik","non-dropping-particle":"Al","parse-names":false,"suffix":""}],"container-title":"Kurdistan Journal of Applied Research","id":"ITEM-1","issue":"3","issued":{"date-parts":[["2017"]]},"page":"125-130","title":"A Hybrid Spiral Project Based Learning Model for Microprocessor Course Teaching","type":"article-journal","volume":"2"},"uris":["http://www.mendeley.com/documents/?uuid=7f4f18dc-de7c-4ed7-9c2f-d019bc1154f3","http://www.mendeley.com/documents/?uuid=4264cc01-72ed-4c82-b7d9-9e7de89a4b25"]}],"mendeley":{"formattedCitation":"[17]","plainTextFormattedCitation":"[17]","previouslyFormattedCitation":"[17]"},"properties":{"noteIndex":0},"schema":"https://github.com/citation-style-language/schema/raw/master/csl-citation.json"}</w:instrText>
      </w:r>
      <w:r w:rsidR="00E42E86">
        <w:rPr>
          <w:rFonts w:ascii="Times New Roman" w:hAnsi="Times New Roman" w:cs="Times New Roman"/>
        </w:rPr>
        <w:fldChar w:fldCharType="separate"/>
      </w:r>
      <w:r w:rsidR="00BF401C" w:rsidRPr="00BF401C">
        <w:rPr>
          <w:rFonts w:ascii="Times New Roman" w:hAnsi="Times New Roman" w:cs="Times New Roman"/>
          <w:noProof/>
        </w:rPr>
        <w:t>[17]</w:t>
      </w:r>
      <w:r w:rsidR="00E42E86">
        <w:rPr>
          <w:rFonts w:ascii="Times New Roman" w:hAnsi="Times New Roman" w:cs="Times New Roman"/>
        </w:rPr>
        <w:fldChar w:fldCharType="end"/>
      </w:r>
      <w:r w:rsidR="00E42E86">
        <w:rPr>
          <w:rFonts w:ascii="Times New Roman" w:hAnsi="Times New Roman" w:cs="Times New Roman"/>
        </w:rPr>
        <w:fldChar w:fldCharType="begin" w:fldLock="1"/>
      </w:r>
      <w:r w:rsidR="0027239B">
        <w:rPr>
          <w:rFonts w:ascii="Times New Roman" w:hAnsi="Times New Roman" w:cs="Times New Roman"/>
        </w:rPr>
        <w:instrText>ADDIN CSL_CITATION {"citationItems":[{"id":"ITEM-1","itemData":{"DOI":"10.1016/j.chb.2012.03.025","ISBN":"07475632","ISSN":"07475632","PMID":"77731705","abstract":"One of the primary aims of higher education in today's information technology enabled classroom is to make students more active in the learning process. The intended outcome of this increased IT-facilitated student engagement is to foster important skills such as critical thinking used in both academia and workplace environments. Critical thinking (CT) skills entails the ability(ies) of mental processes of discernment, analysis and evaluation to achieve a logical understanding. Critical thinking in the classroom as well as in the workplace is a central theme; however, with the dramatic increase of IT usage the mechanisms by which critical thinking is fostered and used has changed. This article presents the work and results of critical thinking in a virtual learning environment. We therefore present a web-based course and we assess in which parts of the course, and to what extent, critical thinking was perceived to occur. The course contained two categories of learning modules namely resources and interactive components. Critical thinking was measured subjectively using the ART scale. Results indicate the significance of \"interactivity\" in what students perceived to be critical-thinking- oriented versus online material as a resource. Results and opportunities that virtual environments present to foster critical thinking are discussed. © 2012 Elsevier Ltd. All rights reserved.","author":[{"dropping-particle":"","family":"Alvarez","given":"Luis H.R.","non-dropping-particle":"","parse-names":false,"suffix":""}],"container-title":"Mathematical Finance","id":"ITEM-1","issue":"4","issued":{"date-parts":[["2010"]]},"page":"733-751","title":"Minimum guaranteed payments and costly cancellation rights: A stopping game perspective","type":"article-journal","volume":"20"},"uris":["http://www.mendeley.com/documents/?uuid=ee9a6449-8e3c-41fc-b8d7-760ab3d9b4b2","http://www.mendeley.com/documents/?uuid=178758d8-e5dd-413d-8c38-9888ba7bb623"]}],"mendeley":{"formattedCitation":"[18]","plainTextFormattedCitation":"[18]","previouslyFormattedCitation":"[18]"},"properties":{"noteIndex":0},"schema":"https://github.com/citation-style-language/schema/raw/master/csl-citation.json"}</w:instrText>
      </w:r>
      <w:r w:rsidR="00E42E86">
        <w:rPr>
          <w:rFonts w:ascii="Times New Roman" w:hAnsi="Times New Roman" w:cs="Times New Roman"/>
        </w:rPr>
        <w:fldChar w:fldCharType="separate"/>
      </w:r>
      <w:r w:rsidR="00BF401C" w:rsidRPr="00BF401C">
        <w:rPr>
          <w:rFonts w:ascii="Times New Roman" w:hAnsi="Times New Roman" w:cs="Times New Roman"/>
          <w:noProof/>
        </w:rPr>
        <w:t>[18]</w:t>
      </w:r>
      <w:r w:rsidR="00E42E86">
        <w:rPr>
          <w:rFonts w:ascii="Times New Roman" w:hAnsi="Times New Roman" w:cs="Times New Roman"/>
        </w:rPr>
        <w:fldChar w:fldCharType="end"/>
      </w:r>
      <w:r w:rsidR="002145D8">
        <w:rPr>
          <w:rFonts w:ascii="Times New Roman" w:hAnsi="Times New Roman" w:cs="Times New Roman"/>
        </w:rPr>
        <w:fldChar w:fldCharType="begin" w:fldLock="1"/>
      </w:r>
      <w:r w:rsidR="0027239B">
        <w:rPr>
          <w:rFonts w:ascii="Times New Roman" w:hAnsi="Times New Roman" w:cs="Times New Roman"/>
        </w:rPr>
        <w:instrText>ADDIN CSL_CITATION {"citationItems":[{"id":"ITEM-1","itemData":{"DOI":"10.21067/mpej.v3i2.3763","ISSN":"2548-9127","abstract":"This research develops learning methods through the development of teaching materials. In addition to this study developes an e-practicum module in one of the subjects in the pharmacy department, namely physics pharmacy. Today, the physics pharmacy practice uses printed module practice in the form of module books. This research intends to make innovation in practical learning. Current educational innovations that are developing in technological innovations, one of which is information technology. The use of information technology is very fast and sophisticated, currently technological computer-based has been developing with software applications that also continue to fulfil the world's needs. The development of this electronic technology can be utilized in educational innovations in practice methods. The printed module practice was developed into a web-based electronic practicum module. The method used in this research is the waterfall model which consists of the main stages of needs analysis, system and software design, system implementation and testing as well as a maintainance. The results of this study are a web-based module-practice named E-mulsi which can be accessed via e-mulsi.com. This application has been tested in one of the pharmacy physics classes and has received positive responses from users not only students but also lecturers because it is easier to use modules and preparation of technology-based reports.","author":[{"dropping-particle":"","family":"Dhina","given":"Meiry Akmara","non-dropping-particle":"","parse-names":false,"suffix":""},{"dropping-particle":"","family":"Hadisoebroto","given":"Ginayanti","non-dropping-particle":"","parse-names":false,"suffix":""},{"dropping-particle":"","family":"Mubaroq","given":"Sugeng Rifqi","non-dropping-particle":"","parse-names":false,"suffix":""}],"container-title":"Momentum: Physics Education Journal","id":"ITEM-1","issue":"2","issued":{"date-parts":[["2019"]]},"page":"95-102","title":"Development of E-Practicum Module for Pharmacy Physics Learning","type":"article-journal","volume":"3"},"uris":["http://www.mendeley.com/documents/?uuid=7b1f5460-9ba2-40b8-a79a-5b0700dcd61e","http://www.mendeley.com/documents/?uuid=247dff4b-4e30-47d5-bf77-96635e0410f1"]}],"mendeley":{"formattedCitation":"[19]","plainTextFormattedCitation":"[19]","previouslyFormattedCitation":"[19]"},"properties":{"noteIndex":0},"schema":"https://github.com/citation-style-language/schema/raw/master/csl-citation.json"}</w:instrText>
      </w:r>
      <w:r w:rsidR="002145D8">
        <w:rPr>
          <w:rFonts w:ascii="Times New Roman" w:hAnsi="Times New Roman" w:cs="Times New Roman"/>
        </w:rPr>
        <w:fldChar w:fldCharType="separate"/>
      </w:r>
      <w:r w:rsidR="00BF401C" w:rsidRPr="00BF401C">
        <w:rPr>
          <w:rFonts w:ascii="Times New Roman" w:hAnsi="Times New Roman" w:cs="Times New Roman"/>
          <w:noProof/>
        </w:rPr>
        <w:t>[19]</w:t>
      </w:r>
      <w:r w:rsidR="002145D8">
        <w:rPr>
          <w:rFonts w:ascii="Times New Roman" w:hAnsi="Times New Roman" w:cs="Times New Roman"/>
        </w:rPr>
        <w:fldChar w:fldCharType="end"/>
      </w:r>
      <w:r w:rsidRPr="00F211F4">
        <w:rPr>
          <w:rFonts w:ascii="Times New Roman" w:hAnsi="Times New Roman" w:cs="Times New Roman"/>
        </w:rPr>
        <w:t xml:space="preserve">. This study will compare the effectiveness of the virtual laboratory application in explaining the concept of </w:t>
      </w:r>
      <w:r w:rsidR="001F23A5">
        <w:rPr>
          <w:rFonts w:ascii="Times New Roman" w:hAnsi="Times New Roman" w:cs="Times New Roman"/>
          <w:lang w:val="id-ID"/>
        </w:rPr>
        <w:t>l</w:t>
      </w:r>
      <w:r w:rsidRPr="00F211F4">
        <w:rPr>
          <w:rFonts w:ascii="Times New Roman" w:hAnsi="Times New Roman" w:cs="Times New Roman"/>
        </w:rPr>
        <w:t xml:space="preserve">earn Oscillation and Wave. The applications that have been selected </w:t>
      </w:r>
      <w:r w:rsidR="00100AAF" w:rsidRPr="00F211F4">
        <w:rPr>
          <w:rFonts w:ascii="Times New Roman" w:hAnsi="Times New Roman" w:cs="Times New Roman"/>
        </w:rPr>
        <w:t xml:space="preserve">for conceptual analysis are </w:t>
      </w:r>
      <w:proofErr w:type="spellStart"/>
      <w:r w:rsidR="00100AAF" w:rsidRPr="00F211F4">
        <w:rPr>
          <w:rFonts w:ascii="Times New Roman" w:hAnsi="Times New Roman" w:cs="Times New Roman"/>
        </w:rPr>
        <w:t>PhET</w:t>
      </w:r>
      <w:proofErr w:type="spellEnd"/>
      <w:r w:rsidRPr="00F211F4">
        <w:rPr>
          <w:rFonts w:ascii="Times New Roman" w:hAnsi="Times New Roman" w:cs="Times New Roman"/>
        </w:rPr>
        <w:t xml:space="preserve"> Laboratory and </w:t>
      </w:r>
      <w:proofErr w:type="spellStart"/>
      <w:r w:rsidRPr="00F211F4">
        <w:rPr>
          <w:rFonts w:ascii="Times New Roman" w:hAnsi="Times New Roman" w:cs="Times New Roman"/>
        </w:rPr>
        <w:t>Olabs</w:t>
      </w:r>
      <w:proofErr w:type="spellEnd"/>
      <w:r w:rsidR="001F23A5">
        <w:rPr>
          <w:rFonts w:ascii="Times New Roman" w:hAnsi="Times New Roman" w:cs="Times New Roman"/>
          <w:lang w:val="id-ID"/>
        </w:rPr>
        <w:t xml:space="preserve">, </w:t>
      </w:r>
      <w:proofErr w:type="spellStart"/>
      <w:r w:rsidR="001F23A5">
        <w:rPr>
          <w:rFonts w:ascii="Times New Roman" w:hAnsi="Times New Roman" w:cs="Times New Roman"/>
          <w:lang w:val="id-ID"/>
        </w:rPr>
        <w:t>because</w:t>
      </w:r>
      <w:proofErr w:type="spellEnd"/>
      <w:r w:rsidR="001F23A5">
        <w:rPr>
          <w:rFonts w:ascii="Times New Roman" w:hAnsi="Times New Roman" w:cs="Times New Roman"/>
          <w:lang w:val="id-ID"/>
        </w:rPr>
        <w:t xml:space="preserve"> </w:t>
      </w:r>
      <w:proofErr w:type="spellStart"/>
      <w:r w:rsidR="001F23A5">
        <w:rPr>
          <w:rFonts w:ascii="Times New Roman" w:hAnsi="Times New Roman" w:cs="Times New Roman"/>
          <w:lang w:val="id-ID"/>
        </w:rPr>
        <w:t>there</w:t>
      </w:r>
      <w:proofErr w:type="spellEnd"/>
      <w:r w:rsidR="001F23A5">
        <w:rPr>
          <w:rFonts w:ascii="Times New Roman" w:hAnsi="Times New Roman" w:cs="Times New Roman"/>
          <w:lang w:val="id-ID"/>
        </w:rPr>
        <w:t xml:space="preserve"> are open </w:t>
      </w:r>
      <w:proofErr w:type="spellStart"/>
      <w:r w:rsidR="001F23A5">
        <w:rPr>
          <w:rFonts w:ascii="Times New Roman" w:hAnsi="Times New Roman" w:cs="Times New Roman"/>
          <w:lang w:val="id-ID"/>
        </w:rPr>
        <w:t>source</w:t>
      </w:r>
      <w:proofErr w:type="spellEnd"/>
      <w:r w:rsidR="001F23A5">
        <w:rPr>
          <w:rFonts w:ascii="Times New Roman" w:hAnsi="Times New Roman" w:cs="Times New Roman"/>
          <w:lang w:val="id-ID"/>
        </w:rPr>
        <w:t xml:space="preserve"> </w:t>
      </w:r>
      <w:proofErr w:type="spellStart"/>
      <w:r w:rsidR="001F23A5">
        <w:rPr>
          <w:rFonts w:ascii="Times New Roman" w:hAnsi="Times New Roman" w:cs="Times New Roman"/>
          <w:lang w:val="id-ID"/>
        </w:rPr>
        <w:t>application</w:t>
      </w:r>
      <w:proofErr w:type="spellEnd"/>
      <w:r w:rsidR="001F23A5">
        <w:rPr>
          <w:rFonts w:ascii="Times New Roman" w:hAnsi="Times New Roman" w:cs="Times New Roman"/>
          <w:lang w:val="id-ID"/>
        </w:rPr>
        <w:t xml:space="preserve"> </w:t>
      </w:r>
      <w:proofErr w:type="spellStart"/>
      <w:r w:rsidR="001F23A5">
        <w:rPr>
          <w:rFonts w:ascii="Times New Roman" w:hAnsi="Times New Roman" w:cs="Times New Roman"/>
          <w:lang w:val="id-ID"/>
        </w:rPr>
        <w:t>and</w:t>
      </w:r>
      <w:proofErr w:type="spellEnd"/>
      <w:r w:rsidR="001F23A5">
        <w:rPr>
          <w:rFonts w:ascii="Times New Roman" w:hAnsi="Times New Roman" w:cs="Times New Roman"/>
          <w:lang w:val="id-ID"/>
        </w:rPr>
        <w:t xml:space="preserve"> </w:t>
      </w:r>
      <w:proofErr w:type="spellStart"/>
      <w:r w:rsidR="001F23A5">
        <w:rPr>
          <w:rFonts w:ascii="Times New Roman" w:hAnsi="Times New Roman" w:cs="Times New Roman"/>
          <w:lang w:val="id-ID"/>
        </w:rPr>
        <w:t>have</w:t>
      </w:r>
      <w:proofErr w:type="spellEnd"/>
      <w:r w:rsidR="001F23A5">
        <w:rPr>
          <w:rFonts w:ascii="Times New Roman" w:hAnsi="Times New Roman" w:cs="Times New Roman"/>
          <w:lang w:val="id-ID"/>
        </w:rPr>
        <w:t xml:space="preserve"> </w:t>
      </w:r>
      <w:r w:rsidR="001F23A5">
        <w:rPr>
          <w:rFonts w:ascii="Times New Roman" w:hAnsi="Times New Roman" w:cs="Times New Roman"/>
        </w:rPr>
        <w:t>oscillation and w</w:t>
      </w:r>
      <w:r w:rsidR="001F23A5" w:rsidRPr="00F211F4">
        <w:rPr>
          <w:rFonts w:ascii="Times New Roman" w:hAnsi="Times New Roman" w:cs="Times New Roman"/>
        </w:rPr>
        <w:t>ave</w:t>
      </w:r>
      <w:r w:rsidR="001F23A5">
        <w:rPr>
          <w:rFonts w:ascii="Times New Roman" w:hAnsi="Times New Roman" w:cs="Times New Roman"/>
          <w:lang w:val="id-ID"/>
        </w:rPr>
        <w:t xml:space="preserve"> </w:t>
      </w:r>
      <w:proofErr w:type="spellStart"/>
      <w:r w:rsidR="001F23A5">
        <w:rPr>
          <w:rFonts w:ascii="Times New Roman" w:hAnsi="Times New Roman" w:cs="Times New Roman"/>
          <w:lang w:val="id-ID"/>
        </w:rPr>
        <w:t>simuation</w:t>
      </w:r>
      <w:proofErr w:type="spellEnd"/>
      <w:r w:rsidR="001F23A5">
        <w:rPr>
          <w:rFonts w:ascii="Times New Roman" w:hAnsi="Times New Roman" w:cs="Times New Roman"/>
          <w:lang w:val="id-ID"/>
        </w:rPr>
        <w:t>.</w:t>
      </w:r>
      <w:commentRangeEnd w:id="1"/>
      <w:r w:rsidR="006B4BEC">
        <w:rPr>
          <w:rStyle w:val="CommentReference"/>
        </w:rPr>
        <w:commentReference w:id="1"/>
      </w:r>
    </w:p>
    <w:p w14:paraId="04AB905A" w14:textId="77777777" w:rsidR="00931469" w:rsidRPr="008F1025" w:rsidRDefault="00931469" w:rsidP="008F1025">
      <w:pPr>
        <w:pStyle w:val="ListParagraph"/>
        <w:numPr>
          <w:ilvl w:val="0"/>
          <w:numId w:val="1"/>
        </w:numPr>
        <w:spacing w:before="240" w:after="0" w:line="240" w:lineRule="auto"/>
        <w:ind w:left="426"/>
        <w:jc w:val="both"/>
        <w:rPr>
          <w:rFonts w:ascii="Times New Roman" w:hAnsi="Times New Roman" w:cs="Times New Roman"/>
          <w:b/>
        </w:rPr>
      </w:pPr>
      <w:commentRangeStart w:id="2"/>
      <w:r w:rsidRPr="008F1025">
        <w:rPr>
          <w:rFonts w:ascii="Times New Roman" w:hAnsi="Times New Roman" w:cs="Times New Roman"/>
          <w:b/>
        </w:rPr>
        <w:t>Methods</w:t>
      </w:r>
      <w:commentRangeEnd w:id="2"/>
      <w:r w:rsidR="006B4BEC">
        <w:rPr>
          <w:rStyle w:val="CommentReference"/>
        </w:rPr>
        <w:commentReference w:id="2"/>
      </w:r>
    </w:p>
    <w:p w14:paraId="44CD7109" w14:textId="77777777" w:rsidR="002E5156" w:rsidRPr="00F211F4" w:rsidRDefault="002E5156" w:rsidP="008F1025">
      <w:pPr>
        <w:spacing w:after="0" w:line="240" w:lineRule="auto"/>
        <w:ind w:firstLine="426"/>
        <w:jc w:val="both"/>
        <w:rPr>
          <w:rFonts w:ascii="Times New Roman" w:hAnsi="Times New Roman" w:cs="Times New Roman"/>
        </w:rPr>
      </w:pPr>
      <w:r w:rsidRPr="00F211F4">
        <w:rPr>
          <w:rFonts w:ascii="Times New Roman" w:hAnsi="Times New Roman" w:cs="Times New Roman"/>
        </w:rPr>
        <w:t xml:space="preserve">The research design that has been used is content analysis. In-depth analysis has been carried out on the accuracy of the concept to be conveyed, ease of use, quality of appearance, supporting learning tools, instructions for use and ease of access as well as application operation. The instruments that have been used </w:t>
      </w:r>
      <w:r w:rsidRPr="00F211F4">
        <w:rPr>
          <w:rFonts w:ascii="Times New Roman" w:hAnsi="Times New Roman" w:cs="Times New Roman"/>
        </w:rPr>
        <w:lastRenderedPageBreak/>
        <w:t>are questionnaires and direct observation of the application content. Data has also been collected from 20 application users to determine the response to the application</w:t>
      </w:r>
    </w:p>
    <w:p w14:paraId="187643C8" w14:textId="77777777" w:rsidR="000B5693" w:rsidRPr="008F1025" w:rsidRDefault="000B5693" w:rsidP="008F1025">
      <w:pPr>
        <w:pStyle w:val="ListParagraph"/>
        <w:numPr>
          <w:ilvl w:val="0"/>
          <w:numId w:val="1"/>
        </w:numPr>
        <w:spacing w:before="240" w:after="0" w:line="240" w:lineRule="auto"/>
        <w:ind w:left="426"/>
        <w:jc w:val="both"/>
        <w:rPr>
          <w:rFonts w:ascii="Times New Roman" w:hAnsi="Times New Roman" w:cs="Times New Roman"/>
          <w:b/>
        </w:rPr>
      </w:pPr>
      <w:commentRangeStart w:id="3"/>
      <w:r w:rsidRPr="008F1025">
        <w:rPr>
          <w:rFonts w:ascii="Times New Roman" w:hAnsi="Times New Roman" w:cs="Times New Roman"/>
          <w:b/>
        </w:rPr>
        <w:t>Result and Discussion</w:t>
      </w:r>
      <w:commentRangeEnd w:id="3"/>
      <w:r w:rsidR="006B4BEC">
        <w:rPr>
          <w:rStyle w:val="CommentReference"/>
        </w:rPr>
        <w:commentReference w:id="3"/>
      </w:r>
    </w:p>
    <w:p w14:paraId="0C131D83" w14:textId="77777777" w:rsidR="00A80655" w:rsidRPr="00F211F4" w:rsidRDefault="00BA4466" w:rsidP="008F1025">
      <w:pPr>
        <w:spacing w:after="0" w:line="240" w:lineRule="auto"/>
        <w:ind w:firstLine="720"/>
        <w:jc w:val="both"/>
        <w:rPr>
          <w:rFonts w:ascii="Times New Roman" w:hAnsi="Times New Roman" w:cs="Times New Roman"/>
        </w:rPr>
      </w:pPr>
      <w:r w:rsidRPr="00F211F4">
        <w:rPr>
          <w:rFonts w:ascii="Times New Roman" w:hAnsi="Times New Roman" w:cs="Times New Roman"/>
        </w:rPr>
        <w:t>Concept analysis has been carried out on how the application helps students understand the concepts of vibration, wave, wavelength, frequency and amplitude.</w:t>
      </w:r>
      <w:r w:rsidR="003613A3" w:rsidRPr="00F211F4">
        <w:rPr>
          <w:rFonts w:ascii="Times New Roman" w:hAnsi="Times New Roman" w:cs="Times New Roman"/>
        </w:rPr>
        <w:t xml:space="preserve"> </w:t>
      </w:r>
      <w:r w:rsidRPr="00F211F4">
        <w:rPr>
          <w:rFonts w:ascii="Times New Roman" w:hAnsi="Times New Roman" w:cs="Times New Roman"/>
        </w:rPr>
        <w:t xml:space="preserve"> </w:t>
      </w:r>
      <w:r w:rsidR="00A91D6C" w:rsidRPr="00F211F4">
        <w:rPr>
          <w:rFonts w:ascii="Times New Roman" w:hAnsi="Times New Roman" w:cs="Times New Roman"/>
        </w:rPr>
        <w:t>Based on the direction of propagation, the waves are generally divided into transverse waves and longitudinal waves. In longitudinal waves, media particles make periodic vibrations along the direction of propagation of the wave. This has led to alternative compression and purification. For example, in the case of a slinky the wave along the compressed spring is a longitudinal wave. Meanwhile, when the media particles move up and down periodically, perpendicular to the direction of the wave propagation, this is known as a transverse wave. This wave consists of alternate crests and troughs. In this type of wave the disturbance of the wave moves forward, the medium particles show an upward movement, the maximum downward displacement is known as a trough. Meanwhile, the position of the top displacement is known as the peak</w:t>
      </w:r>
      <w:r w:rsidR="0027239B">
        <w:rPr>
          <w:rFonts w:ascii="Times New Roman" w:hAnsi="Times New Roman" w:cs="Times New Roman"/>
        </w:rPr>
        <w:fldChar w:fldCharType="begin" w:fldLock="1"/>
      </w:r>
      <w:r w:rsidR="0027239B">
        <w:rPr>
          <w:rFonts w:ascii="Times New Roman" w:hAnsi="Times New Roman" w:cs="Times New Roman"/>
        </w:rPr>
        <w:instrText>ADDIN CSL_CITATION {"citationItems":[{"id":"ITEM-1","itemData":{"ISBN":"0534408427","author":[{"dropping-particle":"","family":"Serway","given":"Raymond A","non-dropping-particle":"","parse-names":false,"suffix":""},{"dropping-particle":"","family":"Jewett","given":"John W","non-dropping-particle":"","parse-names":false,"suffix":""}],"edition":"6","id":"ITEM-1","issued":{"date-parts":[["2004"]]},"publisher":"Thomson Brook/ Cole","title":"Physics For Scientists and Engineers","type":"book"},"uris":["http://www.mendeley.com/documents/?uuid=1d8e4f96-5682-45d2-ba0f-181dfd53bf0f"]}],"mendeley":{"formattedCitation":"[20]","plainTextFormattedCitation":"[20]","previouslyFormattedCitation":"[20]"},"properties":{"noteIndex":0},"schema":"https://github.com/citation-style-language/schema/raw/master/csl-citation.json"}</w:instrText>
      </w:r>
      <w:r w:rsidR="0027239B">
        <w:rPr>
          <w:rFonts w:ascii="Times New Roman" w:hAnsi="Times New Roman" w:cs="Times New Roman"/>
        </w:rPr>
        <w:fldChar w:fldCharType="separate"/>
      </w:r>
      <w:r w:rsidR="0027239B" w:rsidRPr="0027239B">
        <w:rPr>
          <w:rFonts w:ascii="Times New Roman" w:hAnsi="Times New Roman" w:cs="Times New Roman"/>
          <w:noProof/>
        </w:rPr>
        <w:t>[20]</w:t>
      </w:r>
      <w:r w:rsidR="0027239B">
        <w:rPr>
          <w:rFonts w:ascii="Times New Roman" w:hAnsi="Times New Roman" w:cs="Times New Roman"/>
        </w:rPr>
        <w:fldChar w:fldCharType="end"/>
      </w:r>
      <w:r w:rsidR="00A91D6C" w:rsidRPr="00F211F4">
        <w:rPr>
          <w:rFonts w:ascii="Times New Roman" w:hAnsi="Times New Roman" w:cs="Times New Roman"/>
        </w:rPr>
        <w:t>.</w:t>
      </w:r>
    </w:p>
    <w:p w14:paraId="545FD380" w14:textId="77777777" w:rsidR="003613A3" w:rsidRPr="00F211F4" w:rsidRDefault="003613A3" w:rsidP="003613A3">
      <w:pPr>
        <w:spacing w:line="240" w:lineRule="auto"/>
        <w:jc w:val="both"/>
        <w:rPr>
          <w:rFonts w:ascii="Times New Roman" w:hAnsi="Times New Roman" w:cs="Times New Roman"/>
        </w:rPr>
      </w:pPr>
      <w:r w:rsidRPr="00F211F4">
        <w:rPr>
          <w:rFonts w:ascii="Times New Roman" w:hAnsi="Times New Roman" w:cs="Times New Roman"/>
        </w:rPr>
        <w:tab/>
        <w:t>With the help of this application, it is hoped that students will understand the differences in the physical and mathematical meanings of wavelengths in the concept of longitudinal waves and transverse waves. The wavelength (λ) of longitudinal waves has been defined as: The distance covered by one complete smoothing and one complete compression. It is physically represented as the distance between two successive compressions or clarifications. Frequency has been defined as the number of vibrations made by a particle in a s</w:t>
      </w:r>
      <w:r w:rsidR="00B77153" w:rsidRPr="00F211F4">
        <w:rPr>
          <w:rFonts w:ascii="Times New Roman" w:hAnsi="Times New Roman" w:cs="Times New Roman"/>
        </w:rPr>
        <w:t xml:space="preserve">linky/string </w:t>
      </w:r>
      <w:r w:rsidRPr="00F211F4">
        <w:rPr>
          <w:rFonts w:ascii="Times New Roman" w:hAnsi="Times New Roman" w:cs="Times New Roman"/>
        </w:rPr>
        <w:t xml:space="preserve">per unit time. It </w:t>
      </w:r>
      <w:r w:rsidR="003E61DA" w:rsidRPr="00F211F4">
        <w:rPr>
          <w:rFonts w:ascii="Times New Roman" w:hAnsi="Times New Roman" w:cs="Times New Roman"/>
        </w:rPr>
        <w:t xml:space="preserve">is denoted by the symbol </w:t>
      </w:r>
      <w:r w:rsidR="003E61DA" w:rsidRPr="00F211F4">
        <w:rPr>
          <w:rFonts w:ascii="Times New Roman" w:hAnsi="Times New Roman" w:cs="Times New Roman"/>
          <w:i/>
        </w:rPr>
        <w:t>f</w:t>
      </w:r>
      <w:r w:rsidRPr="00F211F4">
        <w:rPr>
          <w:rFonts w:ascii="Times New Roman" w:hAnsi="Times New Roman" w:cs="Times New Roman"/>
        </w:rPr>
        <w:t xml:space="preserve">. </w:t>
      </w:r>
      <w:r w:rsidR="003E61DA" w:rsidRPr="00F211F4">
        <w:rPr>
          <w:rFonts w:ascii="Times New Roman" w:hAnsi="Times New Roman" w:cs="Times New Roman"/>
        </w:rPr>
        <w:t>T represents the time period it takes to complete one wavelength.</w:t>
      </w:r>
    </w:p>
    <w:p w14:paraId="7B41B614" w14:textId="77777777" w:rsidR="009E38E3" w:rsidRPr="009E38E3" w:rsidRDefault="003E61DA" w:rsidP="00A91D6C">
      <w:pPr>
        <w:pStyle w:val="NormalWeb"/>
        <w:shd w:val="clear" w:color="auto" w:fill="FFFFFF"/>
        <w:spacing w:before="0" w:beforeAutospacing="0" w:after="150" w:afterAutospacing="0"/>
        <w:jc w:val="both"/>
        <w:rPr>
          <w:rFonts w:eastAsiaTheme="minorEastAsia"/>
          <w:color w:val="000000"/>
          <w:sz w:val="22"/>
          <w:szCs w:val="22"/>
        </w:rPr>
      </w:pPr>
      <m:oMathPara>
        <m:oMath>
          <m:r>
            <w:rPr>
              <w:rFonts w:ascii="Cambria Math" w:hAnsi="Cambria Math"/>
              <w:color w:val="000000"/>
              <w:sz w:val="22"/>
              <w:szCs w:val="22"/>
            </w:rPr>
            <m:t>f=</m:t>
          </m:r>
          <m:f>
            <m:fPr>
              <m:ctrlPr>
                <w:rPr>
                  <w:rFonts w:ascii="Cambria Math" w:hAnsi="Cambria Math"/>
                  <w:i/>
                  <w:color w:val="000000"/>
                  <w:sz w:val="22"/>
                  <w:szCs w:val="22"/>
                </w:rPr>
              </m:ctrlPr>
            </m:fPr>
            <m:num>
              <m:r>
                <w:rPr>
                  <w:rFonts w:ascii="Cambria Math" w:hAnsi="Cambria Math"/>
                  <w:color w:val="000000"/>
                  <w:sz w:val="22"/>
                  <w:szCs w:val="22"/>
                </w:rPr>
                <m:t>1</m:t>
              </m:r>
            </m:num>
            <m:den>
              <m:r>
                <w:rPr>
                  <w:rFonts w:ascii="Cambria Math" w:hAnsi="Cambria Math"/>
                  <w:color w:val="000000"/>
                  <w:sz w:val="22"/>
                  <w:szCs w:val="22"/>
                </w:rPr>
                <m:t xml:space="preserve">T </m:t>
              </m:r>
            </m:den>
          </m:f>
          <m:r>
            <w:rPr>
              <w:rFonts w:ascii="Cambria Math" w:hAnsi="Cambria Math"/>
              <w:color w:val="000000"/>
              <w:sz w:val="22"/>
              <w:szCs w:val="22"/>
            </w:rPr>
            <m:t xml:space="preserve"> </m:t>
          </m:r>
        </m:oMath>
      </m:oMathPara>
    </w:p>
    <w:p w14:paraId="22F322A4" w14:textId="77777777" w:rsidR="00A91D6C" w:rsidRPr="00F211F4" w:rsidRDefault="003E61DA" w:rsidP="00A91D6C">
      <w:pPr>
        <w:pStyle w:val="NormalWeb"/>
        <w:shd w:val="clear" w:color="auto" w:fill="FFFFFF"/>
        <w:spacing w:before="0" w:beforeAutospacing="0" w:after="150" w:afterAutospacing="0"/>
        <w:jc w:val="both"/>
        <w:rPr>
          <w:color w:val="000000"/>
          <w:sz w:val="22"/>
          <w:szCs w:val="22"/>
        </w:rPr>
      </w:pPr>
      <m:oMathPara>
        <m:oMath>
          <m:r>
            <w:rPr>
              <w:rFonts w:ascii="Cambria Math" w:hAnsi="Cambria Math"/>
              <w:color w:val="000000"/>
              <w:sz w:val="22"/>
              <w:szCs w:val="22"/>
            </w:rPr>
            <m:t xml:space="preserve"> fT=1</m:t>
          </m:r>
        </m:oMath>
      </m:oMathPara>
    </w:p>
    <w:p w14:paraId="6484AD57" w14:textId="77777777" w:rsidR="004137DA" w:rsidRPr="00F211F4" w:rsidRDefault="004137DA" w:rsidP="008F1025">
      <w:pPr>
        <w:pStyle w:val="NormalWeb"/>
        <w:shd w:val="clear" w:color="auto" w:fill="FFFFFF"/>
        <w:spacing w:before="0" w:beforeAutospacing="0" w:after="0" w:afterAutospacing="0"/>
        <w:ind w:firstLine="720"/>
        <w:jc w:val="both"/>
        <w:rPr>
          <w:rStyle w:val="Strong"/>
          <w:color w:val="000000"/>
          <w:sz w:val="22"/>
          <w:szCs w:val="22"/>
        </w:rPr>
      </w:pPr>
      <w:r w:rsidRPr="00F211F4">
        <w:rPr>
          <w:color w:val="000000"/>
          <w:sz w:val="22"/>
          <w:szCs w:val="22"/>
        </w:rPr>
        <w:t xml:space="preserve">In transverse waves, the wavelength can be defined as, </w:t>
      </w:r>
      <w:proofErr w:type="gramStart"/>
      <w:r w:rsidRPr="00F211F4">
        <w:rPr>
          <w:color w:val="000000"/>
          <w:sz w:val="22"/>
          <w:szCs w:val="22"/>
        </w:rPr>
        <w:t>The</w:t>
      </w:r>
      <w:proofErr w:type="gramEnd"/>
      <w:r w:rsidRPr="00F211F4">
        <w:rPr>
          <w:color w:val="000000"/>
          <w:sz w:val="22"/>
          <w:szCs w:val="22"/>
        </w:rPr>
        <w:t xml:space="preserve"> distance between two successive crests or the distance traveled by one full crest or one complete trough or the distance between two successive troughs. Transverse waves are physically generated along the slinky or </w:t>
      </w:r>
      <w:r w:rsidR="00B77153" w:rsidRPr="00F211F4">
        <w:rPr>
          <w:color w:val="000000"/>
          <w:sz w:val="22"/>
          <w:szCs w:val="22"/>
        </w:rPr>
        <w:t>string</w:t>
      </w:r>
      <w:r w:rsidRPr="00F211F4">
        <w:rPr>
          <w:color w:val="000000"/>
          <w:sz w:val="22"/>
          <w:szCs w:val="22"/>
        </w:rPr>
        <w:t xml:space="preserve"> by je</w:t>
      </w:r>
      <w:r w:rsidR="00872B38" w:rsidRPr="00F211F4">
        <w:rPr>
          <w:color w:val="000000"/>
          <w:sz w:val="22"/>
          <w:szCs w:val="22"/>
        </w:rPr>
        <w:t xml:space="preserve">rking the free ends up and down </w:t>
      </w:r>
      <w:r w:rsidRPr="00F211F4">
        <w:rPr>
          <w:color w:val="000000"/>
          <w:sz w:val="22"/>
          <w:szCs w:val="22"/>
        </w:rPr>
        <w:t>uniformly.</w:t>
      </w:r>
      <w:r w:rsidR="00872B38" w:rsidRPr="00F211F4">
        <w:rPr>
          <w:color w:val="000000"/>
          <w:sz w:val="22"/>
          <w:szCs w:val="22"/>
        </w:rPr>
        <w:t xml:space="preserve"> </w:t>
      </w:r>
      <w:r w:rsidRPr="00F211F4">
        <w:rPr>
          <w:color w:val="000000"/>
          <w:sz w:val="22"/>
          <w:szCs w:val="22"/>
        </w:rPr>
        <w:t>Wavelength</w:t>
      </w:r>
      <w:r w:rsidR="00B77153" w:rsidRPr="00F211F4">
        <w:rPr>
          <w:color w:val="000000"/>
          <w:sz w:val="22"/>
          <w:szCs w:val="22"/>
        </w:rPr>
        <w:t xml:space="preserve"> </w:t>
      </w:r>
      <w:r w:rsidRPr="00F211F4">
        <w:rPr>
          <w:color w:val="000000"/>
          <w:sz w:val="22"/>
          <w:szCs w:val="22"/>
        </w:rPr>
        <w:t>(λ)</w:t>
      </w:r>
      <w:r w:rsidR="00872B38" w:rsidRPr="00F211F4">
        <w:rPr>
          <w:color w:val="000000"/>
          <w:sz w:val="22"/>
          <w:szCs w:val="22"/>
        </w:rPr>
        <w:t xml:space="preserve"> </w:t>
      </w:r>
      <w:r w:rsidRPr="00F211F4">
        <w:rPr>
          <w:color w:val="000000"/>
          <w:sz w:val="22"/>
          <w:szCs w:val="22"/>
        </w:rPr>
        <w:t>in</w:t>
      </w:r>
      <w:r w:rsidR="00872B38" w:rsidRPr="00F211F4">
        <w:rPr>
          <w:color w:val="000000"/>
          <w:sz w:val="22"/>
          <w:szCs w:val="22"/>
        </w:rPr>
        <w:t xml:space="preserve"> </w:t>
      </w:r>
      <w:r w:rsidRPr="00F211F4">
        <w:rPr>
          <w:color w:val="000000"/>
          <w:sz w:val="22"/>
          <w:szCs w:val="22"/>
        </w:rPr>
        <w:t>this</w:t>
      </w:r>
      <w:r w:rsidR="00872B38" w:rsidRPr="00F211F4">
        <w:rPr>
          <w:color w:val="000000"/>
          <w:sz w:val="22"/>
          <w:szCs w:val="22"/>
        </w:rPr>
        <w:t xml:space="preserve"> </w:t>
      </w:r>
      <w:r w:rsidRPr="00F211F4">
        <w:rPr>
          <w:color w:val="000000"/>
          <w:sz w:val="22"/>
          <w:szCs w:val="22"/>
        </w:rPr>
        <w:t>concept</w:t>
      </w:r>
      <w:r w:rsidR="00872B38" w:rsidRPr="00F211F4">
        <w:rPr>
          <w:color w:val="000000"/>
          <w:sz w:val="22"/>
          <w:szCs w:val="22"/>
        </w:rPr>
        <w:t xml:space="preserve"> </w:t>
      </w:r>
      <w:r w:rsidRPr="00F211F4">
        <w:rPr>
          <w:color w:val="000000"/>
          <w:sz w:val="22"/>
          <w:szCs w:val="22"/>
        </w:rPr>
        <w:t>has</w:t>
      </w:r>
      <w:r w:rsidR="00872B38" w:rsidRPr="00F211F4">
        <w:rPr>
          <w:color w:val="000000"/>
          <w:sz w:val="22"/>
          <w:szCs w:val="22"/>
        </w:rPr>
        <w:t xml:space="preserve"> been </w:t>
      </w:r>
      <w:r w:rsidRPr="00F211F4">
        <w:rPr>
          <w:color w:val="000000"/>
          <w:sz w:val="22"/>
          <w:szCs w:val="22"/>
        </w:rPr>
        <w:t>interpreted</w:t>
      </w:r>
      <w:r w:rsidR="00872B38" w:rsidRPr="00F211F4">
        <w:rPr>
          <w:color w:val="000000"/>
          <w:sz w:val="22"/>
          <w:szCs w:val="22"/>
        </w:rPr>
        <w:t xml:space="preserve"> </w:t>
      </w:r>
      <w:r w:rsidRPr="00F211F4">
        <w:rPr>
          <w:color w:val="000000"/>
          <w:sz w:val="22"/>
          <w:szCs w:val="22"/>
        </w:rPr>
        <w:t>as</w:t>
      </w:r>
      <w:r w:rsidR="00872B38" w:rsidRPr="00F211F4">
        <w:rPr>
          <w:color w:val="000000"/>
          <w:sz w:val="22"/>
          <w:szCs w:val="22"/>
        </w:rPr>
        <w:t xml:space="preserve"> </w:t>
      </w:r>
      <w:r w:rsidRPr="00F211F4">
        <w:rPr>
          <w:color w:val="000000"/>
          <w:sz w:val="22"/>
          <w:szCs w:val="22"/>
        </w:rPr>
        <w:t>the</w:t>
      </w:r>
      <w:r w:rsidR="00872B38" w:rsidRPr="00F211F4">
        <w:rPr>
          <w:color w:val="000000"/>
          <w:sz w:val="22"/>
          <w:szCs w:val="22"/>
        </w:rPr>
        <w:t xml:space="preserve"> </w:t>
      </w:r>
      <w:r w:rsidRPr="00F211F4">
        <w:rPr>
          <w:color w:val="000000"/>
          <w:sz w:val="22"/>
          <w:szCs w:val="22"/>
        </w:rPr>
        <w:t>distance</w:t>
      </w:r>
      <w:r w:rsidR="00872B38" w:rsidRPr="00F211F4">
        <w:rPr>
          <w:color w:val="000000"/>
          <w:sz w:val="22"/>
          <w:szCs w:val="22"/>
        </w:rPr>
        <w:t xml:space="preserve"> </w:t>
      </w:r>
      <w:r w:rsidRPr="00F211F4">
        <w:rPr>
          <w:color w:val="000000"/>
          <w:sz w:val="22"/>
          <w:szCs w:val="22"/>
        </w:rPr>
        <w:t>traveled</w:t>
      </w:r>
      <w:r w:rsidR="00872B38" w:rsidRPr="00F211F4">
        <w:rPr>
          <w:color w:val="000000"/>
          <w:sz w:val="22"/>
          <w:szCs w:val="22"/>
        </w:rPr>
        <w:t xml:space="preserve"> </w:t>
      </w:r>
      <w:r w:rsidRPr="00F211F4">
        <w:rPr>
          <w:color w:val="000000"/>
          <w:sz w:val="22"/>
          <w:szCs w:val="22"/>
        </w:rPr>
        <w:t>by</w:t>
      </w:r>
      <w:r w:rsidR="00872B38" w:rsidRPr="00F211F4">
        <w:rPr>
          <w:color w:val="000000"/>
          <w:sz w:val="22"/>
          <w:szCs w:val="22"/>
        </w:rPr>
        <w:t xml:space="preserve"> </w:t>
      </w:r>
      <w:r w:rsidRPr="00F211F4">
        <w:rPr>
          <w:color w:val="000000"/>
          <w:sz w:val="22"/>
          <w:szCs w:val="22"/>
        </w:rPr>
        <w:t>disturbances</w:t>
      </w:r>
      <w:r w:rsidR="00872B38" w:rsidRPr="00F211F4">
        <w:rPr>
          <w:color w:val="000000"/>
          <w:sz w:val="22"/>
          <w:szCs w:val="22"/>
        </w:rPr>
        <w:t xml:space="preserve"> </w:t>
      </w:r>
      <w:r w:rsidRPr="00F211F4">
        <w:rPr>
          <w:color w:val="000000"/>
          <w:sz w:val="22"/>
          <w:szCs w:val="22"/>
        </w:rPr>
        <w:t>over</w:t>
      </w:r>
      <w:r w:rsidR="00872B38" w:rsidRPr="00F211F4">
        <w:rPr>
          <w:color w:val="000000"/>
          <w:sz w:val="22"/>
          <w:szCs w:val="22"/>
        </w:rPr>
        <w:t xml:space="preserve"> </w:t>
      </w:r>
      <w:r w:rsidRPr="00F211F4">
        <w:rPr>
          <w:color w:val="000000"/>
          <w:sz w:val="22"/>
          <w:szCs w:val="22"/>
        </w:rPr>
        <w:t>a</w:t>
      </w:r>
      <w:r w:rsidR="00872B38" w:rsidRPr="00F211F4">
        <w:rPr>
          <w:color w:val="000000"/>
          <w:sz w:val="22"/>
          <w:szCs w:val="22"/>
        </w:rPr>
        <w:t xml:space="preserve"> </w:t>
      </w:r>
      <w:r w:rsidRPr="00F211F4">
        <w:rPr>
          <w:color w:val="000000"/>
          <w:sz w:val="22"/>
          <w:szCs w:val="22"/>
        </w:rPr>
        <w:t>period</w:t>
      </w:r>
      <w:r w:rsidR="00872B38" w:rsidRPr="00F211F4">
        <w:rPr>
          <w:color w:val="000000"/>
          <w:sz w:val="22"/>
          <w:szCs w:val="22"/>
        </w:rPr>
        <w:t xml:space="preserve"> </w:t>
      </w:r>
      <w:r w:rsidRPr="00F211F4">
        <w:rPr>
          <w:color w:val="000000"/>
          <w:sz w:val="22"/>
          <w:szCs w:val="22"/>
        </w:rPr>
        <w:t>of</w:t>
      </w:r>
      <w:r w:rsidR="00872B38" w:rsidRPr="00F211F4">
        <w:rPr>
          <w:color w:val="000000"/>
          <w:sz w:val="22"/>
          <w:szCs w:val="22"/>
        </w:rPr>
        <w:t xml:space="preserve"> </w:t>
      </w:r>
      <w:r w:rsidRPr="00F211F4">
        <w:rPr>
          <w:color w:val="000000"/>
          <w:sz w:val="22"/>
          <w:szCs w:val="22"/>
        </w:rPr>
        <w:t>time.</w:t>
      </w:r>
      <w:r w:rsidRPr="00F211F4">
        <w:t xml:space="preserve"> </w:t>
      </w:r>
      <w:r w:rsidRPr="00F211F4">
        <w:rPr>
          <w:color w:val="000000"/>
          <w:sz w:val="22"/>
          <w:szCs w:val="22"/>
        </w:rPr>
        <w:t>Wave Velocity or Pulse Velocity is the distance traveled by waves per second</w:t>
      </w:r>
      <w:r w:rsidR="0027239B">
        <w:rPr>
          <w:color w:val="000000"/>
          <w:sz w:val="22"/>
          <w:szCs w:val="22"/>
        </w:rPr>
        <w:fldChar w:fldCharType="begin" w:fldLock="1"/>
      </w:r>
      <w:r w:rsidR="0027239B">
        <w:rPr>
          <w:color w:val="000000"/>
          <w:sz w:val="22"/>
          <w:szCs w:val="22"/>
        </w:rPr>
        <w:instrText>ADDIN CSL_CITATION {"citationItems":[{"id":"ITEM-1","itemData":{"ISBN":"0534408427","author":[{"dropping-particle":"","family":"Serway","given":"Raymond A","non-dropping-particle":"","parse-names":false,"suffix":""},{"dropping-particle":"","family":"Jewett","given":"John W","non-dropping-particle":"","parse-names":false,"suffix":""}],"edition":"6","id":"ITEM-1","issued":{"date-parts":[["2004"]]},"publisher":"Thomson Brook/ Cole","title":"Physics For Scientists and Engineers","type":"book"},"uris":["http://www.mendeley.com/documents/?uuid=1d8e4f96-5682-45d2-ba0f-181dfd53bf0f"]}],"mendeley":{"formattedCitation":"[20]","plainTextFormattedCitation":"[20]"},"properties":{"noteIndex":0},"schema":"https://github.com/citation-style-language/schema/raw/master/csl-citation.json"}</w:instrText>
      </w:r>
      <w:r w:rsidR="0027239B">
        <w:rPr>
          <w:color w:val="000000"/>
          <w:sz w:val="22"/>
          <w:szCs w:val="22"/>
        </w:rPr>
        <w:fldChar w:fldCharType="separate"/>
      </w:r>
      <w:r w:rsidR="0027239B" w:rsidRPr="0027239B">
        <w:rPr>
          <w:noProof/>
          <w:color w:val="000000"/>
          <w:sz w:val="22"/>
          <w:szCs w:val="22"/>
        </w:rPr>
        <w:t>[20]</w:t>
      </w:r>
      <w:r w:rsidR="0027239B">
        <w:rPr>
          <w:color w:val="000000"/>
          <w:sz w:val="22"/>
          <w:szCs w:val="22"/>
        </w:rPr>
        <w:fldChar w:fldCharType="end"/>
      </w:r>
      <w:r w:rsidRPr="00F211F4">
        <w:rPr>
          <w:color w:val="000000"/>
          <w:sz w:val="22"/>
          <w:szCs w:val="22"/>
        </w:rPr>
        <w:t xml:space="preserve">. </w:t>
      </w:r>
    </w:p>
    <w:p w14:paraId="50FAD28C" w14:textId="77777777" w:rsidR="009E38E3" w:rsidRPr="009E38E3" w:rsidRDefault="004137DA" w:rsidP="00A91D6C">
      <w:pPr>
        <w:pStyle w:val="NormalWeb"/>
        <w:shd w:val="clear" w:color="auto" w:fill="FFFFFF"/>
        <w:spacing w:before="0" w:beforeAutospacing="0" w:after="150" w:afterAutospacing="0"/>
        <w:jc w:val="both"/>
        <w:rPr>
          <w:color w:val="000000"/>
          <w:sz w:val="22"/>
          <w:szCs w:val="22"/>
        </w:rPr>
      </w:pPr>
      <m:oMathPara>
        <m:oMath>
          <m:r>
            <w:rPr>
              <w:rFonts w:ascii="Cambria Math" w:hAnsi="Cambria Math"/>
              <w:noProof/>
              <w:color w:val="000000"/>
              <w:sz w:val="22"/>
              <w:szCs w:val="22"/>
            </w:rPr>
            <m:t xml:space="preserve">Velocity= </m:t>
          </m:r>
          <m:f>
            <m:fPr>
              <m:ctrlPr>
                <w:rPr>
                  <w:rFonts w:ascii="Cambria Math" w:hAnsi="Cambria Math"/>
                  <w:i/>
                  <w:noProof/>
                  <w:color w:val="000000"/>
                  <w:sz w:val="22"/>
                  <w:szCs w:val="22"/>
                </w:rPr>
              </m:ctrlPr>
            </m:fPr>
            <m:num>
              <m:r>
                <w:rPr>
                  <w:rFonts w:ascii="Cambria Math" w:hAnsi="Cambria Math"/>
                  <w:noProof/>
                  <w:color w:val="000000"/>
                  <w:sz w:val="22"/>
                  <w:szCs w:val="22"/>
                </w:rPr>
                <m:t xml:space="preserve">Distance </m:t>
              </m:r>
            </m:num>
            <m:den>
              <m:r>
                <w:rPr>
                  <w:rFonts w:ascii="Cambria Math" w:hAnsi="Cambria Math"/>
                  <w:noProof/>
                  <w:color w:val="000000"/>
                  <w:sz w:val="22"/>
                  <w:szCs w:val="22"/>
                </w:rPr>
                <m:t>time</m:t>
              </m:r>
            </m:den>
          </m:f>
        </m:oMath>
      </m:oMathPara>
    </w:p>
    <w:p w14:paraId="416C2CEF" w14:textId="77777777" w:rsidR="006E7081" w:rsidRPr="006E7081" w:rsidRDefault="004137DA" w:rsidP="00A91D6C">
      <w:pPr>
        <w:pStyle w:val="NormalWeb"/>
        <w:shd w:val="clear" w:color="auto" w:fill="FFFFFF"/>
        <w:spacing w:before="0" w:beforeAutospacing="0" w:after="150" w:afterAutospacing="0"/>
        <w:jc w:val="both"/>
        <w:rPr>
          <w:color w:val="000000"/>
          <w:sz w:val="22"/>
          <w:szCs w:val="22"/>
        </w:rPr>
      </w:pPr>
      <m:oMathPara>
        <m:oMath>
          <m:r>
            <w:rPr>
              <w:rFonts w:ascii="Cambria Math" w:hAnsi="Cambria Math"/>
              <w:noProof/>
              <w:color w:val="000000"/>
              <w:sz w:val="22"/>
              <w:szCs w:val="22"/>
            </w:rPr>
            <m:t xml:space="preserve"> v=</m:t>
          </m:r>
          <m:f>
            <m:fPr>
              <m:ctrlPr>
                <w:rPr>
                  <w:rFonts w:ascii="Cambria Math" w:hAnsi="Cambria Math"/>
                  <w:i/>
                  <w:noProof/>
                  <w:color w:val="000000"/>
                  <w:sz w:val="22"/>
                  <w:szCs w:val="22"/>
                </w:rPr>
              </m:ctrlPr>
            </m:fPr>
            <m:num>
              <m:r>
                <w:rPr>
                  <w:rFonts w:ascii="Cambria Math" w:hAnsi="Cambria Math"/>
                  <w:noProof/>
                  <w:color w:val="000000"/>
                  <w:sz w:val="22"/>
                  <w:szCs w:val="22"/>
                </w:rPr>
                <m:t>λ</m:t>
              </m:r>
            </m:num>
            <m:den>
              <m:r>
                <w:rPr>
                  <w:rFonts w:ascii="Cambria Math" w:hAnsi="Cambria Math"/>
                  <w:noProof/>
                  <w:color w:val="000000"/>
                  <w:sz w:val="22"/>
                  <w:szCs w:val="22"/>
                </w:rPr>
                <m:t>T</m:t>
              </m:r>
            </m:den>
          </m:f>
        </m:oMath>
      </m:oMathPara>
    </w:p>
    <w:p w14:paraId="6E04B220" w14:textId="77777777" w:rsidR="004137DA" w:rsidRPr="00F211F4" w:rsidRDefault="004137DA" w:rsidP="00A91D6C">
      <w:pPr>
        <w:pStyle w:val="NormalWeb"/>
        <w:shd w:val="clear" w:color="auto" w:fill="FFFFFF"/>
        <w:spacing w:before="0" w:beforeAutospacing="0" w:after="150" w:afterAutospacing="0"/>
        <w:jc w:val="both"/>
        <w:rPr>
          <w:noProof/>
          <w:color w:val="000000"/>
          <w:sz w:val="22"/>
          <w:szCs w:val="22"/>
        </w:rPr>
      </w:pPr>
      <m:oMathPara>
        <m:oMath>
          <m:r>
            <w:rPr>
              <w:rFonts w:ascii="Cambria Math" w:hAnsi="Cambria Math"/>
              <w:noProof/>
              <w:color w:val="000000"/>
              <w:sz w:val="22"/>
              <w:szCs w:val="22"/>
            </w:rPr>
            <m:t>v= λ</m:t>
          </m:r>
          <m:f>
            <m:fPr>
              <m:ctrlPr>
                <w:rPr>
                  <w:rFonts w:ascii="Cambria Math" w:hAnsi="Cambria Math"/>
                  <w:i/>
                  <w:noProof/>
                  <w:color w:val="000000"/>
                  <w:sz w:val="22"/>
                  <w:szCs w:val="22"/>
                </w:rPr>
              </m:ctrlPr>
            </m:fPr>
            <m:num>
              <m:r>
                <w:rPr>
                  <w:rFonts w:ascii="Cambria Math" w:hAnsi="Cambria Math"/>
                  <w:noProof/>
                  <w:color w:val="000000"/>
                  <w:sz w:val="22"/>
                  <w:szCs w:val="22"/>
                </w:rPr>
                <m:t>1</m:t>
              </m:r>
            </m:num>
            <m:den>
              <m:r>
                <w:rPr>
                  <w:rFonts w:ascii="Cambria Math" w:hAnsi="Cambria Math"/>
                  <w:noProof/>
                  <w:color w:val="000000"/>
                  <w:sz w:val="22"/>
                  <w:szCs w:val="22"/>
                </w:rPr>
                <m:t xml:space="preserve">T </m:t>
              </m:r>
            </m:den>
          </m:f>
        </m:oMath>
      </m:oMathPara>
    </w:p>
    <w:p w14:paraId="453265A5" w14:textId="77777777" w:rsidR="009E38E3" w:rsidRDefault="004137DA" w:rsidP="00A91D6C">
      <w:pPr>
        <w:pStyle w:val="NormalWeb"/>
        <w:shd w:val="clear" w:color="auto" w:fill="FFFFFF"/>
        <w:spacing w:before="0" w:beforeAutospacing="0" w:after="150" w:afterAutospacing="0"/>
        <w:jc w:val="both"/>
        <w:rPr>
          <w:noProof/>
          <w:color w:val="000000"/>
          <w:sz w:val="22"/>
          <w:szCs w:val="22"/>
        </w:rPr>
      </w:pPr>
      <w:r w:rsidRPr="00F211F4">
        <w:rPr>
          <w:noProof/>
          <w:color w:val="000000"/>
          <w:sz w:val="22"/>
          <w:szCs w:val="22"/>
        </w:rPr>
        <w:t xml:space="preserve">Because </w:t>
      </w:r>
      <m:oMath>
        <m:r>
          <w:rPr>
            <w:rFonts w:ascii="Cambria Math" w:hAnsi="Cambria Math"/>
            <w:color w:val="000000"/>
            <w:sz w:val="22"/>
            <w:szCs w:val="22"/>
          </w:rPr>
          <m:t>f=</m:t>
        </m:r>
        <m:f>
          <m:fPr>
            <m:ctrlPr>
              <w:rPr>
                <w:rFonts w:ascii="Cambria Math" w:hAnsi="Cambria Math"/>
                <w:i/>
                <w:color w:val="000000"/>
                <w:sz w:val="22"/>
                <w:szCs w:val="22"/>
              </w:rPr>
            </m:ctrlPr>
          </m:fPr>
          <m:num>
            <m:r>
              <w:rPr>
                <w:rFonts w:ascii="Cambria Math" w:hAnsi="Cambria Math"/>
                <w:color w:val="000000"/>
                <w:sz w:val="22"/>
                <w:szCs w:val="22"/>
              </w:rPr>
              <m:t>1</m:t>
            </m:r>
          </m:num>
          <m:den>
            <m:r>
              <w:rPr>
                <w:rFonts w:ascii="Cambria Math" w:hAnsi="Cambria Math"/>
                <w:color w:val="000000"/>
                <w:sz w:val="22"/>
                <w:szCs w:val="22"/>
              </w:rPr>
              <m:t xml:space="preserve">T </m:t>
            </m:r>
          </m:den>
        </m:f>
      </m:oMath>
      <w:r w:rsidR="00872B38" w:rsidRPr="00F211F4">
        <w:rPr>
          <w:noProof/>
          <w:color w:val="000000"/>
          <w:sz w:val="22"/>
          <w:szCs w:val="22"/>
        </w:rPr>
        <w:t xml:space="preserve">, </w:t>
      </w:r>
      <w:r w:rsidRPr="00F211F4">
        <w:rPr>
          <w:noProof/>
          <w:color w:val="000000"/>
          <w:sz w:val="22"/>
          <w:szCs w:val="22"/>
        </w:rPr>
        <w:t xml:space="preserve">therefore, </w:t>
      </w:r>
      <m:oMath>
        <m:r>
          <w:rPr>
            <w:rFonts w:ascii="Cambria Math" w:hAnsi="Cambria Math"/>
            <w:noProof/>
            <w:color w:val="000000"/>
            <w:sz w:val="22"/>
            <w:szCs w:val="22"/>
          </w:rPr>
          <m:t>v=fλ</m:t>
        </m:r>
      </m:oMath>
      <w:r w:rsidR="00872B38" w:rsidRPr="00F211F4">
        <w:rPr>
          <w:noProof/>
          <w:color w:val="000000"/>
          <w:sz w:val="22"/>
          <w:szCs w:val="22"/>
        </w:rPr>
        <w:t xml:space="preserve">, </w:t>
      </w:r>
    </w:p>
    <w:p w14:paraId="397233B3" w14:textId="77777777" w:rsidR="00A91D6C" w:rsidRPr="00F211F4" w:rsidRDefault="00A91D6C" w:rsidP="00A91D6C">
      <w:pPr>
        <w:pStyle w:val="NormalWeb"/>
        <w:shd w:val="clear" w:color="auto" w:fill="FFFFFF"/>
        <w:spacing w:before="0" w:beforeAutospacing="0" w:after="150" w:afterAutospacing="0"/>
        <w:jc w:val="both"/>
        <w:rPr>
          <w:color w:val="000000"/>
          <w:sz w:val="22"/>
          <w:szCs w:val="22"/>
        </w:rPr>
      </w:pPr>
      <w:r w:rsidRPr="00F211F4">
        <w:rPr>
          <w:color w:val="000000"/>
          <w:sz w:val="22"/>
          <w:szCs w:val="22"/>
        </w:rPr>
        <w:t>It means,</w:t>
      </w:r>
      <w:r w:rsidR="004137DA" w:rsidRPr="00F211F4">
        <w:rPr>
          <w:color w:val="000000"/>
          <w:sz w:val="22"/>
          <w:szCs w:val="22"/>
        </w:rPr>
        <w:t xml:space="preserve"> </w:t>
      </w:r>
      <m:oMath>
        <m:r>
          <w:rPr>
            <w:rFonts w:ascii="Cambria Math" w:hAnsi="Cambria Math"/>
            <w:color w:val="000000"/>
            <w:sz w:val="22"/>
            <w:szCs w:val="22"/>
          </w:rPr>
          <m:t>wave velocity=wave frequency ×wave length</m:t>
        </m:r>
      </m:oMath>
      <w:r w:rsidR="00872B38" w:rsidRPr="00F211F4">
        <w:rPr>
          <w:color w:val="000000"/>
          <w:sz w:val="22"/>
          <w:szCs w:val="22"/>
        </w:rPr>
        <w:t>.</w:t>
      </w:r>
    </w:p>
    <w:p w14:paraId="6D361BD0" w14:textId="77777777" w:rsidR="00872B38" w:rsidRPr="00F211F4" w:rsidRDefault="00DA026E" w:rsidP="00872B38">
      <w:pPr>
        <w:spacing w:line="240" w:lineRule="auto"/>
        <w:ind w:firstLine="720"/>
        <w:jc w:val="both"/>
        <w:rPr>
          <w:rFonts w:ascii="Times New Roman" w:hAnsi="Times New Roman" w:cs="Times New Roman"/>
        </w:rPr>
      </w:pPr>
      <w:r w:rsidRPr="00DA026E">
        <w:rPr>
          <w:rFonts w:ascii="Times New Roman" w:hAnsi="Times New Roman" w:cs="Times New Roman"/>
        </w:rPr>
        <w:t xml:space="preserve">Figure 1 and Figure 2 have shown the difference in how the </w:t>
      </w:r>
      <w:proofErr w:type="spellStart"/>
      <w:r w:rsidRPr="00DA026E">
        <w:rPr>
          <w:rFonts w:ascii="Times New Roman" w:hAnsi="Times New Roman" w:cs="Times New Roman"/>
        </w:rPr>
        <w:t>olabs</w:t>
      </w:r>
      <w:proofErr w:type="spellEnd"/>
      <w:r w:rsidRPr="00DA026E">
        <w:rPr>
          <w:rFonts w:ascii="Times New Roman" w:hAnsi="Times New Roman" w:cs="Times New Roman"/>
        </w:rPr>
        <w:t xml:space="preserve"> and </w:t>
      </w:r>
      <w:proofErr w:type="spellStart"/>
      <w:r w:rsidRPr="00DA026E">
        <w:rPr>
          <w:rFonts w:ascii="Times New Roman" w:hAnsi="Times New Roman" w:cs="Times New Roman"/>
        </w:rPr>
        <w:t>PhET</w:t>
      </w:r>
      <w:proofErr w:type="spellEnd"/>
      <w:r w:rsidRPr="00DA026E">
        <w:rPr>
          <w:rFonts w:ascii="Times New Roman" w:hAnsi="Times New Roman" w:cs="Times New Roman"/>
        </w:rPr>
        <w:t xml:space="preserve"> applications teach the concept of oscillators and waves. Especially the concept of wavelength, period and frequency in the concept of propagating waves based on the direction of propagation. </w:t>
      </w:r>
      <w:proofErr w:type="spellStart"/>
      <w:r w:rsidRPr="00DA026E">
        <w:rPr>
          <w:rFonts w:ascii="Times New Roman" w:hAnsi="Times New Roman" w:cs="Times New Roman"/>
        </w:rPr>
        <w:t>Olabs</w:t>
      </w:r>
      <w:proofErr w:type="spellEnd"/>
      <w:r w:rsidRPr="00DA026E">
        <w:rPr>
          <w:rFonts w:ascii="Times New Roman" w:hAnsi="Times New Roman" w:cs="Times New Roman"/>
        </w:rPr>
        <w:t xml:space="preserve"> uses slinky</w:t>
      </w:r>
      <w:r>
        <w:rPr>
          <w:rFonts w:ascii="Times New Roman" w:hAnsi="Times New Roman" w:cs="Times New Roman"/>
          <w:lang w:val="id-ID"/>
        </w:rPr>
        <w:t xml:space="preserve"> as object</w:t>
      </w:r>
      <w:r w:rsidRPr="00DA026E">
        <w:rPr>
          <w:rFonts w:ascii="Times New Roman" w:hAnsi="Times New Roman" w:cs="Times New Roman"/>
        </w:rPr>
        <w:t xml:space="preserve"> while </w:t>
      </w:r>
      <w:proofErr w:type="spellStart"/>
      <w:r w:rsidRPr="00DA026E">
        <w:rPr>
          <w:rFonts w:ascii="Times New Roman" w:hAnsi="Times New Roman" w:cs="Times New Roman"/>
        </w:rPr>
        <w:t>PhET</w:t>
      </w:r>
      <w:proofErr w:type="spellEnd"/>
      <w:r w:rsidRPr="00DA026E">
        <w:rPr>
          <w:rFonts w:ascii="Times New Roman" w:hAnsi="Times New Roman" w:cs="Times New Roman"/>
        </w:rPr>
        <w:t xml:space="preserve"> uses strings</w:t>
      </w:r>
      <w:r>
        <w:rPr>
          <w:rFonts w:ascii="Times New Roman" w:hAnsi="Times New Roman" w:cs="Times New Roman"/>
          <w:lang w:val="id-ID"/>
        </w:rPr>
        <w:t xml:space="preserve"> as object. </w:t>
      </w:r>
      <w:proofErr w:type="spellStart"/>
      <w:r w:rsidR="00872B38" w:rsidRPr="00F211F4">
        <w:rPr>
          <w:rFonts w:ascii="Times New Roman" w:hAnsi="Times New Roman" w:cs="Times New Roman"/>
        </w:rPr>
        <w:t>Olabs</w:t>
      </w:r>
      <w:proofErr w:type="spellEnd"/>
      <w:r w:rsidR="00872B38" w:rsidRPr="00F211F4">
        <w:rPr>
          <w:rFonts w:ascii="Times New Roman" w:hAnsi="Times New Roman" w:cs="Times New Roman"/>
        </w:rPr>
        <w:t xml:space="preserve"> has been able to explain precisely the concept of vibrations, wavelengths, frequencies and periods. Physical transverse waves have been described in terms of visible peaks and troughs when the free end of the slinky / </w:t>
      </w:r>
      <w:r w:rsidR="00B77153" w:rsidRPr="00F211F4">
        <w:rPr>
          <w:rFonts w:ascii="Times New Roman" w:hAnsi="Times New Roman" w:cs="Times New Roman"/>
        </w:rPr>
        <w:t>string</w:t>
      </w:r>
      <w:r w:rsidR="00872B38" w:rsidRPr="00F211F4">
        <w:rPr>
          <w:rFonts w:ascii="Times New Roman" w:hAnsi="Times New Roman" w:cs="Times New Roman"/>
        </w:rPr>
        <w:t xml:space="preserve"> is jerked at right angles to its length. The concept of longitudinal waves has been physically explained by the compression and smoothing seen when the free end of the slinky / </w:t>
      </w:r>
      <w:r w:rsidR="00B77153" w:rsidRPr="00F211F4">
        <w:rPr>
          <w:rFonts w:ascii="Times New Roman" w:hAnsi="Times New Roman" w:cs="Times New Roman"/>
        </w:rPr>
        <w:t>string</w:t>
      </w:r>
      <w:r w:rsidR="00872B38" w:rsidRPr="00F211F4">
        <w:rPr>
          <w:rFonts w:ascii="Times New Roman" w:hAnsi="Times New Roman" w:cs="Times New Roman"/>
        </w:rPr>
        <w:t xml:space="preserve"> is compressed periodically.</w:t>
      </w:r>
      <w:r w:rsidR="00B77153" w:rsidRPr="00F211F4">
        <w:rPr>
          <w:rFonts w:ascii="Times New Roman" w:hAnsi="Times New Roman" w:cs="Times New Roman"/>
        </w:rPr>
        <w:t xml:space="preserve"> </w:t>
      </w:r>
      <w:proofErr w:type="spellStart"/>
      <w:r w:rsidR="00872B38" w:rsidRPr="00F211F4">
        <w:rPr>
          <w:rFonts w:ascii="Times New Roman" w:hAnsi="Times New Roman" w:cs="Times New Roman"/>
        </w:rPr>
        <w:t>Olabs</w:t>
      </w:r>
      <w:proofErr w:type="spellEnd"/>
      <w:r w:rsidR="00872B38" w:rsidRPr="00F211F4">
        <w:rPr>
          <w:rFonts w:ascii="Times New Roman" w:hAnsi="Times New Roman" w:cs="Times New Roman"/>
        </w:rPr>
        <w:t xml:space="preserve"> has been developed by the ministry of electronics </w:t>
      </w:r>
      <w:r w:rsidR="00872B38" w:rsidRPr="00F211F4">
        <w:rPr>
          <w:rFonts w:ascii="Times New Roman" w:hAnsi="Times New Roman" w:cs="Times New Roman"/>
        </w:rPr>
        <w:lastRenderedPageBreak/>
        <w:t xml:space="preserve">and information technology, India. So that the application presented is adjusted to the grade of the student class. This causes this application to be more targeted and in accordance with the needs of the concept of education at the junior and senior high school levels. </w:t>
      </w:r>
      <w:proofErr w:type="spellStart"/>
      <w:r w:rsidR="00872B38" w:rsidRPr="00F211F4">
        <w:rPr>
          <w:rFonts w:ascii="Times New Roman" w:hAnsi="Times New Roman" w:cs="Times New Roman"/>
        </w:rPr>
        <w:t>Olabs</w:t>
      </w:r>
      <w:proofErr w:type="spellEnd"/>
      <w:r w:rsidR="00872B38" w:rsidRPr="00F211F4">
        <w:rPr>
          <w:rFonts w:ascii="Times New Roman" w:hAnsi="Times New Roman" w:cs="Times New Roman"/>
        </w:rPr>
        <w:t xml:space="preserve"> has been equipped with description features about theory, procedure, animation, simulator, video, resources, voice and feedback.</w:t>
      </w:r>
      <w:r w:rsidR="00100AAF" w:rsidRPr="00F211F4">
        <w:rPr>
          <w:rFonts w:ascii="Times New Roman" w:hAnsi="Times New Roman" w:cs="Times New Roman"/>
        </w:rPr>
        <w:t xml:space="preserve"> However, </w:t>
      </w:r>
      <w:proofErr w:type="spellStart"/>
      <w:r w:rsidR="00100AAF" w:rsidRPr="00F211F4">
        <w:rPr>
          <w:rFonts w:ascii="Times New Roman" w:hAnsi="Times New Roman" w:cs="Times New Roman"/>
        </w:rPr>
        <w:t>Olabs</w:t>
      </w:r>
      <w:proofErr w:type="spellEnd"/>
      <w:r w:rsidR="00100AAF" w:rsidRPr="00F211F4">
        <w:rPr>
          <w:rFonts w:ascii="Times New Roman" w:hAnsi="Times New Roman" w:cs="Times New Roman"/>
        </w:rPr>
        <w:t xml:space="preserve"> has limited depth of concept delivery. Even though it has many supporting features, the </w:t>
      </w:r>
      <w:proofErr w:type="spellStart"/>
      <w:r w:rsidR="00100AAF" w:rsidRPr="00F211F4">
        <w:rPr>
          <w:rFonts w:ascii="Times New Roman" w:hAnsi="Times New Roman" w:cs="Times New Roman"/>
        </w:rPr>
        <w:t>Olabs</w:t>
      </w:r>
      <w:proofErr w:type="spellEnd"/>
      <w:r w:rsidR="00100AAF" w:rsidRPr="00F211F4">
        <w:rPr>
          <w:rFonts w:ascii="Times New Roman" w:hAnsi="Times New Roman" w:cs="Times New Roman"/>
        </w:rPr>
        <w:t xml:space="preserve"> display simul</w:t>
      </w:r>
      <w:r w:rsidR="001F23A5">
        <w:rPr>
          <w:rFonts w:ascii="Times New Roman" w:hAnsi="Times New Roman" w:cs="Times New Roman"/>
        </w:rPr>
        <w:t>ation aspect is simpler than P</w:t>
      </w:r>
      <w:r w:rsidR="001F23A5">
        <w:rPr>
          <w:rFonts w:ascii="Times New Roman" w:hAnsi="Times New Roman" w:cs="Times New Roman"/>
          <w:lang w:val="id-ID"/>
        </w:rPr>
        <w:t>hET</w:t>
      </w:r>
      <w:r w:rsidR="00100AAF" w:rsidRPr="00F211F4">
        <w:rPr>
          <w:rFonts w:ascii="Times New Roman" w:hAnsi="Times New Roman" w:cs="Times New Roman"/>
        </w:rPr>
        <w:t>.</w:t>
      </w:r>
    </w:p>
    <w:p w14:paraId="4FD5E6D5" w14:textId="77777777" w:rsidR="005F384D" w:rsidRPr="00F211F4" w:rsidRDefault="005F384D" w:rsidP="00A91D6C">
      <w:pPr>
        <w:spacing w:line="240" w:lineRule="auto"/>
        <w:jc w:val="both"/>
        <w:rPr>
          <w:rFonts w:ascii="Times New Roman" w:hAnsi="Times New Roman" w:cs="Times New Roman"/>
        </w:rPr>
      </w:pPr>
      <w:r w:rsidRPr="00F211F4">
        <w:rPr>
          <w:rFonts w:ascii="Times New Roman" w:hAnsi="Times New Roman" w:cs="Times New Roman"/>
          <w:noProof/>
          <w:lang w:val="id-ID" w:eastAsia="id-ID"/>
        </w:rPr>
        <w:drawing>
          <wp:inline distT="0" distB="0" distL="0" distR="0" wp14:anchorId="08160149" wp14:editId="4F3C1141">
            <wp:extent cx="5943600" cy="3067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b="7895"/>
                    <a:stretch/>
                  </pic:blipFill>
                  <pic:spPr bwMode="auto">
                    <a:xfrm>
                      <a:off x="0" y="0"/>
                      <a:ext cx="5943600" cy="3067050"/>
                    </a:xfrm>
                    <a:prstGeom prst="rect">
                      <a:avLst/>
                    </a:prstGeom>
                    <a:ln>
                      <a:noFill/>
                    </a:ln>
                    <a:extLst>
                      <a:ext uri="{53640926-AAD7-44D8-BBD7-CCE9431645EC}">
                        <a14:shadowObscured xmlns:a14="http://schemas.microsoft.com/office/drawing/2010/main"/>
                      </a:ext>
                    </a:extLst>
                  </pic:spPr>
                </pic:pic>
              </a:graphicData>
            </a:graphic>
          </wp:inline>
        </w:drawing>
      </w:r>
    </w:p>
    <w:p w14:paraId="5C056559" w14:textId="77777777" w:rsidR="005F384D" w:rsidRPr="00F211F4" w:rsidRDefault="00B77153" w:rsidP="00B77153">
      <w:pPr>
        <w:spacing w:line="240" w:lineRule="auto"/>
        <w:jc w:val="center"/>
        <w:rPr>
          <w:rFonts w:ascii="Times New Roman" w:hAnsi="Times New Roman" w:cs="Times New Roman"/>
        </w:rPr>
      </w:pPr>
      <w:r w:rsidRPr="00F211F4">
        <w:rPr>
          <w:rFonts w:ascii="Times New Roman" w:hAnsi="Times New Roman" w:cs="Times New Roman"/>
        </w:rPr>
        <w:t xml:space="preserve">Figure 1. </w:t>
      </w:r>
      <w:proofErr w:type="spellStart"/>
      <w:r w:rsidRPr="00F211F4">
        <w:rPr>
          <w:rFonts w:ascii="Times New Roman" w:hAnsi="Times New Roman" w:cs="Times New Roman"/>
        </w:rPr>
        <w:t>Olabs</w:t>
      </w:r>
      <w:proofErr w:type="spellEnd"/>
      <w:r w:rsidRPr="00F211F4">
        <w:rPr>
          <w:rFonts w:ascii="Times New Roman" w:hAnsi="Times New Roman" w:cs="Times New Roman"/>
        </w:rPr>
        <w:t xml:space="preserve"> explaining the concept of wave, amplitude, wavelength and frequency by slinky</w:t>
      </w:r>
    </w:p>
    <w:p w14:paraId="560DFDB8" w14:textId="77777777" w:rsidR="00B77153" w:rsidRPr="00F211F4" w:rsidRDefault="00B77153" w:rsidP="00B77153">
      <w:pPr>
        <w:spacing w:line="240" w:lineRule="auto"/>
        <w:jc w:val="center"/>
        <w:rPr>
          <w:rFonts w:ascii="Times New Roman" w:hAnsi="Times New Roman" w:cs="Times New Roman"/>
        </w:rPr>
      </w:pPr>
    </w:p>
    <w:p w14:paraId="71CB5561" w14:textId="77777777" w:rsidR="00B77153" w:rsidRPr="00F211F4" w:rsidRDefault="00B77153" w:rsidP="00B77153">
      <w:pPr>
        <w:spacing w:line="240" w:lineRule="auto"/>
        <w:jc w:val="center"/>
        <w:rPr>
          <w:rFonts w:ascii="Times New Roman" w:hAnsi="Times New Roman" w:cs="Times New Roman"/>
        </w:rPr>
      </w:pPr>
      <w:r w:rsidRPr="00F211F4">
        <w:rPr>
          <w:rFonts w:ascii="Times New Roman" w:hAnsi="Times New Roman" w:cs="Times New Roman"/>
          <w:noProof/>
          <w:lang w:val="id-ID" w:eastAsia="id-ID"/>
        </w:rPr>
        <w:drawing>
          <wp:inline distT="0" distB="0" distL="0" distR="0" wp14:anchorId="4E6ECC3F" wp14:editId="0B9E5A5E">
            <wp:extent cx="4299093" cy="19621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10521" cy="1967366"/>
                    </a:xfrm>
                    <a:prstGeom prst="rect">
                      <a:avLst/>
                    </a:prstGeom>
                  </pic:spPr>
                </pic:pic>
              </a:graphicData>
            </a:graphic>
          </wp:inline>
        </w:drawing>
      </w:r>
    </w:p>
    <w:p w14:paraId="20976CC4" w14:textId="77777777" w:rsidR="00B77153" w:rsidRPr="00F211F4" w:rsidRDefault="00B77153" w:rsidP="00B77153">
      <w:pPr>
        <w:spacing w:line="240" w:lineRule="auto"/>
        <w:jc w:val="center"/>
        <w:rPr>
          <w:rFonts w:ascii="Times New Roman" w:hAnsi="Times New Roman" w:cs="Times New Roman"/>
        </w:rPr>
      </w:pPr>
      <w:r w:rsidRPr="00F211F4">
        <w:rPr>
          <w:rFonts w:ascii="Times New Roman" w:hAnsi="Times New Roman" w:cs="Times New Roman"/>
        </w:rPr>
        <w:t xml:space="preserve">Figure 2. </w:t>
      </w:r>
      <w:proofErr w:type="spellStart"/>
      <w:r w:rsidRPr="00F211F4">
        <w:rPr>
          <w:rFonts w:ascii="Times New Roman" w:hAnsi="Times New Roman" w:cs="Times New Roman"/>
        </w:rPr>
        <w:t>PhET</w:t>
      </w:r>
      <w:proofErr w:type="spellEnd"/>
      <w:r w:rsidRPr="00F211F4">
        <w:rPr>
          <w:rFonts w:ascii="Times New Roman" w:hAnsi="Times New Roman" w:cs="Times New Roman"/>
        </w:rPr>
        <w:t xml:space="preserve"> explaining the concept of wave, amplitude, wavelength and frequency by string</w:t>
      </w:r>
    </w:p>
    <w:p w14:paraId="6C345EDC" w14:textId="77777777" w:rsidR="00B77153" w:rsidRPr="00F211F4" w:rsidRDefault="00B77153" w:rsidP="00B77153">
      <w:pPr>
        <w:spacing w:line="240" w:lineRule="auto"/>
        <w:jc w:val="center"/>
        <w:rPr>
          <w:rFonts w:ascii="Times New Roman" w:hAnsi="Times New Roman" w:cs="Times New Roman"/>
        </w:rPr>
      </w:pPr>
    </w:p>
    <w:p w14:paraId="30281EF3" w14:textId="77777777" w:rsidR="00E04BFF" w:rsidRPr="00F211F4" w:rsidRDefault="00100AAF" w:rsidP="008F1025">
      <w:pPr>
        <w:spacing w:after="0" w:line="240" w:lineRule="auto"/>
        <w:ind w:firstLine="720"/>
        <w:jc w:val="both"/>
        <w:rPr>
          <w:rFonts w:ascii="Times New Roman" w:hAnsi="Times New Roman" w:cs="Times New Roman"/>
        </w:rPr>
      </w:pPr>
      <w:proofErr w:type="spellStart"/>
      <w:r w:rsidRPr="00F211F4">
        <w:rPr>
          <w:rFonts w:ascii="Times New Roman" w:hAnsi="Times New Roman" w:cs="Times New Roman"/>
        </w:rPr>
        <w:t>PhET</w:t>
      </w:r>
      <w:proofErr w:type="spellEnd"/>
      <w:r w:rsidRPr="00F211F4">
        <w:rPr>
          <w:rFonts w:ascii="Times New Roman" w:hAnsi="Times New Roman" w:cs="Times New Roman"/>
        </w:rPr>
        <w:t xml:space="preserve"> has been able to display simulations with many features so that students can understand the concept of waves more deeply. although this has not been able to explain the difference in the concept of transverse waves and longitudinal waves. </w:t>
      </w:r>
      <w:proofErr w:type="spellStart"/>
      <w:r w:rsidRPr="00F211F4">
        <w:rPr>
          <w:rFonts w:ascii="Times New Roman" w:hAnsi="Times New Roman" w:cs="Times New Roman"/>
        </w:rPr>
        <w:t>PhEt</w:t>
      </w:r>
      <w:proofErr w:type="spellEnd"/>
      <w:r w:rsidRPr="00F211F4">
        <w:rPr>
          <w:rFonts w:ascii="Times New Roman" w:hAnsi="Times New Roman" w:cs="Times New Roman"/>
        </w:rPr>
        <w:t xml:space="preserve"> has only explained the concept of transverse waves. </w:t>
      </w:r>
      <w:proofErr w:type="spellStart"/>
      <w:r w:rsidRPr="00F211F4">
        <w:rPr>
          <w:rFonts w:ascii="Times New Roman" w:hAnsi="Times New Roman" w:cs="Times New Roman"/>
        </w:rPr>
        <w:t>PhET</w:t>
      </w:r>
      <w:proofErr w:type="spellEnd"/>
      <w:r w:rsidRPr="00F211F4">
        <w:rPr>
          <w:rFonts w:ascii="Times New Roman" w:hAnsi="Times New Roman" w:cs="Times New Roman"/>
        </w:rPr>
        <w:t xml:space="preserve"> Colorado has been developed by the university of Colorado, USA. The level of concepts taught is more profound and varied. However, for the junior and senior high school levels, it is sometimes too detailed to </w:t>
      </w:r>
      <w:r w:rsidRPr="00F211F4">
        <w:rPr>
          <w:rFonts w:ascii="Times New Roman" w:hAnsi="Times New Roman" w:cs="Times New Roman"/>
        </w:rPr>
        <w:lastRenderedPageBreak/>
        <w:t xml:space="preserve">exceed the expected learning outcomes so that it seems futile. Unlike </w:t>
      </w:r>
      <w:proofErr w:type="spellStart"/>
      <w:r w:rsidRPr="00F211F4">
        <w:rPr>
          <w:rFonts w:ascii="Times New Roman" w:hAnsi="Times New Roman" w:cs="Times New Roman"/>
        </w:rPr>
        <w:t>Olabs</w:t>
      </w:r>
      <w:proofErr w:type="spellEnd"/>
      <w:r w:rsidRPr="00F211F4">
        <w:rPr>
          <w:rFonts w:ascii="Times New Roman" w:hAnsi="Times New Roman" w:cs="Times New Roman"/>
        </w:rPr>
        <w:t xml:space="preserve"> which is equipped with various features, </w:t>
      </w:r>
      <w:proofErr w:type="spellStart"/>
      <w:r w:rsidRPr="00F211F4">
        <w:rPr>
          <w:rFonts w:ascii="Times New Roman" w:hAnsi="Times New Roman" w:cs="Times New Roman"/>
        </w:rPr>
        <w:t>PhET</w:t>
      </w:r>
      <w:proofErr w:type="spellEnd"/>
      <w:r w:rsidRPr="00F211F4">
        <w:rPr>
          <w:rFonts w:ascii="Times New Roman" w:hAnsi="Times New Roman" w:cs="Times New Roman"/>
        </w:rPr>
        <w:t xml:space="preserve"> Colorado only provides interactive simulation features with a more attractive and more comprehensive appearance. </w:t>
      </w:r>
    </w:p>
    <w:p w14:paraId="0E382207" w14:textId="77777777" w:rsidR="00931469" w:rsidRDefault="00A549FD" w:rsidP="008F1025">
      <w:pPr>
        <w:spacing w:after="0" w:line="240" w:lineRule="auto"/>
        <w:ind w:firstLine="720"/>
        <w:jc w:val="both"/>
        <w:rPr>
          <w:rFonts w:ascii="Times New Roman" w:hAnsi="Times New Roman" w:cs="Times New Roman"/>
        </w:rPr>
      </w:pPr>
      <w:r w:rsidRPr="00F211F4">
        <w:rPr>
          <w:rFonts w:ascii="Times New Roman" w:hAnsi="Times New Roman" w:cs="Times New Roman"/>
        </w:rPr>
        <w:t>This research has focused only on open source applications. So that the application comparison in the concept of oscillations and waves that has been done is less comprehensive. This research does not cover how students understand the application of wave and application concepts in everyday life. whereas the concept of waves based on the direction of propagation can have an impact on how wave attenuation occurs, how the properties of particle motions</w:t>
      </w:r>
      <w:r w:rsidR="002F13C6">
        <w:rPr>
          <w:rFonts w:ascii="Times New Roman" w:hAnsi="Times New Roman" w:cs="Times New Roman"/>
        </w:rPr>
        <w:fldChar w:fldCharType="begin" w:fldLock="1"/>
      </w:r>
      <w:r w:rsidR="0027239B">
        <w:rPr>
          <w:rFonts w:ascii="Times New Roman" w:hAnsi="Times New Roman" w:cs="Times New Roman"/>
        </w:rPr>
        <w:instrText>ADDIN CSL_CITATION {"citationItems":[{"id":"ITEM-1","itemData":{"DOI":"10.1088/1742-6596/1375/1/012079","ISSN":"17426596","abstract":"The purpose of this study is to know how to analyze the seismic signals volcanic to determine subsurface characteristics. The method used to analyze seismic signals volcanic is Fast Fourier Transform. Sample signal seismic wave of this study come from Semeru Volcano and Ijen Volcano signal seismic based on seismogram. The first data are given by swarm and wvw software. Analyze seismic wave in this study proves the existence of a relationship between seismic attributes (frequency, amplitude, time (origin, primer dan secondary) and attenuation) of the characteristics of the earth's surface. This study proved there is the correlation between subsurface characteristics and energy, it shows by attenuation factor value (Q value). The value of factor Q indicates how many waves are absorbed by the medium.","author":[{"dropping-particle":"","family":"Ayu","given":"H. D.","non-dropping-particle":"","parse-names":false,"suffix":""},{"dropping-particle":"","family":"Sarwanto","given":"S.","non-dropping-particle":"","parse-names":false,"suffix":""}],"container-title":"Journal of Physics: Conference Series","id":"ITEM-1","issue":"1","issued":{"date-parts":[["2019"]]},"title":"Analysis of seismic signal in order to determine subsurface characteristics","type":"article-journal","volume":"1375"},"uris":["http://www.mendeley.com/documents/?uuid=32dced1a-0951-4114-a3eb-2af429369bd6","http://www.mendeley.com/documents/?uuid=2a161e35-c7a5-4d81-b1af-1545e522d8e4"]}],"mendeley":{"formattedCitation":"[21]","plainTextFormattedCitation":"[21]","previouslyFormattedCitation":"[21]"},"properties":{"noteIndex":0},"schema":"https://github.com/citation-style-language/schema/raw/master/csl-citation.json"}</w:instrText>
      </w:r>
      <w:r w:rsidR="002F13C6">
        <w:rPr>
          <w:rFonts w:ascii="Times New Roman" w:hAnsi="Times New Roman" w:cs="Times New Roman"/>
        </w:rPr>
        <w:fldChar w:fldCharType="separate"/>
      </w:r>
      <w:r w:rsidR="0027239B" w:rsidRPr="0027239B">
        <w:rPr>
          <w:rFonts w:ascii="Times New Roman" w:hAnsi="Times New Roman" w:cs="Times New Roman"/>
          <w:noProof/>
        </w:rPr>
        <w:t>[21]</w:t>
      </w:r>
      <w:r w:rsidR="002F13C6">
        <w:rPr>
          <w:rFonts w:ascii="Times New Roman" w:hAnsi="Times New Roman" w:cs="Times New Roman"/>
        </w:rPr>
        <w:fldChar w:fldCharType="end"/>
      </w:r>
      <w:r w:rsidR="00F0360B">
        <w:rPr>
          <w:rFonts w:ascii="Times New Roman" w:hAnsi="Times New Roman" w:cs="Times New Roman"/>
        </w:rPr>
        <w:fldChar w:fldCharType="begin" w:fldLock="1"/>
      </w:r>
      <w:r w:rsidR="0027239B">
        <w:rPr>
          <w:rFonts w:ascii="Times New Roman" w:hAnsi="Times New Roman" w:cs="Times New Roman"/>
        </w:rPr>
        <w:instrText>ADDIN CSL_CITATION {"citationItems":[{"id":"ITEM-1","itemData":{"ISBN":"0807746347","author":[{"dropping-particle":"","family":"Aikenhead","given":"Glen S","non-dropping-particle":"","parse-names":false,"suffix":""}],"id":"ITEM-1","issued":{"date-parts":[["2005"]]},"number-of-pages":"192","title":"Science Education for Everyday Life: Evidence-based Practice (Ways of Knowing in Science &amp; Mathematics)","type":"book"},"uris":["http://www.mendeley.com/documents/?uuid=86013d66-daf5-499b-8293-edc336581572","http://www.mendeley.com/documents/?uuid=80115abb-c8f8-44e1-a961-cc7b18c83bc5"]}],"mendeley":{"formattedCitation":"[22]","plainTextFormattedCitation":"[22]","previouslyFormattedCitation":"[22]"},"properties":{"noteIndex":0},"schema":"https://github.com/citation-style-language/schema/raw/master/csl-citation.json"}</w:instrText>
      </w:r>
      <w:r w:rsidR="00F0360B">
        <w:rPr>
          <w:rFonts w:ascii="Times New Roman" w:hAnsi="Times New Roman" w:cs="Times New Roman"/>
        </w:rPr>
        <w:fldChar w:fldCharType="separate"/>
      </w:r>
      <w:r w:rsidR="0027239B" w:rsidRPr="0027239B">
        <w:rPr>
          <w:rFonts w:ascii="Times New Roman" w:hAnsi="Times New Roman" w:cs="Times New Roman"/>
          <w:noProof/>
        </w:rPr>
        <w:t>[22]</w:t>
      </w:r>
      <w:r w:rsidR="00F0360B">
        <w:rPr>
          <w:rFonts w:ascii="Times New Roman" w:hAnsi="Times New Roman" w:cs="Times New Roman"/>
        </w:rPr>
        <w:fldChar w:fldCharType="end"/>
      </w:r>
      <w:r w:rsidR="00F0360B">
        <w:rPr>
          <w:rFonts w:ascii="Times New Roman" w:hAnsi="Times New Roman" w:cs="Times New Roman"/>
        </w:rPr>
        <w:fldChar w:fldCharType="begin" w:fldLock="1"/>
      </w:r>
      <w:r w:rsidR="0027239B">
        <w:rPr>
          <w:rFonts w:ascii="Times New Roman" w:hAnsi="Times New Roman" w:cs="Times New Roman"/>
        </w:rPr>
        <w:instrText>ADDIN CSL_CITATION {"citationItems":[{"id":"ITEM-1","itemData":{"DOI":"10.1016/j.sbspro.2014.03.394","ISSN":"18770428","abstract":"The concept of being online, today, connotes a social experience and social activity is increasingly mediated by (new) technologies and the Internet (Laffey &amp; Amelung, 2010). As we integrate more tools and resources to scaffold students, we need to understand what works and what does not work in a classroom in the future. The simple flexible nature of wikis makes them a powerful tool for collaborative and cooperative work. As they are free online writing spaces where context can be created, edited, viewed, revised, tagged, publicized, assessed and commented upon, wikis may be used as a source of scaffolding.","author":[{"dropping-particle":"","family":"Ahmadi","given":"Seyyed Dariush","non-dropping-particle":"","parse-names":false,"suffix":""},{"dropping-particle":"","family":"Marandi","given":"Seyyedeh Susan","non-dropping-particle":"","parse-names":false,"suffix":""}],"container-title":"Procedia - Social and Behavioral Sciences","id":"ITEM-1","issued":{"date-parts":[["2014"]]},"page":"100-108","publisher":"Elsevier B.V.","title":"Social Software in the Classroom: The Case of Wikis for Scaffolding","type":"article-journal","volume":"98"},"uris":["http://www.mendeley.com/documents/?uuid=9ebefc6e-e793-4422-9643-447106aa5168","http://www.mendeley.com/documents/?uuid=4b472cbb-cec8-4f1d-b86f-8cce87e65c67"]}],"mendeley":{"formattedCitation":"[23]","plainTextFormattedCitation":"[23]","previouslyFormattedCitation":"[23]"},"properties":{"noteIndex":0},"schema":"https://github.com/citation-style-language/schema/raw/master/csl-citation.json"}</w:instrText>
      </w:r>
      <w:r w:rsidR="00F0360B">
        <w:rPr>
          <w:rFonts w:ascii="Times New Roman" w:hAnsi="Times New Roman" w:cs="Times New Roman"/>
        </w:rPr>
        <w:fldChar w:fldCharType="separate"/>
      </w:r>
      <w:r w:rsidR="0027239B" w:rsidRPr="0027239B">
        <w:rPr>
          <w:rFonts w:ascii="Times New Roman" w:hAnsi="Times New Roman" w:cs="Times New Roman"/>
          <w:noProof/>
        </w:rPr>
        <w:t>[23]</w:t>
      </w:r>
      <w:r w:rsidR="00F0360B">
        <w:rPr>
          <w:rFonts w:ascii="Times New Roman" w:hAnsi="Times New Roman" w:cs="Times New Roman"/>
        </w:rPr>
        <w:fldChar w:fldCharType="end"/>
      </w:r>
      <w:r w:rsidRPr="00F211F4">
        <w:rPr>
          <w:rFonts w:ascii="Times New Roman" w:hAnsi="Times New Roman" w:cs="Times New Roman"/>
        </w:rPr>
        <w:t>. This more in-depth analysis will have an impact on the analysis of the characteristics of the material on which the waves propagate. so that students can better understand the physical concept of waves in the real world not only in mathematical concepts.</w:t>
      </w:r>
    </w:p>
    <w:p w14:paraId="1A7E208A" w14:textId="77777777" w:rsidR="00F0360B" w:rsidRPr="00BF401C" w:rsidRDefault="00F0360B" w:rsidP="008F1025">
      <w:pPr>
        <w:spacing w:after="0" w:line="240" w:lineRule="auto"/>
        <w:ind w:firstLine="720"/>
        <w:jc w:val="both"/>
        <w:rPr>
          <w:rFonts w:ascii="Times New Roman" w:hAnsi="Times New Roman" w:cs="Times New Roman"/>
          <w:lang w:val="id-ID"/>
        </w:rPr>
      </w:pPr>
      <w:r w:rsidRPr="00F0360B">
        <w:rPr>
          <w:rFonts w:ascii="Times New Roman" w:hAnsi="Times New Roman" w:cs="Times New Roman"/>
        </w:rPr>
        <w:t>The use of virtual laboratory applications is a level of modification and redefinition of the SAMR framework</w:t>
      </w:r>
      <w:r w:rsidR="00BF401C">
        <w:rPr>
          <w:rFonts w:ascii="Times New Roman" w:hAnsi="Times New Roman" w:cs="Times New Roman"/>
        </w:rPr>
        <w:fldChar w:fldCharType="begin" w:fldLock="1"/>
      </w:r>
      <w:r w:rsidR="0027239B">
        <w:rPr>
          <w:rFonts w:ascii="Times New Roman" w:hAnsi="Times New Roman" w:cs="Times New Roman"/>
        </w:rPr>
        <w:instrText>ADDIN CSL_CITATION {"citationItems":[{"id":"ITEM-1","itemData":{"abstract":"‏","author":[{"dropping-particle":"","family":"Puentedura","given":"Ruben R","non-dropping-particle":"","parse-names":false,"suffix":""}],"id":"ITEM-1","issued":{"date-parts":[["2014"]]},"number-of-pages":"26","title":"SAMR and TPCK: A Hands-On Approach to Classroom Practice","type":"report"},"uris":["http://www.mendeley.com/documents/?uuid=1997e9d5-3df1-41f9-a628-50af5c417bdf","http://www.mendeley.com/documents/?uuid=da96ddfb-0b31-43a0-8ab0-29e14095be84"]}],"mendeley":{"formattedCitation":"[24]","plainTextFormattedCitation":"[24]","previouslyFormattedCitation":"[24]"},"properties":{"noteIndex":0},"schema":"https://github.com/citation-style-language/schema/raw/master/csl-citation.json"}</w:instrText>
      </w:r>
      <w:r w:rsidR="00BF401C">
        <w:rPr>
          <w:rFonts w:ascii="Times New Roman" w:hAnsi="Times New Roman" w:cs="Times New Roman"/>
        </w:rPr>
        <w:fldChar w:fldCharType="separate"/>
      </w:r>
      <w:r w:rsidR="0027239B" w:rsidRPr="0027239B">
        <w:rPr>
          <w:rFonts w:ascii="Times New Roman" w:hAnsi="Times New Roman" w:cs="Times New Roman"/>
          <w:noProof/>
        </w:rPr>
        <w:t>[24]</w:t>
      </w:r>
      <w:r w:rsidR="00BF401C">
        <w:rPr>
          <w:rFonts w:ascii="Times New Roman" w:hAnsi="Times New Roman" w:cs="Times New Roman"/>
        </w:rPr>
        <w:fldChar w:fldCharType="end"/>
      </w:r>
      <w:r w:rsidR="00BF401C">
        <w:rPr>
          <w:rFonts w:ascii="Times New Roman" w:hAnsi="Times New Roman" w:cs="Times New Roman"/>
        </w:rPr>
        <w:fldChar w:fldCharType="begin" w:fldLock="1"/>
      </w:r>
      <w:r w:rsidR="0027239B">
        <w:rPr>
          <w:rFonts w:ascii="Times New Roman" w:hAnsi="Times New Roman" w:cs="Times New Roman"/>
        </w:rPr>
        <w:instrText>ADDIN CSL_CITATION {"citationItems":[{"id":"ITEM-1","itemData":{"DOI":"10.1007/s11528-016-0091-y","ISBN":"1152801600","ISSN":"87563894","abstract":"The Substitution, Augmentation, Modification, and Redefinition (SAMR) model is a four-level, taxonomy-based approach for selecting, using, and evaluating technology in K-12 settings (Puentedura 2006). Despite its increasing popularity among practitioners, the SAMR model is not currently represented in the extant literature. To focus the ongoing conversation regarding K-12 educators’ understanding and implementation of technology, we provide a critical review of the SAMR model using theory and prior research. We focus on the absence of context, its hierarchical structure, and the emphasis placed on product over process and conclude with suggestions to guide educators’ and researchers’ technology integration efforts.","author":[{"dropping-particle":"","family":"Hamilton","given":"Erica R.","non-dropping-particle":"","parse-names":false,"suffix":""},{"dropping-particle":"","family":"Rosenberg","given":"Joshua M.","non-dropping-particle":"","parse-names":false,"suffix":""},{"dropping-particle":"","family":"Akcaoglu","given":"Mete","non-dropping-particle":"","parse-names":false,"suffix":""}],"container-title":"TechTrends","id":"ITEM-1","issue":"5","issued":{"date-parts":[["2016"]]},"page":"433-441","title":"The Substitution Augmentation Modification Redefinition (SAMR) Model: a Critical Review and Suggestions for its Use","type":"article-journal","volume":"60"},"uris":["http://www.mendeley.com/documents/?uuid=d523976a-c012-4201-9dfb-6658f4d690a9"]}],"mendeley":{"formattedCitation":"[25]","plainTextFormattedCitation":"[25]","previouslyFormattedCitation":"[25]"},"properties":{"noteIndex":0},"schema":"https://github.com/citation-style-language/schema/raw/master/csl-citation.json"}</w:instrText>
      </w:r>
      <w:r w:rsidR="00BF401C">
        <w:rPr>
          <w:rFonts w:ascii="Times New Roman" w:hAnsi="Times New Roman" w:cs="Times New Roman"/>
        </w:rPr>
        <w:fldChar w:fldCharType="separate"/>
      </w:r>
      <w:r w:rsidR="0027239B" w:rsidRPr="0027239B">
        <w:rPr>
          <w:rFonts w:ascii="Times New Roman" w:hAnsi="Times New Roman" w:cs="Times New Roman"/>
          <w:noProof/>
        </w:rPr>
        <w:t>[25]</w:t>
      </w:r>
      <w:r w:rsidR="00BF401C">
        <w:rPr>
          <w:rFonts w:ascii="Times New Roman" w:hAnsi="Times New Roman" w:cs="Times New Roman"/>
        </w:rPr>
        <w:fldChar w:fldCharType="end"/>
      </w:r>
      <w:r w:rsidR="00BF401C">
        <w:rPr>
          <w:rFonts w:ascii="Times New Roman" w:hAnsi="Times New Roman" w:cs="Times New Roman"/>
        </w:rPr>
        <w:fldChar w:fldCharType="begin" w:fldLock="1"/>
      </w:r>
      <w:r w:rsidR="0027239B">
        <w:rPr>
          <w:rFonts w:ascii="Times New Roman" w:hAnsi="Times New Roman" w:cs="Times New Roman"/>
        </w:rPr>
        <w:instrText>ADDIN CSL_CITATION {"citationItems":[{"id":"ITEM-1","itemData":{"DOI":"10.1088/1757-899X/434/1/012309","ISSN":"1757899X","abstract":"The rapid development of technology in learning demands teachers to use ICT-integrated learning models. One of the applicable learning models is called SAMR, a learning model integrating technology comprehensively. The model, which was first introduced by an educational consultant namely Dr. Ruben Puentedura, uses a hierarchy to describe cognitive levels using technology as a learning tool. It is believed that the use of technology in learning should be proportional and in accordance with the learning needs. ICT integration in a vocational education system impacts the roles of teachers and students. Thus, it is expected that the use of ICT will be a good facilitator and collaborator in teaching and learning process which demands the students to be more active.","author":[{"dropping-particle":"","family":"Aprinaldi","given":"A.","non-dropping-particle":"","parse-names":false,"suffix":""},{"dropping-particle":"","family":"Widiaty","given":"I.","non-dropping-particle":"","parse-names":false,"suffix":""},{"dropping-particle":"","family":"Abdullah","given":"A. G.","non-dropping-particle":"","parse-names":false,"suffix":""}],"container-title":"IOP Conference Series: Materials Science and Engineering","id":"ITEM-1","issue":"1","issued":{"date-parts":[["2018"]]},"title":"Integrating SAMR learning model in vocational education","type":"article-journal","volume":"434"},"uris":["http://www.mendeley.com/documents/?uuid=d8393206-b8a4-4dd5-8c95-906471b3bf4e","http://www.mendeley.com/documents/?uuid=1cdefccf-03bd-41f7-b2f3-3026f01d0bf9"]}],"mendeley":{"formattedCitation":"[7]","plainTextFormattedCitation":"[7]","previouslyFormattedCitation":"[7]"},"properties":{"noteIndex":0},"schema":"https://github.com/citation-style-language/schema/raw/master/csl-citation.json"}</w:instrText>
      </w:r>
      <w:r w:rsidR="00BF401C">
        <w:rPr>
          <w:rFonts w:ascii="Times New Roman" w:hAnsi="Times New Roman" w:cs="Times New Roman"/>
        </w:rPr>
        <w:fldChar w:fldCharType="separate"/>
      </w:r>
      <w:r w:rsidR="00BF401C" w:rsidRPr="00BF401C">
        <w:rPr>
          <w:rFonts w:ascii="Times New Roman" w:hAnsi="Times New Roman" w:cs="Times New Roman"/>
          <w:noProof/>
        </w:rPr>
        <w:t>[7]</w:t>
      </w:r>
      <w:r w:rsidR="00BF401C">
        <w:rPr>
          <w:rFonts w:ascii="Times New Roman" w:hAnsi="Times New Roman" w:cs="Times New Roman"/>
        </w:rPr>
        <w:fldChar w:fldCharType="end"/>
      </w:r>
      <w:r w:rsidRPr="00F0360B">
        <w:rPr>
          <w:rFonts w:ascii="Times New Roman" w:hAnsi="Times New Roman" w:cs="Times New Roman"/>
        </w:rPr>
        <w:t>. The proper management of the use of the SAMR framework in the classroom can streamline classroom</w:t>
      </w:r>
      <w:r w:rsidR="00BF401C">
        <w:rPr>
          <w:rFonts w:ascii="Times New Roman" w:hAnsi="Times New Roman" w:cs="Times New Roman"/>
        </w:rPr>
        <w:t xml:space="preserve"> learning. The class </w:t>
      </w:r>
      <w:r w:rsidRPr="00F0360B">
        <w:rPr>
          <w:rFonts w:ascii="Times New Roman" w:hAnsi="Times New Roman" w:cs="Times New Roman"/>
        </w:rPr>
        <w:t>can be in the form of online, blended or face-to-face classes.</w:t>
      </w:r>
      <w:r w:rsidR="00BF401C">
        <w:rPr>
          <w:rFonts w:ascii="Times New Roman" w:hAnsi="Times New Roman" w:cs="Times New Roman"/>
          <w:lang w:val="id-ID"/>
        </w:rPr>
        <w:t xml:space="preserve"> </w:t>
      </w:r>
      <w:r w:rsidR="00BF401C" w:rsidRPr="00BF401C">
        <w:rPr>
          <w:rFonts w:ascii="Times New Roman" w:hAnsi="Times New Roman" w:cs="Times New Roman"/>
          <w:lang w:val="id-ID"/>
        </w:rPr>
        <w:t>The virtual laboratory construction in this research is proven to have features and the right concept path for oscillations and waves. So that the virtual laboratory application can be used to optimize students' thinking skills</w:t>
      </w:r>
      <w:r w:rsidR="00BF401C">
        <w:rPr>
          <w:rFonts w:ascii="Times New Roman" w:hAnsi="Times New Roman" w:cs="Times New Roman"/>
          <w:lang w:val="id-ID"/>
        </w:rPr>
        <w:fldChar w:fldCharType="begin" w:fldLock="1"/>
      </w:r>
      <w:r w:rsidR="0027239B">
        <w:rPr>
          <w:rFonts w:ascii="Times New Roman" w:hAnsi="Times New Roman" w:cs="Times New Roman"/>
          <w:lang w:val="id-ID"/>
        </w:rPr>
        <w:instrText>ADDIN CSL_CITATION {"citationItems":[{"id":"ITEM-1","itemData":{"DOI":"10.23919/ISTAFRICA.2017.8102351","ISBN":"9781905824571","abstract":"Constructivism approach to learning is known to support multiple perspectives in interpretations of reality, knowledge construction and context rich, experience based activities. Technology comes in handy to offer incredible amounts of information and tools for creativity and development as well as diverse environments and communication forums where students can build knowledge in an engaged setting. However, technophobia has been reported among teachers as inhibiting integration of technology in the classroom. Teachers feel confident about their knowledge of the pedagogy. They are also confident about their knowledge of the content but less confident when it comes to technology knowledge. There are many models of instruction informed by constructivist theories to implement technology into teaching. These models do not demonstrate how a teacher can develop a lesson plan using the Constructivist Learning Perspective and integrate technology in the plan particularly using SAMR Model of technology integration. This paper explores how technology can be used to complement constructivism approach to learning as part of building teacher's confidence in using technology in the classroom. This will be possible through developing a lesson plan and using the Substitution Augmentation Modification Redefinition Model (SAMR) technology integration model. Fifteen (15) PhD students taking a course in education in May-August 2016 were engaged in developing a lesson plan based on constructivism approach to learning and they were required to use SAMR model of ICT integration in order to demonstrate how technology complements constructivism. The SMAR supports and allows trainers and teachers to plan, develop, and infuse learning experiences that utilize technology in their teaching. Specific practices in the lesson plan that specified tasks to be done using cognitive terminology such as classify, analyze, predict and create, coupled with various levels of technology integration model enabled students to explore learning.","author":[{"dropping-particle":"","family":"Onyango","given":"George","non-dropping-particle":"","parse-names":false,"suffix":""},{"dropping-particle":"","family":"Gitonga","given":"Rhoda","non-dropping-particle":"","parse-names":false,"suffix":""}],"container-title":"2017 IST-Africa Week Conference, IST-Africa 2017","id":"ITEM-1","issued":{"date-parts":[["2017"]]},"page":"1-11","title":"Exploring how technology complements constructivism using a lesson plan","type":"article-journal"},"uris":["http://www.mendeley.com/documents/?uuid=05f9233e-9944-4227-ad91-65655eb2bd4f"]}],"mendeley":{"formattedCitation":"[6]","plainTextFormattedCitation":"[6]","previouslyFormattedCitation":"[6]"},"properties":{"noteIndex":0},"schema":"https://github.com/citation-style-language/schema/raw/master/csl-citation.json"}</w:instrText>
      </w:r>
      <w:r w:rsidR="00BF401C">
        <w:rPr>
          <w:rFonts w:ascii="Times New Roman" w:hAnsi="Times New Roman" w:cs="Times New Roman"/>
          <w:lang w:val="id-ID"/>
        </w:rPr>
        <w:fldChar w:fldCharType="separate"/>
      </w:r>
      <w:r w:rsidR="00BF401C" w:rsidRPr="00BF401C">
        <w:rPr>
          <w:rFonts w:ascii="Times New Roman" w:hAnsi="Times New Roman" w:cs="Times New Roman"/>
          <w:noProof/>
          <w:lang w:val="id-ID"/>
        </w:rPr>
        <w:t>[6]</w:t>
      </w:r>
      <w:r w:rsidR="00BF401C">
        <w:rPr>
          <w:rFonts w:ascii="Times New Roman" w:hAnsi="Times New Roman" w:cs="Times New Roman"/>
          <w:lang w:val="id-ID"/>
        </w:rPr>
        <w:fldChar w:fldCharType="end"/>
      </w:r>
      <w:r w:rsidR="00BF401C">
        <w:rPr>
          <w:rFonts w:ascii="Times New Roman" w:hAnsi="Times New Roman" w:cs="Times New Roman"/>
          <w:lang w:val="id-ID"/>
        </w:rPr>
        <w:fldChar w:fldCharType="begin" w:fldLock="1"/>
      </w:r>
      <w:r w:rsidR="0027239B">
        <w:rPr>
          <w:rFonts w:ascii="Times New Roman" w:hAnsi="Times New Roman" w:cs="Times New Roman"/>
          <w:lang w:val="id-ID"/>
        </w:rPr>
        <w:instrText>ADDIN CSL_CITATION {"citationItems":[{"id":"ITEM-1","itemData":{"DOI":"10.1109/TELSKS.2003.1246235","ISBN":"0780379632","abstract":"Technology Integration and High Possibility Classrooms provides a fresh vision for education in schools based on new research from in-depth studies of technol-ogy integration in exemplary teachers' classrooms. This timely book meets the demand for more examples of effective technology integration by providing a new conceptual understanding that builds on the popular and highly influ-ential theoretical framework of technological, pedagogical content knowledge (TPACK). Technology Integration and High Possibility Classrooms details four rich case stud-ies set in different contexts with students ranging from ages 6 to 16. Each case study articulates in very practical terms what characterizes exemplary teachers' knowledge of technology integration and how that is applied in classrooms. This highly accessible book clearly demonstrates how theory informs practice and provides new possibilities for learning in 21st-century schools. Jane Hunter teaches in the Master of Teaching program in the School of Edu-cation at the University of Western Sydney (UWS), Australia. She is an early career researcher in the Centre for Educational Research. Prior to the appoint-ment to UWS, she taught in teacher education at the University of Sydney and in many K–12 schools; most recently, she worked as a senior education officer in various technology, professional teaching standards and curriculum projects in the NSW Department of Education &amp; Communities.","author":[{"dropping-particle":"","family":"Hunter","given":"Jane","non-dropping-particle":"","parse-names":false,"suffix":""}],"container-title":"6th International Conference on Telecommunications in Modern Satellite, Cable and Broadcasting Service, TELSIKS 2003 - Proceedings","id":"ITEM-1","issued":{"date-parts":[["2003"]]},"number-of-pages":"313-316","title":"Technology Integration and High Possiblitity Classrooms - Building from Tpack","type":"book","volume":"1"},"uris":["http://www.mendeley.com/documents/?uuid=c29926b4-4f37-4161-9bf5-2a1177f09cf3"]}],"mendeley":{"formattedCitation":"[26]","plainTextFormattedCitation":"[26]","previouslyFormattedCitation":"[26]"},"properties":{"noteIndex":0},"schema":"https://github.com/citation-style-language/schema/raw/master/csl-citation.json"}</w:instrText>
      </w:r>
      <w:r w:rsidR="00BF401C">
        <w:rPr>
          <w:rFonts w:ascii="Times New Roman" w:hAnsi="Times New Roman" w:cs="Times New Roman"/>
          <w:lang w:val="id-ID"/>
        </w:rPr>
        <w:fldChar w:fldCharType="separate"/>
      </w:r>
      <w:r w:rsidR="0027239B" w:rsidRPr="0027239B">
        <w:rPr>
          <w:rFonts w:ascii="Times New Roman" w:hAnsi="Times New Roman" w:cs="Times New Roman"/>
          <w:noProof/>
          <w:lang w:val="id-ID"/>
        </w:rPr>
        <w:t>[26]</w:t>
      </w:r>
      <w:r w:rsidR="00BF401C">
        <w:rPr>
          <w:rFonts w:ascii="Times New Roman" w:hAnsi="Times New Roman" w:cs="Times New Roman"/>
          <w:lang w:val="id-ID"/>
        </w:rPr>
        <w:fldChar w:fldCharType="end"/>
      </w:r>
      <w:r w:rsidR="00BF401C">
        <w:rPr>
          <w:rFonts w:ascii="Times New Roman" w:hAnsi="Times New Roman" w:cs="Times New Roman"/>
          <w:lang w:val="id-ID"/>
        </w:rPr>
        <w:fldChar w:fldCharType="begin" w:fldLock="1"/>
      </w:r>
      <w:r w:rsidR="0027239B">
        <w:rPr>
          <w:rFonts w:ascii="Times New Roman" w:hAnsi="Times New Roman" w:cs="Times New Roman"/>
          <w:lang w:val="id-ID"/>
        </w:rPr>
        <w:instrText>ADDIN CSL_CITATION {"citationItems":[{"id":"ITEM-1","itemData":{"DOI":"10.1111/bjet.12700","ISSN":"14678535","abstract":"Mobile technology has been increasingly adopted in science education. We generally assume that more innovative use of mobile technology leads to a greater learning outcome. Yet, there is a lack of empirical research to support this assumption. To fill in the gap, we drew upon data from 803 high school students who had used mobile devices for five months in physics classrooms. Using the SAMR model (ie, Substitution, Augmentation, Modification, and Redefinition), we distinguished their uses into two levels: Substitution (replacing traditional instructional approach with mobile technology without functional improvement), and augmentation (enhancing instruction with affordances provided by mobile technology). Using Hierarchical Linear Modeling analysis, we found that the augmentation level of use was positively correlated with the physics learning outcome, but the substitution level of use was not. We further identified four sub-types of uses within the augmentation level. We found that after-school remediating activities and student–teacher displaying activities were positively correlated with student physics achievement, but teacher-assigned activities had no significant correlation and learning aid activities had a negative correlation with the learning outcome. This study provided empirical evidence to support the assumption that a higher level of mobile technology use may be related to a greater learning outcome and that the impact of mobile technology may be determined by multiple factors such as who initiates the use and whether the use enhances or distracts students' knowledge construction.","author":[{"dropping-particle":"","family":"Zhai","given":"Xiaoming","non-dropping-particle":"","parse-names":false,"suffix":""},{"dropping-particle":"","family":"Zhang","given":"Meilan","non-dropping-particle":"","parse-names":false,"suffix":""},{"dropping-particle":"","family":"Li","given":"Min","non-dropping-particle":"","parse-names":false,"suffix":""},{"dropping-particle":"","family":"Zhang","given":"Xuejie","non-dropping-particle":"","parse-names":false,"suffix":""}],"container-title":"British Journal of Educational Technology","id":"ITEM-1","issue":"2","issued":{"date-parts":[["2019"]]},"page":"750-766","title":"Understanding the relationship between levels of mobile technology use in high school physics classrooms and the learning outcome","type":"article-journal","volume":"50"},"uris":["http://www.mendeley.com/documents/?uuid=27508f8d-b39f-4778-a931-8b26318d1bcd","http://www.mendeley.com/documents/?uuid=04bd638d-689f-4181-8050-b9e83b9a05e9"]}],"mendeley":{"formattedCitation":"[27]","plainTextFormattedCitation":"[27]","previouslyFormattedCitation":"[27]"},"properties":{"noteIndex":0},"schema":"https://github.com/citation-style-language/schema/raw/master/csl-citation.json"}</w:instrText>
      </w:r>
      <w:r w:rsidR="00BF401C">
        <w:rPr>
          <w:rFonts w:ascii="Times New Roman" w:hAnsi="Times New Roman" w:cs="Times New Roman"/>
          <w:lang w:val="id-ID"/>
        </w:rPr>
        <w:fldChar w:fldCharType="separate"/>
      </w:r>
      <w:r w:rsidR="0027239B" w:rsidRPr="0027239B">
        <w:rPr>
          <w:rFonts w:ascii="Times New Roman" w:hAnsi="Times New Roman" w:cs="Times New Roman"/>
          <w:noProof/>
          <w:lang w:val="id-ID"/>
        </w:rPr>
        <w:t>[27]</w:t>
      </w:r>
      <w:r w:rsidR="00BF401C">
        <w:rPr>
          <w:rFonts w:ascii="Times New Roman" w:hAnsi="Times New Roman" w:cs="Times New Roman"/>
          <w:lang w:val="id-ID"/>
        </w:rPr>
        <w:fldChar w:fldCharType="end"/>
      </w:r>
      <w:r w:rsidR="00BF401C">
        <w:rPr>
          <w:rFonts w:ascii="Times New Roman" w:hAnsi="Times New Roman" w:cs="Times New Roman"/>
          <w:lang w:val="id-ID"/>
        </w:rPr>
        <w:t>.</w:t>
      </w:r>
    </w:p>
    <w:p w14:paraId="73B3183C" w14:textId="77777777" w:rsidR="000B5693" w:rsidRPr="008F1025" w:rsidRDefault="000B5693" w:rsidP="008F1025">
      <w:pPr>
        <w:pStyle w:val="ListParagraph"/>
        <w:numPr>
          <w:ilvl w:val="0"/>
          <w:numId w:val="1"/>
        </w:numPr>
        <w:spacing w:before="240" w:after="0" w:line="240" w:lineRule="auto"/>
        <w:ind w:left="426"/>
        <w:jc w:val="both"/>
        <w:rPr>
          <w:rFonts w:ascii="Times New Roman" w:hAnsi="Times New Roman" w:cs="Times New Roman"/>
          <w:b/>
        </w:rPr>
      </w:pPr>
      <w:r w:rsidRPr="008F1025">
        <w:rPr>
          <w:rFonts w:ascii="Times New Roman" w:hAnsi="Times New Roman" w:cs="Times New Roman"/>
          <w:b/>
        </w:rPr>
        <w:t>Conclusion</w:t>
      </w:r>
    </w:p>
    <w:p w14:paraId="38B5A84A" w14:textId="77777777" w:rsidR="002E5156" w:rsidRDefault="002E5156" w:rsidP="008F1025">
      <w:pPr>
        <w:spacing w:after="0" w:line="240" w:lineRule="auto"/>
        <w:jc w:val="both"/>
        <w:rPr>
          <w:rFonts w:ascii="Times New Roman" w:hAnsi="Times New Roman" w:cs="Times New Roman"/>
        </w:rPr>
      </w:pPr>
      <w:r w:rsidRPr="00F211F4">
        <w:rPr>
          <w:rFonts w:ascii="Times New Roman" w:hAnsi="Times New Roman" w:cs="Times New Roman"/>
        </w:rPr>
        <w:t xml:space="preserve">The use of the right application has an impact on improving students' thinking skills, especially understanding a concept. Using the right application has proven that STEM from home is easy to do. This research has shown that the use of the </w:t>
      </w:r>
      <w:proofErr w:type="spellStart"/>
      <w:r w:rsidRPr="00F211F4">
        <w:rPr>
          <w:rFonts w:ascii="Times New Roman" w:hAnsi="Times New Roman" w:cs="Times New Roman"/>
        </w:rPr>
        <w:t>Olabs</w:t>
      </w:r>
      <w:proofErr w:type="spellEnd"/>
      <w:r w:rsidRPr="00F211F4">
        <w:rPr>
          <w:rFonts w:ascii="Times New Roman" w:hAnsi="Times New Roman" w:cs="Times New Roman"/>
        </w:rPr>
        <w:t xml:space="preserve"> application has advantages in explaining the concept of Oscillation and Wave more comprehensively. This research has limitations in the analysis of open source applications. Further analysis can be carried out on all virtual laboratory applications regardless of the open source aspect.</w:t>
      </w:r>
    </w:p>
    <w:p w14:paraId="2C05E757" w14:textId="77777777" w:rsidR="008F1025" w:rsidRDefault="008F1025" w:rsidP="008F1025">
      <w:pPr>
        <w:spacing w:before="240" w:after="0" w:line="240" w:lineRule="auto"/>
        <w:jc w:val="both"/>
        <w:rPr>
          <w:rFonts w:ascii="Times New Roman" w:hAnsi="Times New Roman" w:cs="Times New Roman"/>
          <w:b/>
        </w:rPr>
      </w:pPr>
      <w:commentRangeStart w:id="4"/>
      <w:r>
        <w:rPr>
          <w:rFonts w:ascii="Times New Roman" w:hAnsi="Times New Roman" w:cs="Times New Roman"/>
          <w:b/>
        </w:rPr>
        <w:t>References</w:t>
      </w:r>
      <w:commentRangeEnd w:id="4"/>
      <w:r w:rsidR="006B4BEC">
        <w:rPr>
          <w:rStyle w:val="CommentReference"/>
        </w:rPr>
        <w:commentReference w:id="4"/>
      </w:r>
    </w:p>
    <w:p w14:paraId="7988C0E1" w14:textId="77777777" w:rsidR="0027239B" w:rsidRPr="0027239B" w:rsidRDefault="00BF401C" w:rsidP="0027239B">
      <w:pPr>
        <w:widowControl w:val="0"/>
        <w:autoSpaceDE w:val="0"/>
        <w:autoSpaceDN w:val="0"/>
        <w:adjustRightInd w:val="0"/>
        <w:spacing w:after="0" w:line="240" w:lineRule="auto"/>
        <w:ind w:left="640" w:hanging="640"/>
        <w:rPr>
          <w:rFonts w:ascii="Times New Roman" w:hAnsi="Times New Roman" w:cs="Times New Roman"/>
          <w:noProof/>
          <w:szCs w:val="24"/>
        </w:rPr>
      </w:pPr>
      <w:r>
        <w:rPr>
          <w:rFonts w:ascii="Times New Roman" w:hAnsi="Times New Roman" w:cs="Times New Roman"/>
          <w:b/>
        </w:rPr>
        <w:fldChar w:fldCharType="begin" w:fldLock="1"/>
      </w:r>
      <w:r>
        <w:rPr>
          <w:rFonts w:ascii="Times New Roman" w:hAnsi="Times New Roman" w:cs="Times New Roman"/>
          <w:b/>
        </w:rPr>
        <w:instrText xml:space="preserve">ADDIN Mendeley Bibliography CSL_BIBLIOGRAPHY </w:instrText>
      </w:r>
      <w:r>
        <w:rPr>
          <w:rFonts w:ascii="Times New Roman" w:hAnsi="Times New Roman" w:cs="Times New Roman"/>
          <w:b/>
        </w:rPr>
        <w:fldChar w:fldCharType="separate"/>
      </w:r>
      <w:r w:rsidR="0027239B" w:rsidRPr="0027239B">
        <w:rPr>
          <w:rFonts w:ascii="Times New Roman" w:hAnsi="Times New Roman" w:cs="Times New Roman"/>
          <w:noProof/>
          <w:szCs w:val="24"/>
        </w:rPr>
        <w:t>[1]</w:t>
      </w:r>
      <w:r w:rsidR="0027239B" w:rsidRPr="0027239B">
        <w:rPr>
          <w:rFonts w:ascii="Times New Roman" w:hAnsi="Times New Roman" w:cs="Times New Roman"/>
          <w:noProof/>
          <w:szCs w:val="24"/>
        </w:rPr>
        <w:tab/>
        <w:t xml:space="preserve"> Hast M and Howe C 2012 Research in Science &amp; Technological Education Understanding the beliefs informing children ’ s commonsense theories of motion : the role of everyday object variables in dynamic event predictions 37–41</w:t>
      </w:r>
    </w:p>
    <w:p w14:paraId="0E5C747F" w14:textId="77777777" w:rsidR="0027239B" w:rsidRPr="0027239B" w:rsidRDefault="0027239B" w:rsidP="0027239B">
      <w:pPr>
        <w:widowControl w:val="0"/>
        <w:autoSpaceDE w:val="0"/>
        <w:autoSpaceDN w:val="0"/>
        <w:adjustRightInd w:val="0"/>
        <w:spacing w:after="0" w:line="240" w:lineRule="auto"/>
        <w:ind w:left="640" w:hanging="640"/>
        <w:rPr>
          <w:rFonts w:ascii="Times New Roman" w:hAnsi="Times New Roman" w:cs="Times New Roman"/>
          <w:noProof/>
          <w:szCs w:val="24"/>
        </w:rPr>
      </w:pPr>
      <w:r w:rsidRPr="0027239B">
        <w:rPr>
          <w:rFonts w:ascii="Times New Roman" w:hAnsi="Times New Roman" w:cs="Times New Roman"/>
          <w:noProof/>
          <w:szCs w:val="24"/>
        </w:rPr>
        <w:t>[2]</w:t>
      </w:r>
      <w:r w:rsidRPr="0027239B">
        <w:rPr>
          <w:rFonts w:ascii="Times New Roman" w:hAnsi="Times New Roman" w:cs="Times New Roman"/>
          <w:noProof/>
          <w:szCs w:val="24"/>
        </w:rPr>
        <w:tab/>
        <w:t xml:space="preserve"> Fuhrmann T, Schneider B and Blikstein P 2018 Should students design or interact with models? Using the Bifocal Modelling Framework to investigate model construction in high school science </w:t>
      </w:r>
      <w:r w:rsidRPr="0027239B">
        <w:rPr>
          <w:rFonts w:ascii="Times New Roman" w:hAnsi="Times New Roman" w:cs="Times New Roman"/>
          <w:i/>
          <w:iCs/>
          <w:noProof/>
          <w:szCs w:val="24"/>
        </w:rPr>
        <w:t>Int. J. Sci. Educ.</w:t>
      </w:r>
      <w:r w:rsidRPr="0027239B">
        <w:rPr>
          <w:rFonts w:ascii="Times New Roman" w:hAnsi="Times New Roman" w:cs="Times New Roman"/>
          <w:noProof/>
          <w:szCs w:val="24"/>
        </w:rPr>
        <w:t xml:space="preserve"> </w:t>
      </w:r>
      <w:r w:rsidRPr="0027239B">
        <w:rPr>
          <w:rFonts w:ascii="Times New Roman" w:hAnsi="Times New Roman" w:cs="Times New Roman"/>
          <w:b/>
          <w:bCs/>
          <w:noProof/>
          <w:szCs w:val="24"/>
        </w:rPr>
        <w:t>40</w:t>
      </w:r>
      <w:r w:rsidRPr="0027239B">
        <w:rPr>
          <w:rFonts w:ascii="Times New Roman" w:hAnsi="Times New Roman" w:cs="Times New Roman"/>
          <w:noProof/>
          <w:szCs w:val="24"/>
        </w:rPr>
        <w:t xml:space="preserve"> 867–93</w:t>
      </w:r>
    </w:p>
    <w:p w14:paraId="0BEDF040" w14:textId="77777777" w:rsidR="0027239B" w:rsidRPr="0027239B" w:rsidRDefault="0027239B" w:rsidP="0027239B">
      <w:pPr>
        <w:widowControl w:val="0"/>
        <w:autoSpaceDE w:val="0"/>
        <w:autoSpaceDN w:val="0"/>
        <w:adjustRightInd w:val="0"/>
        <w:spacing w:after="0" w:line="240" w:lineRule="auto"/>
        <w:ind w:left="640" w:hanging="640"/>
        <w:rPr>
          <w:rFonts w:ascii="Times New Roman" w:hAnsi="Times New Roman" w:cs="Times New Roman"/>
          <w:noProof/>
          <w:szCs w:val="24"/>
        </w:rPr>
      </w:pPr>
      <w:r w:rsidRPr="0027239B">
        <w:rPr>
          <w:rFonts w:ascii="Times New Roman" w:hAnsi="Times New Roman" w:cs="Times New Roman"/>
          <w:noProof/>
          <w:szCs w:val="24"/>
        </w:rPr>
        <w:t>[3]</w:t>
      </w:r>
      <w:r w:rsidRPr="0027239B">
        <w:rPr>
          <w:rFonts w:ascii="Times New Roman" w:hAnsi="Times New Roman" w:cs="Times New Roman"/>
          <w:noProof/>
          <w:szCs w:val="24"/>
        </w:rPr>
        <w:tab/>
        <w:t xml:space="preserve"> Han S, Capraro R and Capraro M M 2015 How Science, Technology, Engineering, and Mathematics (Stem) Project-Based Learning (Pbl) Affects High, Middle, and Low Achievers Differently: the Impact of Student Factors on Achievement </w:t>
      </w:r>
      <w:r w:rsidRPr="0027239B">
        <w:rPr>
          <w:rFonts w:ascii="Times New Roman" w:hAnsi="Times New Roman" w:cs="Times New Roman"/>
          <w:i/>
          <w:iCs/>
          <w:noProof/>
          <w:szCs w:val="24"/>
        </w:rPr>
        <w:t>Int. J. Sci. Math. Educ.</w:t>
      </w:r>
      <w:r w:rsidRPr="0027239B">
        <w:rPr>
          <w:rFonts w:ascii="Times New Roman" w:hAnsi="Times New Roman" w:cs="Times New Roman"/>
          <w:noProof/>
          <w:szCs w:val="24"/>
        </w:rPr>
        <w:t xml:space="preserve"> </w:t>
      </w:r>
      <w:r w:rsidRPr="0027239B">
        <w:rPr>
          <w:rFonts w:ascii="Times New Roman" w:hAnsi="Times New Roman" w:cs="Times New Roman"/>
          <w:b/>
          <w:bCs/>
          <w:noProof/>
          <w:szCs w:val="24"/>
        </w:rPr>
        <w:t>13</w:t>
      </w:r>
      <w:r w:rsidRPr="0027239B">
        <w:rPr>
          <w:rFonts w:ascii="Times New Roman" w:hAnsi="Times New Roman" w:cs="Times New Roman"/>
          <w:noProof/>
          <w:szCs w:val="24"/>
        </w:rPr>
        <w:t xml:space="preserve"> 1089–113</w:t>
      </w:r>
    </w:p>
    <w:p w14:paraId="42267EFF" w14:textId="77777777" w:rsidR="0027239B" w:rsidRPr="0027239B" w:rsidRDefault="0027239B" w:rsidP="0027239B">
      <w:pPr>
        <w:widowControl w:val="0"/>
        <w:autoSpaceDE w:val="0"/>
        <w:autoSpaceDN w:val="0"/>
        <w:adjustRightInd w:val="0"/>
        <w:spacing w:after="0" w:line="240" w:lineRule="auto"/>
        <w:ind w:left="640" w:hanging="640"/>
        <w:rPr>
          <w:rFonts w:ascii="Times New Roman" w:hAnsi="Times New Roman" w:cs="Times New Roman"/>
          <w:noProof/>
          <w:szCs w:val="24"/>
        </w:rPr>
      </w:pPr>
      <w:r w:rsidRPr="0027239B">
        <w:rPr>
          <w:rFonts w:ascii="Times New Roman" w:hAnsi="Times New Roman" w:cs="Times New Roman"/>
          <w:noProof/>
          <w:szCs w:val="24"/>
        </w:rPr>
        <w:t>[4]</w:t>
      </w:r>
      <w:r w:rsidRPr="0027239B">
        <w:rPr>
          <w:rFonts w:ascii="Times New Roman" w:hAnsi="Times New Roman" w:cs="Times New Roman"/>
          <w:noProof/>
          <w:szCs w:val="24"/>
        </w:rPr>
        <w:tab/>
        <w:t xml:space="preserve"> Medel R, Guzmán G and Ramírez-Guillén F 2008 First record of Discoxylaria myrmecophila (Ascomycotina, Xylariales) from Veracruz with new reports from Jalisco, Morelos, and Nuevo Leon (Mexico) </w:t>
      </w:r>
      <w:r w:rsidRPr="0027239B">
        <w:rPr>
          <w:rFonts w:ascii="Times New Roman" w:hAnsi="Times New Roman" w:cs="Times New Roman"/>
          <w:i/>
          <w:iCs/>
          <w:noProof/>
          <w:szCs w:val="24"/>
        </w:rPr>
        <w:t>Mycotaxon</w:t>
      </w:r>
      <w:r w:rsidRPr="0027239B">
        <w:rPr>
          <w:rFonts w:ascii="Times New Roman" w:hAnsi="Times New Roman" w:cs="Times New Roman"/>
          <w:noProof/>
          <w:szCs w:val="24"/>
        </w:rPr>
        <w:t xml:space="preserve"> </w:t>
      </w:r>
      <w:r w:rsidRPr="0027239B">
        <w:rPr>
          <w:rFonts w:ascii="Times New Roman" w:hAnsi="Times New Roman" w:cs="Times New Roman"/>
          <w:b/>
          <w:bCs/>
          <w:noProof/>
          <w:szCs w:val="24"/>
        </w:rPr>
        <w:t>106</w:t>
      </w:r>
      <w:r w:rsidRPr="0027239B">
        <w:rPr>
          <w:rFonts w:ascii="Times New Roman" w:hAnsi="Times New Roman" w:cs="Times New Roman"/>
          <w:noProof/>
          <w:szCs w:val="24"/>
        </w:rPr>
        <w:t xml:space="preserve"> 1–6</w:t>
      </w:r>
    </w:p>
    <w:p w14:paraId="59E2DBDF" w14:textId="77777777" w:rsidR="0027239B" w:rsidRPr="0027239B" w:rsidRDefault="0027239B" w:rsidP="0027239B">
      <w:pPr>
        <w:widowControl w:val="0"/>
        <w:autoSpaceDE w:val="0"/>
        <w:autoSpaceDN w:val="0"/>
        <w:adjustRightInd w:val="0"/>
        <w:spacing w:after="0" w:line="240" w:lineRule="auto"/>
        <w:ind w:left="640" w:hanging="640"/>
        <w:rPr>
          <w:rFonts w:ascii="Times New Roman" w:hAnsi="Times New Roman" w:cs="Times New Roman"/>
          <w:noProof/>
          <w:szCs w:val="24"/>
        </w:rPr>
      </w:pPr>
      <w:r w:rsidRPr="0027239B">
        <w:rPr>
          <w:rFonts w:ascii="Times New Roman" w:hAnsi="Times New Roman" w:cs="Times New Roman"/>
          <w:noProof/>
          <w:szCs w:val="24"/>
        </w:rPr>
        <w:t>[5]</w:t>
      </w:r>
      <w:r w:rsidRPr="0027239B">
        <w:rPr>
          <w:rFonts w:ascii="Times New Roman" w:hAnsi="Times New Roman" w:cs="Times New Roman"/>
          <w:noProof/>
          <w:szCs w:val="24"/>
        </w:rPr>
        <w:tab/>
        <w:t xml:space="preserve"> Boelens R, De Wever B and Voet M 2017 Four key challenges to the design of blended learning: A systematic literature review </w:t>
      </w:r>
      <w:r w:rsidRPr="0027239B">
        <w:rPr>
          <w:rFonts w:ascii="Times New Roman" w:hAnsi="Times New Roman" w:cs="Times New Roman"/>
          <w:i/>
          <w:iCs/>
          <w:noProof/>
          <w:szCs w:val="24"/>
        </w:rPr>
        <w:t>Educ. Res. Rev.</w:t>
      </w:r>
      <w:r w:rsidRPr="0027239B">
        <w:rPr>
          <w:rFonts w:ascii="Times New Roman" w:hAnsi="Times New Roman" w:cs="Times New Roman"/>
          <w:noProof/>
          <w:szCs w:val="24"/>
        </w:rPr>
        <w:t xml:space="preserve"> </w:t>
      </w:r>
      <w:r w:rsidRPr="0027239B">
        <w:rPr>
          <w:rFonts w:ascii="Times New Roman" w:hAnsi="Times New Roman" w:cs="Times New Roman"/>
          <w:b/>
          <w:bCs/>
          <w:noProof/>
          <w:szCs w:val="24"/>
        </w:rPr>
        <w:t>22</w:t>
      </w:r>
      <w:r w:rsidRPr="0027239B">
        <w:rPr>
          <w:rFonts w:ascii="Times New Roman" w:hAnsi="Times New Roman" w:cs="Times New Roman"/>
          <w:noProof/>
          <w:szCs w:val="24"/>
        </w:rPr>
        <w:t xml:space="preserve"> 1–18</w:t>
      </w:r>
    </w:p>
    <w:p w14:paraId="6F19CEAE" w14:textId="77777777" w:rsidR="0027239B" w:rsidRPr="0027239B" w:rsidRDefault="0027239B" w:rsidP="0027239B">
      <w:pPr>
        <w:widowControl w:val="0"/>
        <w:autoSpaceDE w:val="0"/>
        <w:autoSpaceDN w:val="0"/>
        <w:adjustRightInd w:val="0"/>
        <w:spacing w:after="0" w:line="240" w:lineRule="auto"/>
        <w:ind w:left="640" w:hanging="640"/>
        <w:rPr>
          <w:rFonts w:ascii="Times New Roman" w:hAnsi="Times New Roman" w:cs="Times New Roman"/>
          <w:noProof/>
          <w:szCs w:val="24"/>
        </w:rPr>
      </w:pPr>
      <w:r w:rsidRPr="0027239B">
        <w:rPr>
          <w:rFonts w:ascii="Times New Roman" w:hAnsi="Times New Roman" w:cs="Times New Roman"/>
          <w:noProof/>
          <w:szCs w:val="24"/>
        </w:rPr>
        <w:t>[6]</w:t>
      </w:r>
      <w:r w:rsidRPr="0027239B">
        <w:rPr>
          <w:rFonts w:ascii="Times New Roman" w:hAnsi="Times New Roman" w:cs="Times New Roman"/>
          <w:noProof/>
          <w:szCs w:val="24"/>
        </w:rPr>
        <w:tab/>
        <w:t xml:space="preserve"> Onyango G and Gitonga R 2017 Exploring how technology complements constructivism using a lesson plan </w:t>
      </w:r>
      <w:r w:rsidRPr="0027239B">
        <w:rPr>
          <w:rFonts w:ascii="Times New Roman" w:hAnsi="Times New Roman" w:cs="Times New Roman"/>
          <w:i/>
          <w:iCs/>
          <w:noProof/>
          <w:szCs w:val="24"/>
        </w:rPr>
        <w:t>2017 IST-Africa Week Conf. IST-Africa 2017</w:t>
      </w:r>
      <w:r w:rsidRPr="0027239B">
        <w:rPr>
          <w:rFonts w:ascii="Times New Roman" w:hAnsi="Times New Roman" w:cs="Times New Roman"/>
          <w:noProof/>
          <w:szCs w:val="24"/>
        </w:rPr>
        <w:t xml:space="preserve"> 1–11</w:t>
      </w:r>
    </w:p>
    <w:p w14:paraId="4C1ACCCA" w14:textId="77777777" w:rsidR="0027239B" w:rsidRPr="0027239B" w:rsidRDefault="0027239B" w:rsidP="0027239B">
      <w:pPr>
        <w:widowControl w:val="0"/>
        <w:autoSpaceDE w:val="0"/>
        <w:autoSpaceDN w:val="0"/>
        <w:adjustRightInd w:val="0"/>
        <w:spacing w:after="0" w:line="240" w:lineRule="auto"/>
        <w:ind w:left="640" w:hanging="640"/>
        <w:rPr>
          <w:rFonts w:ascii="Times New Roman" w:hAnsi="Times New Roman" w:cs="Times New Roman"/>
          <w:noProof/>
          <w:szCs w:val="24"/>
        </w:rPr>
      </w:pPr>
      <w:r w:rsidRPr="0027239B">
        <w:rPr>
          <w:rFonts w:ascii="Times New Roman" w:hAnsi="Times New Roman" w:cs="Times New Roman"/>
          <w:noProof/>
          <w:szCs w:val="24"/>
        </w:rPr>
        <w:t>[7]</w:t>
      </w:r>
      <w:r w:rsidRPr="0027239B">
        <w:rPr>
          <w:rFonts w:ascii="Times New Roman" w:hAnsi="Times New Roman" w:cs="Times New Roman"/>
          <w:noProof/>
          <w:szCs w:val="24"/>
        </w:rPr>
        <w:tab/>
        <w:t xml:space="preserve"> Aprinaldi A, Widiaty I and Abdullah A G 2018 Integrating SAMR learning model in vocational education </w:t>
      </w:r>
      <w:r w:rsidRPr="0027239B">
        <w:rPr>
          <w:rFonts w:ascii="Times New Roman" w:hAnsi="Times New Roman" w:cs="Times New Roman"/>
          <w:i/>
          <w:iCs/>
          <w:noProof/>
          <w:szCs w:val="24"/>
        </w:rPr>
        <w:t>IOP Conf. Ser. Mater. Sci. Eng.</w:t>
      </w:r>
      <w:r w:rsidRPr="0027239B">
        <w:rPr>
          <w:rFonts w:ascii="Times New Roman" w:hAnsi="Times New Roman" w:cs="Times New Roman"/>
          <w:noProof/>
          <w:szCs w:val="24"/>
        </w:rPr>
        <w:t xml:space="preserve"> </w:t>
      </w:r>
      <w:r w:rsidRPr="0027239B">
        <w:rPr>
          <w:rFonts w:ascii="Times New Roman" w:hAnsi="Times New Roman" w:cs="Times New Roman"/>
          <w:b/>
          <w:bCs/>
          <w:noProof/>
          <w:szCs w:val="24"/>
        </w:rPr>
        <w:t>434</w:t>
      </w:r>
    </w:p>
    <w:p w14:paraId="3B2F4AA8" w14:textId="77777777" w:rsidR="0027239B" w:rsidRPr="0027239B" w:rsidRDefault="0027239B" w:rsidP="0027239B">
      <w:pPr>
        <w:widowControl w:val="0"/>
        <w:autoSpaceDE w:val="0"/>
        <w:autoSpaceDN w:val="0"/>
        <w:adjustRightInd w:val="0"/>
        <w:spacing w:after="0" w:line="240" w:lineRule="auto"/>
        <w:ind w:left="640" w:hanging="640"/>
        <w:rPr>
          <w:rFonts w:ascii="Times New Roman" w:hAnsi="Times New Roman" w:cs="Times New Roman"/>
          <w:noProof/>
          <w:szCs w:val="24"/>
        </w:rPr>
      </w:pPr>
      <w:r w:rsidRPr="0027239B">
        <w:rPr>
          <w:rFonts w:ascii="Times New Roman" w:hAnsi="Times New Roman" w:cs="Times New Roman"/>
          <w:noProof/>
          <w:szCs w:val="24"/>
        </w:rPr>
        <w:t>[8]</w:t>
      </w:r>
      <w:r w:rsidRPr="0027239B">
        <w:rPr>
          <w:rFonts w:ascii="Times New Roman" w:hAnsi="Times New Roman" w:cs="Times New Roman"/>
          <w:noProof/>
          <w:szCs w:val="24"/>
        </w:rPr>
        <w:tab/>
        <w:t xml:space="preserve"> Yang S C 2007 E-critical/thematic doing history project: Integrating the critical thinking approach with computer-mediated history learning </w:t>
      </w:r>
      <w:r w:rsidRPr="0027239B">
        <w:rPr>
          <w:rFonts w:ascii="Times New Roman" w:hAnsi="Times New Roman" w:cs="Times New Roman"/>
          <w:i/>
          <w:iCs/>
          <w:noProof/>
          <w:szCs w:val="24"/>
        </w:rPr>
        <w:t>Comput. Human Behav.</w:t>
      </w:r>
      <w:r w:rsidRPr="0027239B">
        <w:rPr>
          <w:rFonts w:ascii="Times New Roman" w:hAnsi="Times New Roman" w:cs="Times New Roman"/>
          <w:noProof/>
          <w:szCs w:val="24"/>
        </w:rPr>
        <w:t xml:space="preserve"> </w:t>
      </w:r>
      <w:r w:rsidRPr="0027239B">
        <w:rPr>
          <w:rFonts w:ascii="Times New Roman" w:hAnsi="Times New Roman" w:cs="Times New Roman"/>
          <w:b/>
          <w:bCs/>
          <w:noProof/>
          <w:szCs w:val="24"/>
        </w:rPr>
        <w:t>23</w:t>
      </w:r>
      <w:r w:rsidRPr="0027239B">
        <w:rPr>
          <w:rFonts w:ascii="Times New Roman" w:hAnsi="Times New Roman" w:cs="Times New Roman"/>
          <w:noProof/>
          <w:szCs w:val="24"/>
        </w:rPr>
        <w:t xml:space="preserve"> 2095–112</w:t>
      </w:r>
    </w:p>
    <w:p w14:paraId="204FF0BD" w14:textId="77777777" w:rsidR="0027239B" w:rsidRPr="0027239B" w:rsidRDefault="0027239B" w:rsidP="0027239B">
      <w:pPr>
        <w:widowControl w:val="0"/>
        <w:autoSpaceDE w:val="0"/>
        <w:autoSpaceDN w:val="0"/>
        <w:adjustRightInd w:val="0"/>
        <w:spacing w:after="0" w:line="240" w:lineRule="auto"/>
        <w:ind w:left="640" w:hanging="640"/>
        <w:rPr>
          <w:rFonts w:ascii="Times New Roman" w:hAnsi="Times New Roman" w:cs="Times New Roman"/>
          <w:noProof/>
          <w:szCs w:val="24"/>
        </w:rPr>
      </w:pPr>
      <w:r w:rsidRPr="0027239B">
        <w:rPr>
          <w:rFonts w:ascii="Times New Roman" w:hAnsi="Times New Roman" w:cs="Times New Roman"/>
          <w:noProof/>
          <w:szCs w:val="24"/>
        </w:rPr>
        <w:t>[9]</w:t>
      </w:r>
      <w:r w:rsidRPr="0027239B">
        <w:rPr>
          <w:rFonts w:ascii="Times New Roman" w:hAnsi="Times New Roman" w:cs="Times New Roman"/>
          <w:noProof/>
          <w:szCs w:val="24"/>
        </w:rPr>
        <w:tab/>
        <w:t xml:space="preserve"> Vo H M, Zhu C and Diep N A 2017 The effect of blended learning on student performance at course-level in higher education: A meta-analysis </w:t>
      </w:r>
      <w:r w:rsidRPr="0027239B">
        <w:rPr>
          <w:rFonts w:ascii="Times New Roman" w:hAnsi="Times New Roman" w:cs="Times New Roman"/>
          <w:i/>
          <w:iCs/>
          <w:noProof/>
          <w:szCs w:val="24"/>
        </w:rPr>
        <w:t>Stud. Educ. Eval.</w:t>
      </w:r>
      <w:r w:rsidRPr="0027239B">
        <w:rPr>
          <w:rFonts w:ascii="Times New Roman" w:hAnsi="Times New Roman" w:cs="Times New Roman"/>
          <w:noProof/>
          <w:szCs w:val="24"/>
        </w:rPr>
        <w:t xml:space="preserve"> </w:t>
      </w:r>
      <w:r w:rsidRPr="0027239B">
        <w:rPr>
          <w:rFonts w:ascii="Times New Roman" w:hAnsi="Times New Roman" w:cs="Times New Roman"/>
          <w:b/>
          <w:bCs/>
          <w:noProof/>
          <w:szCs w:val="24"/>
        </w:rPr>
        <w:t>53</w:t>
      </w:r>
      <w:r w:rsidRPr="0027239B">
        <w:rPr>
          <w:rFonts w:ascii="Times New Roman" w:hAnsi="Times New Roman" w:cs="Times New Roman"/>
          <w:noProof/>
          <w:szCs w:val="24"/>
        </w:rPr>
        <w:t xml:space="preserve"> 17–28</w:t>
      </w:r>
    </w:p>
    <w:p w14:paraId="35D3571B" w14:textId="77777777" w:rsidR="0027239B" w:rsidRPr="0027239B" w:rsidRDefault="0027239B" w:rsidP="0027239B">
      <w:pPr>
        <w:widowControl w:val="0"/>
        <w:autoSpaceDE w:val="0"/>
        <w:autoSpaceDN w:val="0"/>
        <w:adjustRightInd w:val="0"/>
        <w:spacing w:after="0" w:line="240" w:lineRule="auto"/>
        <w:ind w:left="640" w:hanging="640"/>
        <w:rPr>
          <w:rFonts w:ascii="Times New Roman" w:hAnsi="Times New Roman" w:cs="Times New Roman"/>
          <w:noProof/>
          <w:szCs w:val="24"/>
        </w:rPr>
      </w:pPr>
      <w:r w:rsidRPr="0027239B">
        <w:rPr>
          <w:rFonts w:ascii="Times New Roman" w:hAnsi="Times New Roman" w:cs="Times New Roman"/>
          <w:noProof/>
          <w:szCs w:val="24"/>
        </w:rPr>
        <w:t>[10]</w:t>
      </w:r>
      <w:r w:rsidRPr="0027239B">
        <w:rPr>
          <w:rFonts w:ascii="Times New Roman" w:hAnsi="Times New Roman" w:cs="Times New Roman"/>
          <w:noProof/>
          <w:szCs w:val="24"/>
        </w:rPr>
        <w:tab/>
        <w:t xml:space="preserve"> Elfeky A I M, Masadeh T S Y and Elbyaly M Y H 2020 Advance organizers in flipped classroom via e-learning management system and the promotion of integrated science process skills </w:t>
      </w:r>
      <w:r w:rsidRPr="0027239B">
        <w:rPr>
          <w:rFonts w:ascii="Times New Roman" w:hAnsi="Times New Roman" w:cs="Times New Roman"/>
          <w:i/>
          <w:iCs/>
          <w:noProof/>
          <w:szCs w:val="24"/>
        </w:rPr>
        <w:t>Think. Ski. Creat.</w:t>
      </w:r>
      <w:r w:rsidRPr="0027239B">
        <w:rPr>
          <w:rFonts w:ascii="Times New Roman" w:hAnsi="Times New Roman" w:cs="Times New Roman"/>
          <w:noProof/>
          <w:szCs w:val="24"/>
        </w:rPr>
        <w:t xml:space="preserve"> </w:t>
      </w:r>
      <w:r w:rsidRPr="0027239B">
        <w:rPr>
          <w:rFonts w:ascii="Times New Roman" w:hAnsi="Times New Roman" w:cs="Times New Roman"/>
          <w:b/>
          <w:bCs/>
          <w:noProof/>
          <w:szCs w:val="24"/>
        </w:rPr>
        <w:t>35</w:t>
      </w:r>
      <w:r w:rsidRPr="0027239B">
        <w:rPr>
          <w:rFonts w:ascii="Times New Roman" w:hAnsi="Times New Roman" w:cs="Times New Roman"/>
          <w:noProof/>
          <w:szCs w:val="24"/>
        </w:rPr>
        <w:t xml:space="preserve"> 100622</w:t>
      </w:r>
    </w:p>
    <w:p w14:paraId="07C1757D" w14:textId="77777777" w:rsidR="0027239B" w:rsidRPr="0027239B" w:rsidRDefault="0027239B" w:rsidP="0027239B">
      <w:pPr>
        <w:widowControl w:val="0"/>
        <w:autoSpaceDE w:val="0"/>
        <w:autoSpaceDN w:val="0"/>
        <w:adjustRightInd w:val="0"/>
        <w:spacing w:after="0" w:line="240" w:lineRule="auto"/>
        <w:ind w:left="640" w:hanging="640"/>
        <w:rPr>
          <w:rFonts w:ascii="Times New Roman" w:hAnsi="Times New Roman" w:cs="Times New Roman"/>
          <w:noProof/>
          <w:szCs w:val="24"/>
        </w:rPr>
      </w:pPr>
      <w:r w:rsidRPr="0027239B">
        <w:rPr>
          <w:rFonts w:ascii="Times New Roman" w:hAnsi="Times New Roman" w:cs="Times New Roman"/>
          <w:noProof/>
          <w:szCs w:val="24"/>
        </w:rPr>
        <w:lastRenderedPageBreak/>
        <w:t>[11]</w:t>
      </w:r>
      <w:r w:rsidRPr="0027239B">
        <w:rPr>
          <w:rFonts w:ascii="Times New Roman" w:hAnsi="Times New Roman" w:cs="Times New Roman"/>
          <w:noProof/>
          <w:szCs w:val="24"/>
        </w:rPr>
        <w:tab/>
        <w:t xml:space="preserve"> Ayu H D, Saputro S, Sarwanto and Mulyani S 2020 Meta-Analysis of a Blended Learning Approach: Implications for Student Critical Thinking </w:t>
      </w:r>
      <w:r w:rsidRPr="0027239B">
        <w:rPr>
          <w:rFonts w:ascii="Times New Roman" w:hAnsi="Times New Roman" w:cs="Times New Roman"/>
          <w:b/>
          <w:bCs/>
          <w:noProof/>
          <w:szCs w:val="24"/>
        </w:rPr>
        <w:t>417</w:t>
      </w:r>
      <w:r w:rsidRPr="0027239B">
        <w:rPr>
          <w:rFonts w:ascii="Times New Roman" w:hAnsi="Times New Roman" w:cs="Times New Roman"/>
          <w:noProof/>
          <w:szCs w:val="24"/>
        </w:rPr>
        <w:t xml:space="preserve"> 87–94</w:t>
      </w:r>
    </w:p>
    <w:p w14:paraId="23C4E540" w14:textId="77777777" w:rsidR="0027239B" w:rsidRPr="0027239B" w:rsidRDefault="0027239B" w:rsidP="0027239B">
      <w:pPr>
        <w:widowControl w:val="0"/>
        <w:autoSpaceDE w:val="0"/>
        <w:autoSpaceDN w:val="0"/>
        <w:adjustRightInd w:val="0"/>
        <w:spacing w:after="0" w:line="240" w:lineRule="auto"/>
        <w:ind w:left="640" w:hanging="640"/>
        <w:rPr>
          <w:rFonts w:ascii="Times New Roman" w:hAnsi="Times New Roman" w:cs="Times New Roman"/>
          <w:noProof/>
          <w:szCs w:val="24"/>
        </w:rPr>
      </w:pPr>
      <w:r w:rsidRPr="0027239B">
        <w:rPr>
          <w:rFonts w:ascii="Times New Roman" w:hAnsi="Times New Roman" w:cs="Times New Roman"/>
          <w:noProof/>
          <w:szCs w:val="24"/>
        </w:rPr>
        <w:t>[12]</w:t>
      </w:r>
      <w:r w:rsidRPr="0027239B">
        <w:rPr>
          <w:rFonts w:ascii="Times New Roman" w:hAnsi="Times New Roman" w:cs="Times New Roman"/>
          <w:noProof/>
          <w:szCs w:val="24"/>
        </w:rPr>
        <w:tab/>
        <w:t xml:space="preserve"> Pratiwi H Y, Sujito S, Ayu H D and Jufriadi A 2018 The Importance of Hybrid Teaching and Learning Model to Improve Activities and Achievements </w:t>
      </w:r>
      <w:r w:rsidRPr="0027239B">
        <w:rPr>
          <w:rFonts w:ascii="Times New Roman" w:hAnsi="Times New Roman" w:cs="Times New Roman"/>
          <w:i/>
          <w:iCs/>
          <w:noProof/>
          <w:szCs w:val="24"/>
        </w:rPr>
        <w:t>fthe Annual Conference on Social Sciences and Humanities (ANCOSH 2018) - Revitalization ofLocal Wisdom in Global and Competitive Era</w:t>
      </w:r>
      <w:r w:rsidRPr="0027239B">
        <w:rPr>
          <w:rFonts w:ascii="Times New Roman" w:hAnsi="Times New Roman" w:cs="Times New Roman"/>
          <w:noProof/>
          <w:szCs w:val="24"/>
        </w:rPr>
        <w:t xml:space="preserve"> pp 326–30</w:t>
      </w:r>
    </w:p>
    <w:p w14:paraId="539B7B80" w14:textId="77777777" w:rsidR="0027239B" w:rsidRPr="0027239B" w:rsidRDefault="0027239B" w:rsidP="0027239B">
      <w:pPr>
        <w:widowControl w:val="0"/>
        <w:autoSpaceDE w:val="0"/>
        <w:autoSpaceDN w:val="0"/>
        <w:adjustRightInd w:val="0"/>
        <w:spacing w:after="0" w:line="240" w:lineRule="auto"/>
        <w:ind w:left="640" w:hanging="640"/>
        <w:rPr>
          <w:rFonts w:ascii="Times New Roman" w:hAnsi="Times New Roman" w:cs="Times New Roman"/>
          <w:noProof/>
          <w:szCs w:val="24"/>
        </w:rPr>
      </w:pPr>
      <w:r w:rsidRPr="0027239B">
        <w:rPr>
          <w:rFonts w:ascii="Times New Roman" w:hAnsi="Times New Roman" w:cs="Times New Roman"/>
          <w:noProof/>
          <w:szCs w:val="24"/>
        </w:rPr>
        <w:t>[13]</w:t>
      </w:r>
      <w:r w:rsidRPr="0027239B">
        <w:rPr>
          <w:rFonts w:ascii="Times New Roman" w:hAnsi="Times New Roman" w:cs="Times New Roman"/>
          <w:noProof/>
          <w:szCs w:val="24"/>
        </w:rPr>
        <w:tab/>
        <w:t xml:space="preserve"> Ayu H D, Pratiwi H Y, Kusairi S and Muhardjito 2017 Developing E-Scaffolding to Improve the Quality of Process and Learning Outcomes </w:t>
      </w:r>
      <w:r w:rsidRPr="0027239B">
        <w:rPr>
          <w:rFonts w:ascii="Times New Roman" w:hAnsi="Times New Roman" w:cs="Times New Roman"/>
          <w:i/>
          <w:iCs/>
          <w:noProof/>
          <w:szCs w:val="24"/>
        </w:rPr>
        <w:t>J. kependidikan</w:t>
      </w:r>
    </w:p>
    <w:p w14:paraId="0EDDC0A2" w14:textId="77777777" w:rsidR="0027239B" w:rsidRPr="0027239B" w:rsidRDefault="0027239B" w:rsidP="0027239B">
      <w:pPr>
        <w:widowControl w:val="0"/>
        <w:autoSpaceDE w:val="0"/>
        <w:autoSpaceDN w:val="0"/>
        <w:adjustRightInd w:val="0"/>
        <w:spacing w:after="0" w:line="240" w:lineRule="auto"/>
        <w:ind w:left="640" w:hanging="640"/>
        <w:rPr>
          <w:rFonts w:ascii="Times New Roman" w:hAnsi="Times New Roman" w:cs="Times New Roman"/>
          <w:noProof/>
          <w:szCs w:val="24"/>
        </w:rPr>
      </w:pPr>
      <w:r w:rsidRPr="0027239B">
        <w:rPr>
          <w:rFonts w:ascii="Times New Roman" w:hAnsi="Times New Roman" w:cs="Times New Roman"/>
          <w:noProof/>
          <w:szCs w:val="24"/>
        </w:rPr>
        <w:t>[14]</w:t>
      </w:r>
      <w:r w:rsidRPr="0027239B">
        <w:rPr>
          <w:rFonts w:ascii="Times New Roman" w:hAnsi="Times New Roman" w:cs="Times New Roman"/>
          <w:noProof/>
          <w:szCs w:val="24"/>
        </w:rPr>
        <w:tab/>
        <w:t xml:space="preserve"> Ayu H D, Jufriadi A, Pratiwi H Y and Sujito S 2018 The Implication of E-Scaffolding in Mathematical Physics - Students Achievement and Motivation 119–22</w:t>
      </w:r>
    </w:p>
    <w:p w14:paraId="6C33C63D" w14:textId="77777777" w:rsidR="0027239B" w:rsidRPr="0027239B" w:rsidRDefault="0027239B" w:rsidP="0027239B">
      <w:pPr>
        <w:widowControl w:val="0"/>
        <w:autoSpaceDE w:val="0"/>
        <w:autoSpaceDN w:val="0"/>
        <w:adjustRightInd w:val="0"/>
        <w:spacing w:after="0" w:line="240" w:lineRule="auto"/>
        <w:ind w:left="640" w:hanging="640"/>
        <w:rPr>
          <w:rFonts w:ascii="Times New Roman" w:hAnsi="Times New Roman" w:cs="Times New Roman"/>
          <w:noProof/>
          <w:szCs w:val="24"/>
        </w:rPr>
      </w:pPr>
      <w:r w:rsidRPr="0027239B">
        <w:rPr>
          <w:rFonts w:ascii="Times New Roman" w:hAnsi="Times New Roman" w:cs="Times New Roman"/>
          <w:noProof/>
          <w:szCs w:val="24"/>
        </w:rPr>
        <w:t>[15]</w:t>
      </w:r>
      <w:r w:rsidRPr="0027239B">
        <w:rPr>
          <w:rFonts w:ascii="Times New Roman" w:hAnsi="Times New Roman" w:cs="Times New Roman"/>
          <w:noProof/>
          <w:szCs w:val="24"/>
        </w:rPr>
        <w:tab/>
        <w:t xml:space="preserve"> Trisnayanti Y, Khoiri A, Miterianifa and Ayu H D 2019 Development of Torrance test creativity thinking (TTCT) instrument in science learning </w:t>
      </w:r>
      <w:r w:rsidRPr="0027239B">
        <w:rPr>
          <w:rFonts w:ascii="Times New Roman" w:hAnsi="Times New Roman" w:cs="Times New Roman"/>
          <w:i/>
          <w:iCs/>
          <w:noProof/>
          <w:szCs w:val="24"/>
        </w:rPr>
        <w:t>AIP Conf. Proc.</w:t>
      </w:r>
      <w:r w:rsidRPr="0027239B">
        <w:rPr>
          <w:rFonts w:ascii="Times New Roman" w:hAnsi="Times New Roman" w:cs="Times New Roman"/>
          <w:noProof/>
          <w:szCs w:val="24"/>
        </w:rPr>
        <w:t xml:space="preserve"> </w:t>
      </w:r>
      <w:r w:rsidRPr="0027239B">
        <w:rPr>
          <w:rFonts w:ascii="Times New Roman" w:hAnsi="Times New Roman" w:cs="Times New Roman"/>
          <w:b/>
          <w:bCs/>
          <w:noProof/>
          <w:szCs w:val="24"/>
        </w:rPr>
        <w:t>2194</w:t>
      </w:r>
    </w:p>
    <w:p w14:paraId="194905A1" w14:textId="77777777" w:rsidR="0027239B" w:rsidRPr="0027239B" w:rsidRDefault="0027239B" w:rsidP="0027239B">
      <w:pPr>
        <w:widowControl w:val="0"/>
        <w:autoSpaceDE w:val="0"/>
        <w:autoSpaceDN w:val="0"/>
        <w:adjustRightInd w:val="0"/>
        <w:spacing w:after="0" w:line="240" w:lineRule="auto"/>
        <w:ind w:left="640" w:hanging="640"/>
        <w:rPr>
          <w:rFonts w:ascii="Times New Roman" w:hAnsi="Times New Roman" w:cs="Times New Roman"/>
          <w:noProof/>
          <w:szCs w:val="24"/>
        </w:rPr>
      </w:pPr>
      <w:r w:rsidRPr="0027239B">
        <w:rPr>
          <w:rFonts w:ascii="Times New Roman" w:hAnsi="Times New Roman" w:cs="Times New Roman"/>
          <w:noProof/>
          <w:szCs w:val="24"/>
        </w:rPr>
        <w:t>[16]</w:t>
      </w:r>
      <w:r w:rsidRPr="0027239B">
        <w:rPr>
          <w:rFonts w:ascii="Times New Roman" w:hAnsi="Times New Roman" w:cs="Times New Roman"/>
          <w:noProof/>
          <w:szCs w:val="24"/>
        </w:rPr>
        <w:tab/>
        <w:t xml:space="preserve"> Miterianifa, Trisnayanti Y, Khoiri A and Ayu H D 2019 Meta-analysis: The effect of problem-based learning on students’ critical thinking skills </w:t>
      </w:r>
      <w:r w:rsidRPr="0027239B">
        <w:rPr>
          <w:rFonts w:ascii="Times New Roman" w:hAnsi="Times New Roman" w:cs="Times New Roman"/>
          <w:i/>
          <w:iCs/>
          <w:noProof/>
          <w:szCs w:val="24"/>
        </w:rPr>
        <w:t>AIP Conf. Proc.</w:t>
      </w:r>
      <w:r w:rsidRPr="0027239B">
        <w:rPr>
          <w:rFonts w:ascii="Times New Roman" w:hAnsi="Times New Roman" w:cs="Times New Roman"/>
          <w:noProof/>
          <w:szCs w:val="24"/>
        </w:rPr>
        <w:t xml:space="preserve"> </w:t>
      </w:r>
      <w:r w:rsidRPr="0027239B">
        <w:rPr>
          <w:rFonts w:ascii="Times New Roman" w:hAnsi="Times New Roman" w:cs="Times New Roman"/>
          <w:b/>
          <w:bCs/>
          <w:noProof/>
          <w:szCs w:val="24"/>
        </w:rPr>
        <w:t>2194</w:t>
      </w:r>
    </w:p>
    <w:p w14:paraId="2169A185" w14:textId="77777777" w:rsidR="0027239B" w:rsidRPr="0027239B" w:rsidRDefault="0027239B" w:rsidP="0027239B">
      <w:pPr>
        <w:widowControl w:val="0"/>
        <w:autoSpaceDE w:val="0"/>
        <w:autoSpaceDN w:val="0"/>
        <w:adjustRightInd w:val="0"/>
        <w:spacing w:after="0" w:line="240" w:lineRule="auto"/>
        <w:ind w:left="640" w:hanging="640"/>
        <w:rPr>
          <w:rFonts w:ascii="Times New Roman" w:hAnsi="Times New Roman" w:cs="Times New Roman"/>
          <w:noProof/>
          <w:szCs w:val="24"/>
        </w:rPr>
      </w:pPr>
      <w:r w:rsidRPr="0027239B">
        <w:rPr>
          <w:rFonts w:ascii="Times New Roman" w:hAnsi="Times New Roman" w:cs="Times New Roman"/>
          <w:noProof/>
          <w:szCs w:val="24"/>
        </w:rPr>
        <w:t>[17]</w:t>
      </w:r>
      <w:r w:rsidRPr="0027239B">
        <w:rPr>
          <w:rFonts w:ascii="Times New Roman" w:hAnsi="Times New Roman" w:cs="Times New Roman"/>
          <w:noProof/>
          <w:szCs w:val="24"/>
        </w:rPr>
        <w:tab/>
        <w:t xml:space="preserve"> Mohammad M T and Al ali Z T 2017 A Hybrid Spiral Project Based Learning Model for Microprocessor Course Teaching </w:t>
      </w:r>
      <w:r w:rsidRPr="0027239B">
        <w:rPr>
          <w:rFonts w:ascii="Times New Roman" w:hAnsi="Times New Roman" w:cs="Times New Roman"/>
          <w:i/>
          <w:iCs/>
          <w:noProof/>
          <w:szCs w:val="24"/>
        </w:rPr>
        <w:t>Kurdistan J. Appl. Res.</w:t>
      </w:r>
      <w:r w:rsidRPr="0027239B">
        <w:rPr>
          <w:rFonts w:ascii="Times New Roman" w:hAnsi="Times New Roman" w:cs="Times New Roman"/>
          <w:noProof/>
          <w:szCs w:val="24"/>
        </w:rPr>
        <w:t xml:space="preserve"> </w:t>
      </w:r>
      <w:r w:rsidRPr="0027239B">
        <w:rPr>
          <w:rFonts w:ascii="Times New Roman" w:hAnsi="Times New Roman" w:cs="Times New Roman"/>
          <w:b/>
          <w:bCs/>
          <w:noProof/>
          <w:szCs w:val="24"/>
        </w:rPr>
        <w:t>2</w:t>
      </w:r>
      <w:r w:rsidRPr="0027239B">
        <w:rPr>
          <w:rFonts w:ascii="Times New Roman" w:hAnsi="Times New Roman" w:cs="Times New Roman"/>
          <w:noProof/>
          <w:szCs w:val="24"/>
        </w:rPr>
        <w:t xml:space="preserve"> 125–30</w:t>
      </w:r>
    </w:p>
    <w:p w14:paraId="6C662F59" w14:textId="77777777" w:rsidR="0027239B" w:rsidRPr="0027239B" w:rsidRDefault="0027239B" w:rsidP="0027239B">
      <w:pPr>
        <w:widowControl w:val="0"/>
        <w:autoSpaceDE w:val="0"/>
        <w:autoSpaceDN w:val="0"/>
        <w:adjustRightInd w:val="0"/>
        <w:spacing w:after="0" w:line="240" w:lineRule="auto"/>
        <w:ind w:left="640" w:hanging="640"/>
        <w:rPr>
          <w:rFonts w:ascii="Times New Roman" w:hAnsi="Times New Roman" w:cs="Times New Roman"/>
          <w:noProof/>
          <w:szCs w:val="24"/>
        </w:rPr>
      </w:pPr>
      <w:r w:rsidRPr="0027239B">
        <w:rPr>
          <w:rFonts w:ascii="Times New Roman" w:hAnsi="Times New Roman" w:cs="Times New Roman"/>
          <w:noProof/>
          <w:szCs w:val="24"/>
        </w:rPr>
        <w:t>[18]</w:t>
      </w:r>
      <w:r w:rsidRPr="0027239B">
        <w:rPr>
          <w:rFonts w:ascii="Times New Roman" w:hAnsi="Times New Roman" w:cs="Times New Roman"/>
          <w:noProof/>
          <w:szCs w:val="24"/>
        </w:rPr>
        <w:tab/>
        <w:t xml:space="preserve"> Alvarez L H R 2010 Minimum guaranteed payments and costly cancellation rights: A stopping game perspective </w:t>
      </w:r>
      <w:r w:rsidRPr="0027239B">
        <w:rPr>
          <w:rFonts w:ascii="Times New Roman" w:hAnsi="Times New Roman" w:cs="Times New Roman"/>
          <w:i/>
          <w:iCs/>
          <w:noProof/>
          <w:szCs w:val="24"/>
        </w:rPr>
        <w:t>Math. Financ.</w:t>
      </w:r>
      <w:r w:rsidRPr="0027239B">
        <w:rPr>
          <w:rFonts w:ascii="Times New Roman" w:hAnsi="Times New Roman" w:cs="Times New Roman"/>
          <w:noProof/>
          <w:szCs w:val="24"/>
        </w:rPr>
        <w:t xml:space="preserve"> </w:t>
      </w:r>
      <w:r w:rsidRPr="0027239B">
        <w:rPr>
          <w:rFonts w:ascii="Times New Roman" w:hAnsi="Times New Roman" w:cs="Times New Roman"/>
          <w:b/>
          <w:bCs/>
          <w:noProof/>
          <w:szCs w:val="24"/>
        </w:rPr>
        <w:t>20</w:t>
      </w:r>
      <w:r w:rsidRPr="0027239B">
        <w:rPr>
          <w:rFonts w:ascii="Times New Roman" w:hAnsi="Times New Roman" w:cs="Times New Roman"/>
          <w:noProof/>
          <w:szCs w:val="24"/>
        </w:rPr>
        <w:t xml:space="preserve"> 733–51</w:t>
      </w:r>
    </w:p>
    <w:p w14:paraId="273366D7" w14:textId="77777777" w:rsidR="0027239B" w:rsidRPr="0027239B" w:rsidRDefault="0027239B" w:rsidP="0027239B">
      <w:pPr>
        <w:widowControl w:val="0"/>
        <w:autoSpaceDE w:val="0"/>
        <w:autoSpaceDN w:val="0"/>
        <w:adjustRightInd w:val="0"/>
        <w:spacing w:after="0" w:line="240" w:lineRule="auto"/>
        <w:ind w:left="640" w:hanging="640"/>
        <w:rPr>
          <w:rFonts w:ascii="Times New Roman" w:hAnsi="Times New Roman" w:cs="Times New Roman"/>
          <w:noProof/>
          <w:szCs w:val="24"/>
        </w:rPr>
      </w:pPr>
      <w:r w:rsidRPr="0027239B">
        <w:rPr>
          <w:rFonts w:ascii="Times New Roman" w:hAnsi="Times New Roman" w:cs="Times New Roman"/>
          <w:noProof/>
          <w:szCs w:val="24"/>
        </w:rPr>
        <w:t>[19]</w:t>
      </w:r>
      <w:r w:rsidRPr="0027239B">
        <w:rPr>
          <w:rFonts w:ascii="Times New Roman" w:hAnsi="Times New Roman" w:cs="Times New Roman"/>
          <w:noProof/>
          <w:szCs w:val="24"/>
        </w:rPr>
        <w:tab/>
        <w:t xml:space="preserve"> Dhina M A, Hadisoebroto G and Mubaroq S R 2019 Development of E-Practicum Module for Pharmacy Physics Learning </w:t>
      </w:r>
      <w:r w:rsidRPr="0027239B">
        <w:rPr>
          <w:rFonts w:ascii="Times New Roman" w:hAnsi="Times New Roman" w:cs="Times New Roman"/>
          <w:i/>
          <w:iCs/>
          <w:noProof/>
          <w:szCs w:val="24"/>
        </w:rPr>
        <w:t>Momentum Phys. Educ. J.</w:t>
      </w:r>
      <w:r w:rsidRPr="0027239B">
        <w:rPr>
          <w:rFonts w:ascii="Times New Roman" w:hAnsi="Times New Roman" w:cs="Times New Roman"/>
          <w:noProof/>
          <w:szCs w:val="24"/>
        </w:rPr>
        <w:t xml:space="preserve"> </w:t>
      </w:r>
      <w:r w:rsidRPr="0027239B">
        <w:rPr>
          <w:rFonts w:ascii="Times New Roman" w:hAnsi="Times New Roman" w:cs="Times New Roman"/>
          <w:b/>
          <w:bCs/>
          <w:noProof/>
          <w:szCs w:val="24"/>
        </w:rPr>
        <w:t>3</w:t>
      </w:r>
      <w:r w:rsidRPr="0027239B">
        <w:rPr>
          <w:rFonts w:ascii="Times New Roman" w:hAnsi="Times New Roman" w:cs="Times New Roman"/>
          <w:noProof/>
          <w:szCs w:val="24"/>
        </w:rPr>
        <w:t xml:space="preserve"> 95–102</w:t>
      </w:r>
    </w:p>
    <w:p w14:paraId="79FD032B" w14:textId="77777777" w:rsidR="0027239B" w:rsidRPr="0027239B" w:rsidRDefault="0027239B" w:rsidP="0027239B">
      <w:pPr>
        <w:widowControl w:val="0"/>
        <w:autoSpaceDE w:val="0"/>
        <w:autoSpaceDN w:val="0"/>
        <w:adjustRightInd w:val="0"/>
        <w:spacing w:after="0" w:line="240" w:lineRule="auto"/>
        <w:ind w:left="640" w:hanging="640"/>
        <w:rPr>
          <w:rFonts w:ascii="Times New Roman" w:hAnsi="Times New Roman" w:cs="Times New Roman"/>
          <w:noProof/>
          <w:szCs w:val="24"/>
        </w:rPr>
      </w:pPr>
      <w:r w:rsidRPr="0027239B">
        <w:rPr>
          <w:rFonts w:ascii="Times New Roman" w:hAnsi="Times New Roman" w:cs="Times New Roman"/>
          <w:noProof/>
          <w:szCs w:val="24"/>
        </w:rPr>
        <w:t>[20]</w:t>
      </w:r>
      <w:r w:rsidRPr="0027239B">
        <w:rPr>
          <w:rFonts w:ascii="Times New Roman" w:hAnsi="Times New Roman" w:cs="Times New Roman"/>
          <w:noProof/>
          <w:szCs w:val="24"/>
        </w:rPr>
        <w:tab/>
        <w:t xml:space="preserve"> Serway R A and Jewett J W 2004 </w:t>
      </w:r>
      <w:r w:rsidRPr="0027239B">
        <w:rPr>
          <w:rFonts w:ascii="Times New Roman" w:hAnsi="Times New Roman" w:cs="Times New Roman"/>
          <w:i/>
          <w:iCs/>
          <w:noProof/>
          <w:szCs w:val="24"/>
        </w:rPr>
        <w:t>Physics For Scientists and Engineers</w:t>
      </w:r>
      <w:r w:rsidRPr="0027239B">
        <w:rPr>
          <w:rFonts w:ascii="Times New Roman" w:hAnsi="Times New Roman" w:cs="Times New Roman"/>
          <w:noProof/>
          <w:szCs w:val="24"/>
        </w:rPr>
        <w:t xml:space="preserve"> (Thomson Brook/ Cole)</w:t>
      </w:r>
    </w:p>
    <w:p w14:paraId="7A6F8A3E" w14:textId="77777777" w:rsidR="0027239B" w:rsidRPr="0027239B" w:rsidRDefault="0027239B" w:rsidP="0027239B">
      <w:pPr>
        <w:widowControl w:val="0"/>
        <w:autoSpaceDE w:val="0"/>
        <w:autoSpaceDN w:val="0"/>
        <w:adjustRightInd w:val="0"/>
        <w:spacing w:after="0" w:line="240" w:lineRule="auto"/>
        <w:ind w:left="640" w:hanging="640"/>
        <w:rPr>
          <w:rFonts w:ascii="Times New Roman" w:hAnsi="Times New Roman" w:cs="Times New Roman"/>
          <w:noProof/>
          <w:szCs w:val="24"/>
        </w:rPr>
      </w:pPr>
      <w:r w:rsidRPr="0027239B">
        <w:rPr>
          <w:rFonts w:ascii="Times New Roman" w:hAnsi="Times New Roman" w:cs="Times New Roman"/>
          <w:noProof/>
          <w:szCs w:val="24"/>
        </w:rPr>
        <w:t>[21]</w:t>
      </w:r>
      <w:r w:rsidRPr="0027239B">
        <w:rPr>
          <w:rFonts w:ascii="Times New Roman" w:hAnsi="Times New Roman" w:cs="Times New Roman"/>
          <w:noProof/>
          <w:szCs w:val="24"/>
        </w:rPr>
        <w:tab/>
        <w:t xml:space="preserve"> Ayu H D and Sarwanto S 2019 Analysis of seismic signal in order to determine subsurface characteristics </w:t>
      </w:r>
      <w:r w:rsidRPr="0027239B">
        <w:rPr>
          <w:rFonts w:ascii="Times New Roman" w:hAnsi="Times New Roman" w:cs="Times New Roman"/>
          <w:i/>
          <w:iCs/>
          <w:noProof/>
          <w:szCs w:val="24"/>
        </w:rPr>
        <w:t>J. Phys. Conf. Ser.</w:t>
      </w:r>
      <w:r w:rsidRPr="0027239B">
        <w:rPr>
          <w:rFonts w:ascii="Times New Roman" w:hAnsi="Times New Roman" w:cs="Times New Roman"/>
          <w:noProof/>
          <w:szCs w:val="24"/>
        </w:rPr>
        <w:t xml:space="preserve"> </w:t>
      </w:r>
      <w:r w:rsidRPr="0027239B">
        <w:rPr>
          <w:rFonts w:ascii="Times New Roman" w:hAnsi="Times New Roman" w:cs="Times New Roman"/>
          <w:b/>
          <w:bCs/>
          <w:noProof/>
          <w:szCs w:val="24"/>
        </w:rPr>
        <w:t>1375</w:t>
      </w:r>
    </w:p>
    <w:p w14:paraId="24177605" w14:textId="77777777" w:rsidR="0027239B" w:rsidRPr="0027239B" w:rsidRDefault="0027239B" w:rsidP="0027239B">
      <w:pPr>
        <w:widowControl w:val="0"/>
        <w:autoSpaceDE w:val="0"/>
        <w:autoSpaceDN w:val="0"/>
        <w:adjustRightInd w:val="0"/>
        <w:spacing w:after="0" w:line="240" w:lineRule="auto"/>
        <w:ind w:left="640" w:hanging="640"/>
        <w:rPr>
          <w:rFonts w:ascii="Times New Roman" w:hAnsi="Times New Roman" w:cs="Times New Roman"/>
          <w:noProof/>
          <w:szCs w:val="24"/>
        </w:rPr>
      </w:pPr>
      <w:r w:rsidRPr="0027239B">
        <w:rPr>
          <w:rFonts w:ascii="Times New Roman" w:hAnsi="Times New Roman" w:cs="Times New Roman"/>
          <w:noProof/>
          <w:szCs w:val="24"/>
        </w:rPr>
        <w:t>[22]</w:t>
      </w:r>
      <w:r w:rsidRPr="0027239B">
        <w:rPr>
          <w:rFonts w:ascii="Times New Roman" w:hAnsi="Times New Roman" w:cs="Times New Roman"/>
          <w:noProof/>
          <w:szCs w:val="24"/>
        </w:rPr>
        <w:tab/>
        <w:t xml:space="preserve"> Aikenhead G S 2005 </w:t>
      </w:r>
      <w:r w:rsidRPr="0027239B">
        <w:rPr>
          <w:rFonts w:ascii="Times New Roman" w:hAnsi="Times New Roman" w:cs="Times New Roman"/>
          <w:i/>
          <w:iCs/>
          <w:noProof/>
          <w:szCs w:val="24"/>
        </w:rPr>
        <w:t>Science Education for Everyday Life: Evidence-based Practice (Ways of Knowing in Science &amp; Mathematics)</w:t>
      </w:r>
    </w:p>
    <w:p w14:paraId="33175D48" w14:textId="77777777" w:rsidR="0027239B" w:rsidRPr="0027239B" w:rsidRDefault="0027239B" w:rsidP="0027239B">
      <w:pPr>
        <w:widowControl w:val="0"/>
        <w:autoSpaceDE w:val="0"/>
        <w:autoSpaceDN w:val="0"/>
        <w:adjustRightInd w:val="0"/>
        <w:spacing w:after="0" w:line="240" w:lineRule="auto"/>
        <w:ind w:left="640" w:hanging="640"/>
        <w:rPr>
          <w:rFonts w:ascii="Times New Roman" w:hAnsi="Times New Roman" w:cs="Times New Roman"/>
          <w:noProof/>
          <w:szCs w:val="24"/>
        </w:rPr>
      </w:pPr>
      <w:r w:rsidRPr="0027239B">
        <w:rPr>
          <w:rFonts w:ascii="Times New Roman" w:hAnsi="Times New Roman" w:cs="Times New Roman"/>
          <w:noProof/>
          <w:szCs w:val="24"/>
        </w:rPr>
        <w:t>[23]</w:t>
      </w:r>
      <w:r w:rsidRPr="0027239B">
        <w:rPr>
          <w:rFonts w:ascii="Times New Roman" w:hAnsi="Times New Roman" w:cs="Times New Roman"/>
          <w:noProof/>
          <w:szCs w:val="24"/>
        </w:rPr>
        <w:tab/>
        <w:t xml:space="preserve"> Ahmadi S D and Marandi S S 2014 Social Software in the Classroom: The Case of Wikis for Scaffolding </w:t>
      </w:r>
      <w:r w:rsidRPr="0027239B">
        <w:rPr>
          <w:rFonts w:ascii="Times New Roman" w:hAnsi="Times New Roman" w:cs="Times New Roman"/>
          <w:i/>
          <w:iCs/>
          <w:noProof/>
          <w:szCs w:val="24"/>
        </w:rPr>
        <w:t>Procedia - Soc. Behav. Sci.</w:t>
      </w:r>
      <w:r w:rsidRPr="0027239B">
        <w:rPr>
          <w:rFonts w:ascii="Times New Roman" w:hAnsi="Times New Roman" w:cs="Times New Roman"/>
          <w:noProof/>
          <w:szCs w:val="24"/>
        </w:rPr>
        <w:t xml:space="preserve"> </w:t>
      </w:r>
      <w:r w:rsidRPr="0027239B">
        <w:rPr>
          <w:rFonts w:ascii="Times New Roman" w:hAnsi="Times New Roman" w:cs="Times New Roman"/>
          <w:b/>
          <w:bCs/>
          <w:noProof/>
          <w:szCs w:val="24"/>
        </w:rPr>
        <w:t>98</w:t>
      </w:r>
      <w:r w:rsidRPr="0027239B">
        <w:rPr>
          <w:rFonts w:ascii="Times New Roman" w:hAnsi="Times New Roman" w:cs="Times New Roman"/>
          <w:noProof/>
          <w:szCs w:val="24"/>
        </w:rPr>
        <w:t xml:space="preserve"> 100–8</w:t>
      </w:r>
    </w:p>
    <w:p w14:paraId="2262673A" w14:textId="77777777" w:rsidR="0027239B" w:rsidRPr="0027239B" w:rsidRDefault="0027239B" w:rsidP="0027239B">
      <w:pPr>
        <w:widowControl w:val="0"/>
        <w:autoSpaceDE w:val="0"/>
        <w:autoSpaceDN w:val="0"/>
        <w:adjustRightInd w:val="0"/>
        <w:spacing w:after="0" w:line="240" w:lineRule="auto"/>
        <w:ind w:left="640" w:hanging="640"/>
        <w:rPr>
          <w:rFonts w:ascii="Times New Roman" w:hAnsi="Times New Roman" w:cs="Times New Roman"/>
          <w:noProof/>
          <w:szCs w:val="24"/>
        </w:rPr>
      </w:pPr>
      <w:r w:rsidRPr="0027239B">
        <w:rPr>
          <w:rFonts w:ascii="Times New Roman" w:hAnsi="Times New Roman" w:cs="Times New Roman"/>
          <w:noProof/>
          <w:szCs w:val="24"/>
        </w:rPr>
        <w:t>[24]</w:t>
      </w:r>
      <w:r w:rsidRPr="0027239B">
        <w:rPr>
          <w:rFonts w:ascii="Times New Roman" w:hAnsi="Times New Roman" w:cs="Times New Roman"/>
          <w:noProof/>
          <w:szCs w:val="24"/>
        </w:rPr>
        <w:tab/>
        <w:t xml:space="preserve"> Puentedura R R 2014 </w:t>
      </w:r>
      <w:r w:rsidRPr="0027239B">
        <w:rPr>
          <w:rFonts w:ascii="Times New Roman" w:hAnsi="Times New Roman" w:cs="Times New Roman"/>
          <w:i/>
          <w:iCs/>
          <w:noProof/>
          <w:szCs w:val="24"/>
        </w:rPr>
        <w:t>SAMR and TPCK: A Hands-On Approach to Classroom Practice</w:t>
      </w:r>
    </w:p>
    <w:p w14:paraId="341EEE45" w14:textId="77777777" w:rsidR="0027239B" w:rsidRPr="0027239B" w:rsidRDefault="0027239B" w:rsidP="0027239B">
      <w:pPr>
        <w:widowControl w:val="0"/>
        <w:autoSpaceDE w:val="0"/>
        <w:autoSpaceDN w:val="0"/>
        <w:adjustRightInd w:val="0"/>
        <w:spacing w:after="0" w:line="240" w:lineRule="auto"/>
        <w:ind w:left="640" w:hanging="640"/>
        <w:rPr>
          <w:rFonts w:ascii="Times New Roman" w:hAnsi="Times New Roman" w:cs="Times New Roman"/>
          <w:noProof/>
          <w:szCs w:val="24"/>
        </w:rPr>
      </w:pPr>
      <w:r w:rsidRPr="0027239B">
        <w:rPr>
          <w:rFonts w:ascii="Times New Roman" w:hAnsi="Times New Roman" w:cs="Times New Roman"/>
          <w:noProof/>
          <w:szCs w:val="24"/>
        </w:rPr>
        <w:t>[25]</w:t>
      </w:r>
      <w:r w:rsidRPr="0027239B">
        <w:rPr>
          <w:rFonts w:ascii="Times New Roman" w:hAnsi="Times New Roman" w:cs="Times New Roman"/>
          <w:noProof/>
          <w:szCs w:val="24"/>
        </w:rPr>
        <w:tab/>
        <w:t xml:space="preserve"> Hamilton E R, Rosenberg J M and Akcaoglu M 2016 The Substitution Augmentation Modification Redefinition (SAMR) Model: a Critical Review and Suggestions for its Use </w:t>
      </w:r>
      <w:r w:rsidRPr="0027239B">
        <w:rPr>
          <w:rFonts w:ascii="Times New Roman" w:hAnsi="Times New Roman" w:cs="Times New Roman"/>
          <w:i/>
          <w:iCs/>
          <w:noProof/>
          <w:szCs w:val="24"/>
        </w:rPr>
        <w:t>TechTrends</w:t>
      </w:r>
      <w:r w:rsidRPr="0027239B">
        <w:rPr>
          <w:rFonts w:ascii="Times New Roman" w:hAnsi="Times New Roman" w:cs="Times New Roman"/>
          <w:noProof/>
          <w:szCs w:val="24"/>
        </w:rPr>
        <w:t xml:space="preserve"> </w:t>
      </w:r>
      <w:r w:rsidRPr="0027239B">
        <w:rPr>
          <w:rFonts w:ascii="Times New Roman" w:hAnsi="Times New Roman" w:cs="Times New Roman"/>
          <w:b/>
          <w:bCs/>
          <w:noProof/>
          <w:szCs w:val="24"/>
        </w:rPr>
        <w:t>60</w:t>
      </w:r>
      <w:r w:rsidRPr="0027239B">
        <w:rPr>
          <w:rFonts w:ascii="Times New Roman" w:hAnsi="Times New Roman" w:cs="Times New Roman"/>
          <w:noProof/>
          <w:szCs w:val="24"/>
        </w:rPr>
        <w:t xml:space="preserve"> 433–41</w:t>
      </w:r>
    </w:p>
    <w:p w14:paraId="21A78A83" w14:textId="77777777" w:rsidR="0027239B" w:rsidRPr="0027239B" w:rsidRDefault="0027239B" w:rsidP="0027239B">
      <w:pPr>
        <w:widowControl w:val="0"/>
        <w:autoSpaceDE w:val="0"/>
        <w:autoSpaceDN w:val="0"/>
        <w:adjustRightInd w:val="0"/>
        <w:spacing w:after="0" w:line="240" w:lineRule="auto"/>
        <w:ind w:left="640" w:hanging="640"/>
        <w:rPr>
          <w:rFonts w:ascii="Times New Roman" w:hAnsi="Times New Roman" w:cs="Times New Roman"/>
          <w:noProof/>
          <w:szCs w:val="24"/>
        </w:rPr>
      </w:pPr>
      <w:r w:rsidRPr="0027239B">
        <w:rPr>
          <w:rFonts w:ascii="Times New Roman" w:hAnsi="Times New Roman" w:cs="Times New Roman"/>
          <w:noProof/>
          <w:szCs w:val="24"/>
        </w:rPr>
        <w:t>[26]</w:t>
      </w:r>
      <w:r w:rsidRPr="0027239B">
        <w:rPr>
          <w:rFonts w:ascii="Times New Roman" w:hAnsi="Times New Roman" w:cs="Times New Roman"/>
          <w:noProof/>
          <w:szCs w:val="24"/>
        </w:rPr>
        <w:tab/>
        <w:t xml:space="preserve"> Hunter J 2003 </w:t>
      </w:r>
      <w:r w:rsidRPr="0027239B">
        <w:rPr>
          <w:rFonts w:ascii="Times New Roman" w:hAnsi="Times New Roman" w:cs="Times New Roman"/>
          <w:i/>
          <w:iCs/>
          <w:noProof/>
          <w:szCs w:val="24"/>
        </w:rPr>
        <w:t>Technology Integration and High Possiblitity Classrooms - Building from Tpack</w:t>
      </w:r>
      <w:r w:rsidRPr="0027239B">
        <w:rPr>
          <w:rFonts w:ascii="Times New Roman" w:hAnsi="Times New Roman" w:cs="Times New Roman"/>
          <w:noProof/>
          <w:szCs w:val="24"/>
        </w:rPr>
        <w:t xml:space="preserve"> vol 1</w:t>
      </w:r>
    </w:p>
    <w:p w14:paraId="337974F8" w14:textId="77777777" w:rsidR="0027239B" w:rsidRPr="0027239B" w:rsidRDefault="0027239B" w:rsidP="0027239B">
      <w:pPr>
        <w:widowControl w:val="0"/>
        <w:autoSpaceDE w:val="0"/>
        <w:autoSpaceDN w:val="0"/>
        <w:adjustRightInd w:val="0"/>
        <w:spacing w:after="0" w:line="240" w:lineRule="auto"/>
        <w:ind w:left="640" w:hanging="640"/>
        <w:rPr>
          <w:rFonts w:ascii="Times New Roman" w:hAnsi="Times New Roman" w:cs="Times New Roman"/>
          <w:noProof/>
        </w:rPr>
      </w:pPr>
      <w:r w:rsidRPr="0027239B">
        <w:rPr>
          <w:rFonts w:ascii="Times New Roman" w:hAnsi="Times New Roman" w:cs="Times New Roman"/>
          <w:noProof/>
          <w:szCs w:val="24"/>
        </w:rPr>
        <w:t>[27]</w:t>
      </w:r>
      <w:r w:rsidRPr="0027239B">
        <w:rPr>
          <w:rFonts w:ascii="Times New Roman" w:hAnsi="Times New Roman" w:cs="Times New Roman"/>
          <w:noProof/>
          <w:szCs w:val="24"/>
        </w:rPr>
        <w:tab/>
        <w:t xml:space="preserve"> Zhai X, Zhang M, Li M and Zhang X 2019 Understanding the relationship between levels of mobile technology use in high school physics classrooms and the learning outcome </w:t>
      </w:r>
      <w:r w:rsidRPr="0027239B">
        <w:rPr>
          <w:rFonts w:ascii="Times New Roman" w:hAnsi="Times New Roman" w:cs="Times New Roman"/>
          <w:i/>
          <w:iCs/>
          <w:noProof/>
          <w:szCs w:val="24"/>
        </w:rPr>
        <w:t>Br. J. Educ. Technol.</w:t>
      </w:r>
      <w:r w:rsidRPr="0027239B">
        <w:rPr>
          <w:rFonts w:ascii="Times New Roman" w:hAnsi="Times New Roman" w:cs="Times New Roman"/>
          <w:noProof/>
          <w:szCs w:val="24"/>
        </w:rPr>
        <w:t xml:space="preserve"> </w:t>
      </w:r>
      <w:r w:rsidRPr="0027239B">
        <w:rPr>
          <w:rFonts w:ascii="Times New Roman" w:hAnsi="Times New Roman" w:cs="Times New Roman"/>
          <w:b/>
          <w:bCs/>
          <w:noProof/>
          <w:szCs w:val="24"/>
        </w:rPr>
        <w:t>50</w:t>
      </w:r>
      <w:r w:rsidRPr="0027239B">
        <w:rPr>
          <w:rFonts w:ascii="Times New Roman" w:hAnsi="Times New Roman" w:cs="Times New Roman"/>
          <w:noProof/>
          <w:szCs w:val="24"/>
        </w:rPr>
        <w:t xml:space="preserve"> 750–66</w:t>
      </w:r>
    </w:p>
    <w:p w14:paraId="55891C78" w14:textId="77777777" w:rsidR="00BF401C" w:rsidRPr="008F1025" w:rsidRDefault="00BF401C" w:rsidP="008F1025">
      <w:pPr>
        <w:spacing w:before="240" w:after="0" w:line="240" w:lineRule="auto"/>
        <w:jc w:val="both"/>
        <w:rPr>
          <w:rFonts w:ascii="Times New Roman" w:hAnsi="Times New Roman" w:cs="Times New Roman"/>
          <w:b/>
        </w:rPr>
      </w:pPr>
      <w:r>
        <w:rPr>
          <w:rFonts w:ascii="Times New Roman" w:hAnsi="Times New Roman" w:cs="Times New Roman"/>
          <w:b/>
        </w:rPr>
        <w:fldChar w:fldCharType="end"/>
      </w:r>
    </w:p>
    <w:sectPr w:rsidR="00BF401C" w:rsidRPr="008F1025">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power rangers" w:date="2020-11-17T10:22:00Z" w:initials="MNH">
    <w:p w14:paraId="1BD9EFFB" w14:textId="77777777" w:rsidR="006B4BEC" w:rsidRDefault="006B4BEC">
      <w:pPr>
        <w:pStyle w:val="CommentText"/>
      </w:pPr>
      <w:r>
        <w:rPr>
          <w:rStyle w:val="CommentReference"/>
        </w:rPr>
        <w:annotationRef/>
      </w:r>
      <w:proofErr w:type="spellStart"/>
      <w:r>
        <w:t>Perlu</w:t>
      </w:r>
      <w:proofErr w:type="spellEnd"/>
      <w:r>
        <w:t xml:space="preserve"> </w:t>
      </w:r>
      <w:proofErr w:type="spellStart"/>
      <w:r>
        <w:t>rujukan</w:t>
      </w:r>
      <w:proofErr w:type="spellEnd"/>
    </w:p>
  </w:comment>
  <w:comment w:id="1" w:author="power rangers" w:date="2020-11-17T10:21:00Z" w:initials="MNH">
    <w:p w14:paraId="12D83798" w14:textId="77777777" w:rsidR="006B4BEC" w:rsidRDefault="006B4BEC">
      <w:pPr>
        <w:pStyle w:val="CommentText"/>
      </w:pPr>
      <w:r>
        <w:rPr>
          <w:rStyle w:val="CommentReference"/>
        </w:rPr>
        <w:annotationRef/>
      </w:r>
      <w:proofErr w:type="spellStart"/>
      <w:proofErr w:type="gramStart"/>
      <w:r>
        <w:t>Paragra</w:t>
      </w:r>
      <w:proofErr w:type="spellEnd"/>
      <w:r>
        <w:t>[</w:t>
      </w:r>
      <w:proofErr w:type="gramEnd"/>
      <w:r>
        <w:t xml:space="preserve"> </w:t>
      </w:r>
      <w:proofErr w:type="spellStart"/>
      <w:r>
        <w:t>terakhir</w:t>
      </w:r>
      <w:proofErr w:type="spellEnd"/>
      <w:r>
        <w:t xml:space="preserve"> </w:t>
      </w:r>
      <w:proofErr w:type="spellStart"/>
      <w:r>
        <w:t>perlu</w:t>
      </w:r>
      <w:proofErr w:type="spellEnd"/>
      <w:r>
        <w:t xml:space="preserve"> </w:t>
      </w:r>
      <w:proofErr w:type="spellStart"/>
      <w:r>
        <w:t>tujuan</w:t>
      </w:r>
      <w:proofErr w:type="spellEnd"/>
      <w:r>
        <w:t xml:space="preserve"> </w:t>
      </w:r>
      <w:proofErr w:type="spellStart"/>
      <w:r>
        <w:t>penelitian</w:t>
      </w:r>
      <w:proofErr w:type="spellEnd"/>
      <w:r>
        <w:t xml:space="preserve"> </w:t>
      </w:r>
      <w:proofErr w:type="spellStart"/>
      <w:r>
        <w:t>secara</w:t>
      </w:r>
      <w:proofErr w:type="spellEnd"/>
      <w:r>
        <w:t xml:space="preserve"> </w:t>
      </w:r>
      <w:proofErr w:type="spellStart"/>
      <w:r>
        <w:t>langsung</w:t>
      </w:r>
      <w:proofErr w:type="spellEnd"/>
      <w:r>
        <w:t xml:space="preserve">, </w:t>
      </w:r>
      <w:proofErr w:type="spellStart"/>
      <w:r>
        <w:t>jgn</w:t>
      </w:r>
      <w:proofErr w:type="spellEnd"/>
      <w:r>
        <w:t xml:space="preserve"> </w:t>
      </w:r>
      <w:proofErr w:type="spellStart"/>
      <w:r>
        <w:t>tersirat</w:t>
      </w:r>
      <w:proofErr w:type="spellEnd"/>
    </w:p>
  </w:comment>
  <w:comment w:id="2" w:author="power rangers" w:date="2020-11-17T10:23:00Z" w:initials="MNH">
    <w:p w14:paraId="0BD979AB" w14:textId="77777777" w:rsidR="006B4BEC" w:rsidRDefault="006B4BEC" w:rsidP="006B4BEC">
      <w:pPr>
        <w:pStyle w:val="ListParagraph"/>
        <w:numPr>
          <w:ilvl w:val="0"/>
          <w:numId w:val="2"/>
        </w:numPr>
      </w:pPr>
      <w:r>
        <w:rPr>
          <w:rStyle w:val="CommentReference"/>
        </w:rPr>
        <w:annotationRef/>
      </w:r>
      <w:r>
        <w:t xml:space="preserve">Design </w:t>
      </w:r>
      <w:proofErr w:type="spellStart"/>
      <w:r>
        <w:t>Peneletian</w:t>
      </w:r>
      <w:proofErr w:type="spellEnd"/>
      <w:r>
        <w:t xml:space="preserve"> </w:t>
      </w:r>
      <w:proofErr w:type="spellStart"/>
      <w:r>
        <w:t>harus</w:t>
      </w:r>
      <w:proofErr w:type="spellEnd"/>
      <w:r>
        <w:t xml:space="preserve"> </w:t>
      </w:r>
      <w:proofErr w:type="spellStart"/>
      <w:r>
        <w:t>dipaparkan</w:t>
      </w:r>
      <w:proofErr w:type="spellEnd"/>
      <w:r>
        <w:t xml:space="preserve"> </w:t>
      </w:r>
      <w:proofErr w:type="spellStart"/>
      <w:r>
        <w:t>dengan</w:t>
      </w:r>
      <w:proofErr w:type="spellEnd"/>
      <w:r>
        <w:t xml:space="preserve"> </w:t>
      </w:r>
      <w:proofErr w:type="spellStart"/>
      <w:r>
        <w:t>jelas</w:t>
      </w:r>
      <w:proofErr w:type="spellEnd"/>
    </w:p>
    <w:p w14:paraId="311D587C" w14:textId="77777777" w:rsidR="006B4BEC" w:rsidRDefault="006B4BEC" w:rsidP="006B4BEC">
      <w:pPr>
        <w:pStyle w:val="ListParagraph"/>
        <w:numPr>
          <w:ilvl w:val="0"/>
          <w:numId w:val="2"/>
        </w:numPr>
      </w:pPr>
      <w:proofErr w:type="spellStart"/>
      <w:r>
        <w:t>Dalam</w:t>
      </w:r>
      <w:proofErr w:type="spellEnd"/>
      <w:r>
        <w:t xml:space="preserve"> method </w:t>
      </w:r>
      <w:proofErr w:type="spellStart"/>
      <w:r>
        <w:t>harus</w:t>
      </w:r>
      <w:proofErr w:type="spellEnd"/>
      <w:r>
        <w:t xml:space="preserve"> </w:t>
      </w:r>
      <w:proofErr w:type="spellStart"/>
      <w:r>
        <w:t>mencantumkan</w:t>
      </w:r>
      <w:proofErr w:type="spellEnd"/>
      <w:r>
        <w:t xml:space="preserve"> </w:t>
      </w:r>
      <w:proofErr w:type="spellStart"/>
      <w:r>
        <w:t>karakteristik</w:t>
      </w:r>
      <w:proofErr w:type="spellEnd"/>
      <w:r>
        <w:t xml:space="preserve"> </w:t>
      </w:r>
      <w:proofErr w:type="spellStart"/>
      <w:r>
        <w:t>objek</w:t>
      </w:r>
      <w:proofErr w:type="spellEnd"/>
      <w:r>
        <w:t xml:space="preserve"> dan subject </w:t>
      </w:r>
      <w:proofErr w:type="spellStart"/>
      <w:r>
        <w:t>penelitian</w:t>
      </w:r>
      <w:proofErr w:type="spellEnd"/>
      <w:r>
        <w:t xml:space="preserve"> </w:t>
      </w:r>
      <w:proofErr w:type="spellStart"/>
      <w:r>
        <w:t>secara</w:t>
      </w:r>
      <w:proofErr w:type="spellEnd"/>
      <w:r>
        <w:t xml:space="preserve"> </w:t>
      </w:r>
      <w:proofErr w:type="spellStart"/>
      <w:r>
        <w:t>rinci</w:t>
      </w:r>
      <w:proofErr w:type="spellEnd"/>
      <w:r>
        <w:t>/detail</w:t>
      </w:r>
    </w:p>
    <w:p w14:paraId="4DD84BD6" w14:textId="77777777" w:rsidR="006B4BEC" w:rsidRDefault="006B4BEC" w:rsidP="006B4BEC">
      <w:pPr>
        <w:pStyle w:val="ListParagraph"/>
        <w:numPr>
          <w:ilvl w:val="0"/>
          <w:numId w:val="2"/>
        </w:numPr>
      </w:pPr>
      <w:r>
        <w:t xml:space="preserve">Method </w:t>
      </w:r>
      <w:proofErr w:type="spellStart"/>
      <w:r>
        <w:t>tidak</w:t>
      </w:r>
      <w:proofErr w:type="spellEnd"/>
      <w:r>
        <w:t xml:space="preserve"> </w:t>
      </w:r>
      <w:proofErr w:type="spellStart"/>
      <w:r>
        <w:t>terlalu</w:t>
      </w:r>
      <w:proofErr w:type="spellEnd"/>
      <w:r>
        <w:t xml:space="preserve"> textbook</w:t>
      </w:r>
      <w:r>
        <w:t xml:space="preserve"> (</w:t>
      </w:r>
      <w:r>
        <w:t xml:space="preserve">Diagram </w:t>
      </w:r>
      <w:proofErr w:type="spellStart"/>
      <w:r>
        <w:t>alir</w:t>
      </w:r>
      <w:proofErr w:type="spellEnd"/>
      <w:r>
        <w:t xml:space="preserve"> </w:t>
      </w:r>
      <w:proofErr w:type="spellStart"/>
      <w:r>
        <w:t>harus</w:t>
      </w:r>
      <w:proofErr w:type="spellEnd"/>
      <w:r>
        <w:t xml:space="preserve"> </w:t>
      </w:r>
      <w:proofErr w:type="spellStart"/>
      <w:r>
        <w:t>ada</w:t>
      </w:r>
      <w:proofErr w:type="spellEnd"/>
      <w:r>
        <w:t xml:space="preserve"> </w:t>
      </w:r>
      <w:proofErr w:type="spellStart"/>
      <w:r>
        <w:t>penjelasannya</w:t>
      </w:r>
      <w:proofErr w:type="spellEnd"/>
      <w:r>
        <w:t>)</w:t>
      </w:r>
    </w:p>
    <w:p w14:paraId="7DE232D2" w14:textId="77777777" w:rsidR="006B4BEC" w:rsidRDefault="006B4BEC" w:rsidP="006B4BEC">
      <w:pPr>
        <w:pStyle w:val="ListParagraph"/>
        <w:numPr>
          <w:ilvl w:val="0"/>
          <w:numId w:val="2"/>
        </w:numPr>
      </w:pPr>
      <w:r>
        <w:t xml:space="preserve">Teknik </w:t>
      </w:r>
      <w:proofErr w:type="spellStart"/>
      <w:r>
        <w:t>pengambilan</w:t>
      </w:r>
      <w:proofErr w:type="spellEnd"/>
      <w:r>
        <w:t xml:space="preserve"> sample </w:t>
      </w:r>
      <w:proofErr w:type="spellStart"/>
      <w:r>
        <w:t>harus</w:t>
      </w:r>
      <w:proofErr w:type="spellEnd"/>
      <w:r>
        <w:t xml:space="preserve"> </w:t>
      </w:r>
      <w:proofErr w:type="spellStart"/>
      <w:r>
        <w:t>dipaparkan</w:t>
      </w:r>
      <w:proofErr w:type="spellEnd"/>
      <w:r>
        <w:t xml:space="preserve"> </w:t>
      </w:r>
      <w:proofErr w:type="spellStart"/>
      <w:r>
        <w:t>dengan</w:t>
      </w:r>
      <w:proofErr w:type="spellEnd"/>
      <w:r>
        <w:t xml:space="preserve"> </w:t>
      </w:r>
      <w:proofErr w:type="spellStart"/>
      <w:r>
        <w:t>jelas</w:t>
      </w:r>
      <w:proofErr w:type="spellEnd"/>
    </w:p>
    <w:p w14:paraId="69C49993" w14:textId="77777777" w:rsidR="006B4BEC" w:rsidRDefault="006B4BEC" w:rsidP="006B4BEC">
      <w:pPr>
        <w:pStyle w:val="ListParagraph"/>
        <w:numPr>
          <w:ilvl w:val="0"/>
          <w:numId w:val="2"/>
        </w:numPr>
      </w:pPr>
      <w:proofErr w:type="spellStart"/>
      <w:r>
        <w:t>Harus</w:t>
      </w:r>
      <w:proofErr w:type="spellEnd"/>
      <w:r>
        <w:t xml:space="preserve"> </w:t>
      </w:r>
      <w:proofErr w:type="spellStart"/>
      <w:r>
        <w:t>menjelaskan</w:t>
      </w:r>
      <w:proofErr w:type="spellEnd"/>
      <w:r>
        <w:t xml:space="preserve"> </w:t>
      </w:r>
      <w:proofErr w:type="spellStart"/>
      <w:r>
        <w:t>bagaimana</w:t>
      </w:r>
      <w:proofErr w:type="spellEnd"/>
      <w:r>
        <w:t xml:space="preserve"> </w:t>
      </w:r>
      <w:proofErr w:type="spellStart"/>
      <w:r>
        <w:t>cara</w:t>
      </w:r>
      <w:proofErr w:type="spellEnd"/>
      <w:r>
        <w:t xml:space="preserve"> </w:t>
      </w:r>
      <w:proofErr w:type="spellStart"/>
      <w:r>
        <w:t>pengambilan</w:t>
      </w:r>
      <w:proofErr w:type="spellEnd"/>
      <w:r>
        <w:t xml:space="preserve"> data</w:t>
      </w:r>
    </w:p>
    <w:p w14:paraId="36447CD6" w14:textId="77777777" w:rsidR="006B4BEC" w:rsidRDefault="006B4BEC" w:rsidP="006B4BEC">
      <w:pPr>
        <w:pStyle w:val="ListParagraph"/>
        <w:ind w:left="0"/>
      </w:pPr>
    </w:p>
    <w:p w14:paraId="7C75EED0" w14:textId="77777777" w:rsidR="006B4BEC" w:rsidRDefault="006B4BEC">
      <w:pPr>
        <w:pStyle w:val="CommentText"/>
      </w:pPr>
    </w:p>
  </w:comment>
  <w:comment w:id="3" w:author="power rangers" w:date="2020-11-17T10:25:00Z" w:initials="MNH">
    <w:p w14:paraId="53578FEE" w14:textId="77777777" w:rsidR="006B4BEC" w:rsidRDefault="006B4BEC" w:rsidP="006B4BEC">
      <w:r>
        <w:rPr>
          <w:rStyle w:val="CommentReference"/>
        </w:rPr>
        <w:annotationRef/>
      </w:r>
      <w:r>
        <w:t xml:space="preserve">Gambar </w:t>
      </w:r>
      <w:proofErr w:type="spellStart"/>
      <w:r>
        <w:t>harus</w:t>
      </w:r>
      <w:proofErr w:type="spellEnd"/>
      <w:r>
        <w:t xml:space="preserve"> </w:t>
      </w:r>
      <w:proofErr w:type="spellStart"/>
      <w:r>
        <w:t>memiliki</w:t>
      </w:r>
      <w:proofErr w:type="spellEnd"/>
      <w:r>
        <w:t xml:space="preserve"> </w:t>
      </w:r>
      <w:proofErr w:type="spellStart"/>
      <w:r>
        <w:t>resolusi</w:t>
      </w:r>
      <w:proofErr w:type="spellEnd"/>
      <w:r>
        <w:t xml:space="preserve"> yang </w:t>
      </w:r>
      <w:proofErr w:type="spellStart"/>
      <w:r>
        <w:t>baik</w:t>
      </w:r>
      <w:proofErr w:type="spellEnd"/>
      <w:r>
        <w:t xml:space="preserve"> (</w:t>
      </w:r>
      <w:proofErr w:type="spellStart"/>
      <w:r>
        <w:t>tidak</w:t>
      </w:r>
      <w:proofErr w:type="spellEnd"/>
      <w:r>
        <w:t xml:space="preserve"> blur</w:t>
      </w:r>
    </w:p>
    <w:p w14:paraId="61398CBA" w14:textId="77777777" w:rsidR="006B4BEC" w:rsidRDefault="006B4BEC" w:rsidP="006B4BEC">
      <w:pPr>
        <w:pStyle w:val="ListParagraph"/>
        <w:ind w:left="0"/>
      </w:pPr>
      <w:r>
        <w:t xml:space="preserve">Gambar dan table </w:t>
      </w:r>
      <w:proofErr w:type="spellStart"/>
      <w:r>
        <w:t>harus</w:t>
      </w:r>
      <w:proofErr w:type="spellEnd"/>
      <w:r>
        <w:t xml:space="preserve"> </w:t>
      </w:r>
      <w:proofErr w:type="spellStart"/>
      <w:r>
        <w:t>dipanggil</w:t>
      </w:r>
      <w:proofErr w:type="spellEnd"/>
      <w:r>
        <w:t xml:space="preserve"> </w:t>
      </w:r>
      <w:proofErr w:type="spellStart"/>
      <w:r>
        <w:t>dalam</w:t>
      </w:r>
      <w:proofErr w:type="spellEnd"/>
      <w:r>
        <w:t xml:space="preserve"> paragraph dan </w:t>
      </w:r>
      <w:proofErr w:type="spellStart"/>
      <w:r>
        <w:t>dijelaskan</w:t>
      </w:r>
      <w:proofErr w:type="spellEnd"/>
      <w:r>
        <w:t xml:space="preserve"> </w:t>
      </w:r>
      <w:proofErr w:type="spellStart"/>
      <w:r>
        <w:t>apa</w:t>
      </w:r>
      <w:proofErr w:type="spellEnd"/>
      <w:r>
        <w:t xml:space="preserve"> yang </w:t>
      </w:r>
      <w:proofErr w:type="spellStart"/>
      <w:r>
        <w:t>dimaksud</w:t>
      </w:r>
      <w:proofErr w:type="spellEnd"/>
      <w:r>
        <w:t xml:space="preserve"> </w:t>
      </w:r>
      <w:proofErr w:type="spellStart"/>
      <w:r>
        <w:t>dalam</w:t>
      </w:r>
      <w:proofErr w:type="spellEnd"/>
      <w:r>
        <w:t xml:space="preserve"> </w:t>
      </w:r>
      <w:proofErr w:type="spellStart"/>
      <w:r>
        <w:t>gambar</w:t>
      </w:r>
      <w:proofErr w:type="spellEnd"/>
      <w:r>
        <w:t xml:space="preserve"> dan table </w:t>
      </w:r>
      <w:proofErr w:type="spellStart"/>
      <w:r>
        <w:t>tersebut</w:t>
      </w:r>
      <w:proofErr w:type="spellEnd"/>
    </w:p>
    <w:p w14:paraId="77D8B1A7" w14:textId="77777777" w:rsidR="006B4BEC" w:rsidRDefault="006B4BEC" w:rsidP="006B4BEC">
      <w:pPr>
        <w:pStyle w:val="ListParagraph"/>
        <w:ind w:left="0"/>
      </w:pPr>
      <w:proofErr w:type="spellStart"/>
      <w:r>
        <w:t>Diskusi</w:t>
      </w:r>
      <w:proofErr w:type="spellEnd"/>
      <w:r>
        <w:t xml:space="preserve"> </w:t>
      </w:r>
      <w:proofErr w:type="spellStart"/>
      <w:r>
        <w:t>harus</w:t>
      </w:r>
      <w:proofErr w:type="spellEnd"/>
      <w:r>
        <w:t xml:space="preserve"> </w:t>
      </w:r>
      <w:proofErr w:type="spellStart"/>
      <w:r>
        <w:t>didukung</w:t>
      </w:r>
      <w:proofErr w:type="spellEnd"/>
      <w:r>
        <w:t xml:space="preserve"> oleh </w:t>
      </w:r>
      <w:proofErr w:type="spellStart"/>
      <w:r>
        <w:t>referensi</w:t>
      </w:r>
      <w:proofErr w:type="spellEnd"/>
    </w:p>
    <w:p w14:paraId="4F245E0F" w14:textId="77777777" w:rsidR="006B4BEC" w:rsidRPr="006B4BEC" w:rsidRDefault="006B4BEC" w:rsidP="006B4BEC">
      <w:pPr>
        <w:pStyle w:val="ListParagraph"/>
        <w:ind w:left="0"/>
        <w:rPr>
          <w:b/>
          <w:bCs/>
        </w:rPr>
      </w:pPr>
    </w:p>
    <w:p w14:paraId="4139522C" w14:textId="77777777" w:rsidR="006B4BEC" w:rsidRPr="006B4BEC" w:rsidRDefault="006B4BEC">
      <w:pPr>
        <w:pStyle w:val="CommentText"/>
        <w:rPr>
          <w:b/>
          <w:bCs/>
        </w:rPr>
      </w:pPr>
    </w:p>
  </w:comment>
  <w:comment w:id="4" w:author="power rangers" w:date="2020-11-17T10:25:00Z" w:initials="MNH">
    <w:p w14:paraId="4F122AF7" w14:textId="77777777" w:rsidR="006B4BEC" w:rsidRDefault="006B4BEC">
      <w:pPr>
        <w:pStyle w:val="CommentText"/>
      </w:pPr>
      <w:r>
        <w:rPr>
          <w:rStyle w:val="CommentReference"/>
        </w:rPr>
        <w:annotationRef/>
      </w:r>
      <w:proofErr w:type="spellStart"/>
      <w:r>
        <w:t>Tambahkan</w:t>
      </w:r>
      <w:proofErr w:type="spellEnd"/>
      <w:r>
        <w:t xml:space="preserve"> </w:t>
      </w:r>
      <w:proofErr w:type="spellStart"/>
      <w:r>
        <w:t>rujukan</w:t>
      </w:r>
      <w:proofErr w:type="spellEnd"/>
      <w:r>
        <w:t xml:space="preserve"> </w:t>
      </w:r>
      <w:proofErr w:type="spellStart"/>
      <w:r>
        <w:t>dr</w:t>
      </w:r>
      <w:proofErr w:type="spellEnd"/>
      <w:r>
        <w:t xml:space="preserve"> momentum</w:t>
      </w:r>
      <w:r>
        <w:br/>
        <w:t>minimal 2</w:t>
      </w:r>
      <w:bookmarkStart w:id="5" w:name="_GoBack"/>
      <w:bookmarkEnd w:id="5"/>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BD9EFFB" w15:done="0"/>
  <w15:commentEx w15:paraId="12D83798" w15:done="0"/>
  <w15:commentEx w15:paraId="7C75EED0" w15:done="0"/>
  <w15:commentEx w15:paraId="4139522C" w15:done="0"/>
  <w15:commentEx w15:paraId="4F122AF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D9EFFB" w16cid:durableId="235E22E3"/>
  <w16cid:commentId w16cid:paraId="12D83798" w16cid:durableId="235E22C7"/>
  <w16cid:commentId w16cid:paraId="7C75EED0" w16cid:durableId="235E233C"/>
  <w16cid:commentId w16cid:paraId="4139522C" w16cid:durableId="235E237F"/>
  <w16cid:commentId w16cid:paraId="4F122AF7" w16cid:durableId="235E23A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912A8"/>
    <w:multiLevelType w:val="hybridMultilevel"/>
    <w:tmpl w:val="8B5E3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844DBF"/>
    <w:multiLevelType w:val="hybridMultilevel"/>
    <w:tmpl w:val="563A6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D15A3B"/>
    <w:multiLevelType w:val="hybridMultilevel"/>
    <w:tmpl w:val="72CA5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wer rangers">
    <w15:presenceInfo w15:providerId="None" w15:userId="power rang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9C9"/>
    <w:rsid w:val="00033D92"/>
    <w:rsid w:val="000345F4"/>
    <w:rsid w:val="00061C32"/>
    <w:rsid w:val="000B5693"/>
    <w:rsid w:val="000C6D06"/>
    <w:rsid w:val="000D724F"/>
    <w:rsid w:val="00100AAF"/>
    <w:rsid w:val="00175976"/>
    <w:rsid w:val="001C2A81"/>
    <w:rsid w:val="001F23A5"/>
    <w:rsid w:val="002145D8"/>
    <w:rsid w:val="00224BE3"/>
    <w:rsid w:val="0023684C"/>
    <w:rsid w:val="0027239B"/>
    <w:rsid w:val="002E0218"/>
    <w:rsid w:val="002E5156"/>
    <w:rsid w:val="002F13C6"/>
    <w:rsid w:val="00360688"/>
    <w:rsid w:val="003613A3"/>
    <w:rsid w:val="003956B7"/>
    <w:rsid w:val="003E61DA"/>
    <w:rsid w:val="004137DA"/>
    <w:rsid w:val="004B29C9"/>
    <w:rsid w:val="00537E73"/>
    <w:rsid w:val="005678ED"/>
    <w:rsid w:val="005F384D"/>
    <w:rsid w:val="006867F5"/>
    <w:rsid w:val="006B4BEC"/>
    <w:rsid w:val="006E7081"/>
    <w:rsid w:val="007D1587"/>
    <w:rsid w:val="007E201F"/>
    <w:rsid w:val="008516BB"/>
    <w:rsid w:val="00872B38"/>
    <w:rsid w:val="008F1025"/>
    <w:rsid w:val="00921036"/>
    <w:rsid w:val="00931469"/>
    <w:rsid w:val="00955FA6"/>
    <w:rsid w:val="0098362E"/>
    <w:rsid w:val="009E38E3"/>
    <w:rsid w:val="00A549FD"/>
    <w:rsid w:val="00A80655"/>
    <w:rsid w:val="00A91D6C"/>
    <w:rsid w:val="00B71C74"/>
    <w:rsid w:val="00B77153"/>
    <w:rsid w:val="00BA4466"/>
    <w:rsid w:val="00BC7A0A"/>
    <w:rsid w:val="00BF401C"/>
    <w:rsid w:val="00CA5266"/>
    <w:rsid w:val="00D64DDB"/>
    <w:rsid w:val="00DA026E"/>
    <w:rsid w:val="00E04BFF"/>
    <w:rsid w:val="00E42E86"/>
    <w:rsid w:val="00E812BC"/>
    <w:rsid w:val="00F0360B"/>
    <w:rsid w:val="00F211F4"/>
    <w:rsid w:val="00F54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BC0EF"/>
  <w15:chartTrackingRefBased/>
  <w15:docId w15:val="{3B576D47-388F-497C-AA01-C8441E92F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1D6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91D6C"/>
    <w:rPr>
      <w:b/>
      <w:bCs/>
    </w:rPr>
  </w:style>
  <w:style w:type="character" w:styleId="PlaceholderText">
    <w:name w:val="Placeholder Text"/>
    <w:basedOn w:val="DefaultParagraphFont"/>
    <w:uiPriority w:val="99"/>
    <w:semiHidden/>
    <w:rsid w:val="003E61DA"/>
    <w:rPr>
      <w:color w:val="808080"/>
    </w:rPr>
  </w:style>
  <w:style w:type="character" w:styleId="Hyperlink">
    <w:name w:val="Hyperlink"/>
    <w:basedOn w:val="DefaultParagraphFont"/>
    <w:uiPriority w:val="99"/>
    <w:unhideWhenUsed/>
    <w:rsid w:val="00F211F4"/>
    <w:rPr>
      <w:color w:val="0563C1" w:themeColor="hyperlink"/>
      <w:u w:val="single"/>
    </w:rPr>
  </w:style>
  <w:style w:type="paragraph" w:styleId="ListParagraph">
    <w:name w:val="List Paragraph"/>
    <w:basedOn w:val="Normal"/>
    <w:uiPriority w:val="34"/>
    <w:qFormat/>
    <w:rsid w:val="008F1025"/>
    <w:pPr>
      <w:ind w:left="720"/>
      <w:contextualSpacing/>
    </w:pPr>
  </w:style>
  <w:style w:type="character" w:styleId="CommentReference">
    <w:name w:val="annotation reference"/>
    <w:basedOn w:val="DefaultParagraphFont"/>
    <w:uiPriority w:val="99"/>
    <w:semiHidden/>
    <w:unhideWhenUsed/>
    <w:rsid w:val="006B4BEC"/>
    <w:rPr>
      <w:sz w:val="16"/>
      <w:szCs w:val="16"/>
    </w:rPr>
  </w:style>
  <w:style w:type="paragraph" w:styleId="CommentText">
    <w:name w:val="annotation text"/>
    <w:basedOn w:val="Normal"/>
    <w:link w:val="CommentTextChar"/>
    <w:uiPriority w:val="99"/>
    <w:semiHidden/>
    <w:unhideWhenUsed/>
    <w:rsid w:val="006B4BEC"/>
    <w:pPr>
      <w:spacing w:line="240" w:lineRule="auto"/>
    </w:pPr>
    <w:rPr>
      <w:sz w:val="20"/>
      <w:szCs w:val="20"/>
    </w:rPr>
  </w:style>
  <w:style w:type="character" w:customStyle="1" w:styleId="CommentTextChar">
    <w:name w:val="Comment Text Char"/>
    <w:basedOn w:val="DefaultParagraphFont"/>
    <w:link w:val="CommentText"/>
    <w:uiPriority w:val="99"/>
    <w:semiHidden/>
    <w:rsid w:val="006B4BEC"/>
    <w:rPr>
      <w:sz w:val="20"/>
      <w:szCs w:val="20"/>
    </w:rPr>
  </w:style>
  <w:style w:type="paragraph" w:styleId="CommentSubject">
    <w:name w:val="annotation subject"/>
    <w:basedOn w:val="CommentText"/>
    <w:next w:val="CommentText"/>
    <w:link w:val="CommentSubjectChar"/>
    <w:uiPriority w:val="99"/>
    <w:semiHidden/>
    <w:unhideWhenUsed/>
    <w:rsid w:val="006B4BEC"/>
    <w:rPr>
      <w:b/>
      <w:bCs/>
    </w:rPr>
  </w:style>
  <w:style w:type="character" w:customStyle="1" w:styleId="CommentSubjectChar">
    <w:name w:val="Comment Subject Char"/>
    <w:basedOn w:val="CommentTextChar"/>
    <w:link w:val="CommentSubject"/>
    <w:uiPriority w:val="99"/>
    <w:semiHidden/>
    <w:rsid w:val="006B4BEC"/>
    <w:rPr>
      <w:b/>
      <w:bCs/>
      <w:sz w:val="20"/>
      <w:szCs w:val="20"/>
    </w:rPr>
  </w:style>
  <w:style w:type="paragraph" w:styleId="BalloonText">
    <w:name w:val="Balloon Text"/>
    <w:basedOn w:val="Normal"/>
    <w:link w:val="BalloonTextChar"/>
    <w:uiPriority w:val="99"/>
    <w:semiHidden/>
    <w:unhideWhenUsed/>
    <w:rsid w:val="006B4B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4B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6385370">
      <w:bodyDiv w:val="1"/>
      <w:marLeft w:val="0"/>
      <w:marRight w:val="0"/>
      <w:marTop w:val="0"/>
      <w:marBottom w:val="0"/>
      <w:divBdr>
        <w:top w:val="none" w:sz="0" w:space="0" w:color="auto"/>
        <w:left w:val="none" w:sz="0" w:space="0" w:color="auto"/>
        <w:bottom w:val="none" w:sz="0" w:space="0" w:color="auto"/>
        <w:right w:val="none" w:sz="0" w:space="0" w:color="auto"/>
      </w:divBdr>
    </w:div>
    <w:div w:id="1578130542">
      <w:bodyDiv w:val="1"/>
      <w:marLeft w:val="0"/>
      <w:marRight w:val="0"/>
      <w:marTop w:val="0"/>
      <w:marBottom w:val="0"/>
      <w:divBdr>
        <w:top w:val="none" w:sz="0" w:space="0" w:color="auto"/>
        <w:left w:val="none" w:sz="0" w:space="0" w:color="auto"/>
        <w:bottom w:val="none" w:sz="0" w:space="0" w:color="auto"/>
        <w:right w:val="none" w:sz="0" w:space="0" w:color="auto"/>
      </w:divBdr>
      <w:divsChild>
        <w:div w:id="1376738383">
          <w:marLeft w:val="0"/>
          <w:marRight w:val="0"/>
          <w:marTop w:val="0"/>
          <w:marBottom w:val="0"/>
          <w:divBdr>
            <w:top w:val="none" w:sz="0" w:space="0" w:color="auto"/>
            <w:left w:val="none" w:sz="0" w:space="0" w:color="auto"/>
            <w:bottom w:val="none" w:sz="0" w:space="0" w:color="auto"/>
            <w:right w:val="none" w:sz="0" w:space="0" w:color="auto"/>
          </w:divBdr>
          <w:divsChild>
            <w:div w:id="41684027">
              <w:marLeft w:val="0"/>
              <w:marRight w:val="0"/>
              <w:marTop w:val="0"/>
              <w:marBottom w:val="0"/>
              <w:divBdr>
                <w:top w:val="none" w:sz="0" w:space="0" w:color="auto"/>
                <w:left w:val="none" w:sz="0" w:space="0" w:color="auto"/>
                <w:bottom w:val="none" w:sz="0" w:space="0" w:color="auto"/>
                <w:right w:val="none" w:sz="0" w:space="0" w:color="auto"/>
              </w:divBdr>
              <w:divsChild>
                <w:div w:id="706027782">
                  <w:marLeft w:val="0"/>
                  <w:marRight w:val="0"/>
                  <w:marTop w:val="0"/>
                  <w:marBottom w:val="0"/>
                  <w:divBdr>
                    <w:top w:val="none" w:sz="0" w:space="0" w:color="auto"/>
                    <w:left w:val="none" w:sz="0" w:space="0" w:color="auto"/>
                    <w:bottom w:val="none" w:sz="0" w:space="0" w:color="auto"/>
                    <w:right w:val="none" w:sz="0" w:space="0" w:color="auto"/>
                  </w:divBdr>
                  <w:divsChild>
                    <w:div w:id="1237125458">
                      <w:marLeft w:val="0"/>
                      <w:marRight w:val="0"/>
                      <w:marTop w:val="0"/>
                      <w:marBottom w:val="0"/>
                      <w:divBdr>
                        <w:top w:val="none" w:sz="0" w:space="0" w:color="auto"/>
                        <w:left w:val="none" w:sz="0" w:space="0" w:color="auto"/>
                        <w:bottom w:val="none" w:sz="0" w:space="0" w:color="auto"/>
                        <w:right w:val="none" w:sz="0" w:space="0" w:color="auto"/>
                      </w:divBdr>
                      <w:divsChild>
                        <w:div w:id="1560702809">
                          <w:marLeft w:val="0"/>
                          <w:marRight w:val="0"/>
                          <w:marTop w:val="0"/>
                          <w:marBottom w:val="0"/>
                          <w:divBdr>
                            <w:top w:val="none" w:sz="0" w:space="0" w:color="auto"/>
                            <w:left w:val="none" w:sz="0" w:space="0" w:color="auto"/>
                            <w:bottom w:val="none" w:sz="0" w:space="0" w:color="auto"/>
                            <w:right w:val="none" w:sz="0" w:space="0" w:color="auto"/>
                          </w:divBdr>
                          <w:divsChild>
                            <w:div w:id="1787117425">
                              <w:marLeft w:val="0"/>
                              <w:marRight w:val="300"/>
                              <w:marTop w:val="180"/>
                              <w:marBottom w:val="0"/>
                              <w:divBdr>
                                <w:top w:val="none" w:sz="0" w:space="0" w:color="auto"/>
                                <w:left w:val="none" w:sz="0" w:space="0" w:color="auto"/>
                                <w:bottom w:val="none" w:sz="0" w:space="0" w:color="auto"/>
                                <w:right w:val="none" w:sz="0" w:space="0" w:color="auto"/>
                              </w:divBdr>
                              <w:divsChild>
                                <w:div w:id="116157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4770903">
          <w:marLeft w:val="0"/>
          <w:marRight w:val="0"/>
          <w:marTop w:val="0"/>
          <w:marBottom w:val="0"/>
          <w:divBdr>
            <w:top w:val="none" w:sz="0" w:space="0" w:color="auto"/>
            <w:left w:val="none" w:sz="0" w:space="0" w:color="auto"/>
            <w:bottom w:val="none" w:sz="0" w:space="0" w:color="auto"/>
            <w:right w:val="none" w:sz="0" w:space="0" w:color="auto"/>
          </w:divBdr>
          <w:divsChild>
            <w:div w:id="1263033742">
              <w:marLeft w:val="0"/>
              <w:marRight w:val="0"/>
              <w:marTop w:val="0"/>
              <w:marBottom w:val="0"/>
              <w:divBdr>
                <w:top w:val="none" w:sz="0" w:space="0" w:color="auto"/>
                <w:left w:val="none" w:sz="0" w:space="0" w:color="auto"/>
                <w:bottom w:val="none" w:sz="0" w:space="0" w:color="auto"/>
                <w:right w:val="none" w:sz="0" w:space="0" w:color="auto"/>
              </w:divBdr>
              <w:divsChild>
                <w:div w:id="697000605">
                  <w:marLeft w:val="0"/>
                  <w:marRight w:val="0"/>
                  <w:marTop w:val="0"/>
                  <w:marBottom w:val="0"/>
                  <w:divBdr>
                    <w:top w:val="none" w:sz="0" w:space="0" w:color="auto"/>
                    <w:left w:val="none" w:sz="0" w:space="0" w:color="auto"/>
                    <w:bottom w:val="none" w:sz="0" w:space="0" w:color="auto"/>
                    <w:right w:val="none" w:sz="0" w:space="0" w:color="auto"/>
                  </w:divBdr>
                  <w:divsChild>
                    <w:div w:id="802768248">
                      <w:marLeft w:val="0"/>
                      <w:marRight w:val="0"/>
                      <w:marTop w:val="0"/>
                      <w:marBottom w:val="0"/>
                      <w:divBdr>
                        <w:top w:val="none" w:sz="0" w:space="0" w:color="auto"/>
                        <w:left w:val="none" w:sz="0" w:space="0" w:color="auto"/>
                        <w:bottom w:val="none" w:sz="0" w:space="0" w:color="auto"/>
                        <w:right w:val="none" w:sz="0" w:space="0" w:color="auto"/>
                      </w:divBdr>
                      <w:divsChild>
                        <w:div w:id="175370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52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henadian@unikama.ac.id" TargetMode="Externa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khmadjufriadi@unikama.ac.id" TargetMode="Externa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E20C3-E02B-4D3E-8C0E-EEC4DF33F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11310</Words>
  <Characters>64469</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Kalyani</dc:creator>
  <cp:keywords/>
  <dc:description/>
  <cp:lastModifiedBy>power rangers</cp:lastModifiedBy>
  <cp:revision>2</cp:revision>
  <dcterms:created xsi:type="dcterms:W3CDTF">2020-11-17T03:26:00Z</dcterms:created>
  <dcterms:modified xsi:type="dcterms:W3CDTF">2020-11-17T03:26:00Z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db80ce8e-c10d-3ef5-b6bf-1ced41db88b5</vt:lpwstr>
  </property>
  <property fmtid="{D5CDD505-2E9C-101B-9397-08002B2CF9AE}" pid="4" name="Mendeley Citation Style_1">
    <vt:lpwstr>http://www.zotero.org/styles/journal-of-physics-conference-series</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http://www.zotero.org/styles/journal-of-physics-conference-series</vt:lpwstr>
  </property>
  <property fmtid="{D5CDD505-2E9C-101B-9397-08002B2CF9AE}" pid="18" name="Mendeley Recent Style Name 6_1">
    <vt:lpwstr>Journal of Physics: Conference Series</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