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8A9D96" w14:textId="4BE89F66" w:rsidR="009A0487" w:rsidRPr="0016793F" w:rsidRDefault="007E4F54">
      <w:pPr>
        <w:pStyle w:val="Title"/>
      </w:pPr>
      <w:r w:rsidRPr="0016793F">
        <w:rPr>
          <w:rFonts w:ascii="Times New Roman" w:hAnsi="Times New Roman"/>
          <w:bCs/>
          <w:shd w:val="clear" w:color="auto" w:fill="FFFFFF"/>
        </w:rPr>
        <w:t>Physics undergraduate students' perceptions of online learning during the transition period to the new normal era</w:t>
      </w:r>
    </w:p>
    <w:p w14:paraId="44CC4C3F" w14:textId="6CC89430" w:rsidR="009A0487" w:rsidRPr="0016793F" w:rsidRDefault="007E4F54">
      <w:pPr>
        <w:pStyle w:val="Authors"/>
      </w:pPr>
      <w:r w:rsidRPr="0016793F">
        <w:rPr>
          <w:rFonts w:cs="Times"/>
          <w:spacing w:val="4"/>
        </w:rPr>
        <w:t>E Surahman</w:t>
      </w:r>
      <w:r w:rsidRPr="0016793F">
        <w:rPr>
          <w:rFonts w:cs="Times"/>
          <w:spacing w:val="4"/>
          <w:vertAlign w:val="superscript"/>
        </w:rPr>
        <w:t>1</w:t>
      </w:r>
      <w:r w:rsidRPr="0016793F">
        <w:rPr>
          <w:rFonts w:cs="Times"/>
          <w:spacing w:val="4"/>
        </w:rPr>
        <w:t xml:space="preserve"> and E </w:t>
      </w:r>
      <w:proofErr w:type="spellStart"/>
      <w:r w:rsidRPr="0016793F">
        <w:rPr>
          <w:rFonts w:cs="Times"/>
          <w:spacing w:val="4"/>
        </w:rPr>
        <w:t>Sujarwanto</w:t>
      </w:r>
      <w:proofErr w:type="spellEnd"/>
      <w:r w:rsidRPr="0016793F">
        <w:rPr>
          <w:rFonts w:cs="Times"/>
          <w:spacing w:val="4"/>
        </w:rPr>
        <w:t>*</w:t>
      </w:r>
      <w:r w:rsidRPr="0016793F">
        <w:rPr>
          <w:rStyle w:val="FootnoteCharacters"/>
          <w:rFonts w:cs="Times"/>
          <w:spacing w:val="4"/>
          <w:lang w:val="en-US"/>
        </w:rPr>
        <w:t>1</w:t>
      </w:r>
    </w:p>
    <w:p w14:paraId="6C95F509" w14:textId="1FEB3810" w:rsidR="009A0487" w:rsidRPr="0016793F" w:rsidRDefault="007E4F54" w:rsidP="00006EA6">
      <w:pPr>
        <w:pStyle w:val="Addresses"/>
        <w:spacing w:after="0"/>
        <w:rPr>
          <w:sz w:val="24"/>
          <w:szCs w:val="24"/>
        </w:rPr>
      </w:pPr>
      <w:r w:rsidRPr="0016793F">
        <w:rPr>
          <w:rFonts w:cs="Times"/>
          <w:vertAlign w:val="superscript"/>
        </w:rPr>
        <w:t>1</w:t>
      </w:r>
      <w:r w:rsidRPr="0016793F">
        <w:rPr>
          <w:rFonts w:cs="Times"/>
        </w:rPr>
        <w:t xml:space="preserve">Physics Education, </w:t>
      </w:r>
      <w:proofErr w:type="spellStart"/>
      <w:r w:rsidRPr="0016793F">
        <w:rPr>
          <w:rFonts w:cs="Times"/>
        </w:rPr>
        <w:t>Siliwangi</w:t>
      </w:r>
      <w:proofErr w:type="spellEnd"/>
      <w:r w:rsidRPr="0016793F">
        <w:rPr>
          <w:rFonts w:cs="Times"/>
        </w:rPr>
        <w:t xml:space="preserve"> University, </w:t>
      </w:r>
      <w:proofErr w:type="spellStart"/>
      <w:r w:rsidRPr="0016793F">
        <w:rPr>
          <w:rFonts w:cs="Times"/>
        </w:rPr>
        <w:t>Tasikmalaya</w:t>
      </w:r>
      <w:proofErr w:type="spellEnd"/>
      <w:r w:rsidRPr="0016793F">
        <w:rPr>
          <w:rFonts w:cs="Times"/>
        </w:rPr>
        <w:t>, Indonesia.</w:t>
      </w:r>
    </w:p>
    <w:p w14:paraId="4FE6468A" w14:textId="77777777" w:rsidR="00006EA6" w:rsidRPr="0016793F" w:rsidRDefault="00006EA6">
      <w:pPr>
        <w:pStyle w:val="E-mail"/>
      </w:pPr>
    </w:p>
    <w:p w14:paraId="502D081B" w14:textId="3DE0A8B3" w:rsidR="009A0487" w:rsidRPr="0016793F" w:rsidRDefault="007E4F54">
      <w:pPr>
        <w:pStyle w:val="E-mail"/>
      </w:pPr>
      <w:r w:rsidRPr="0016793F">
        <w:t>*corresponding author: eko.sujarwanto@unsil.ac.id</w:t>
      </w:r>
    </w:p>
    <w:p w14:paraId="6A9CC3D4" w14:textId="669C467C" w:rsidR="009A0487" w:rsidRPr="0016793F" w:rsidRDefault="009A0487">
      <w:pPr>
        <w:pStyle w:val="Abstract"/>
        <w:rPr>
          <w:color w:val="auto"/>
        </w:rPr>
      </w:pPr>
      <w:r w:rsidRPr="0016793F">
        <w:rPr>
          <w:b/>
          <w:color w:val="auto"/>
        </w:rPr>
        <w:t>Abstract</w:t>
      </w:r>
      <w:r w:rsidRPr="0016793F">
        <w:rPr>
          <w:color w:val="auto"/>
        </w:rPr>
        <w:t xml:space="preserve">. </w:t>
      </w:r>
      <w:commentRangeStart w:id="0"/>
      <w:r w:rsidR="007E4F54" w:rsidRPr="0016793F">
        <w:rPr>
          <w:rFonts w:ascii="Times New Roman" w:hAnsi="Times New Roman"/>
          <w:color w:val="auto"/>
          <w:shd w:val="clear" w:color="auto" w:fill="FFFFFF"/>
        </w:rPr>
        <w:t>The Covid-19 pandemic forced the Indonesian government release learning from home</w:t>
      </w:r>
      <w:r w:rsidR="007E4F54" w:rsidRPr="0016793F">
        <w:rPr>
          <w:rFonts w:ascii="Times New Roman" w:hAnsi="Times New Roman"/>
          <w:color w:val="auto"/>
          <w:shd w:val="clear" w:color="auto" w:fill="FFFFFF"/>
          <w:lang w:val="en-US"/>
        </w:rPr>
        <w:t xml:space="preserve"> policy</w:t>
      </w:r>
      <w:r w:rsidR="007E4F54" w:rsidRPr="0016793F">
        <w:rPr>
          <w:rFonts w:ascii="Times New Roman" w:hAnsi="Times New Roman"/>
          <w:color w:val="auto"/>
          <w:shd w:val="clear" w:color="auto" w:fill="FFFFFF"/>
        </w:rPr>
        <w:t xml:space="preserve">. This policy also applies to the Physics Education of </w:t>
      </w:r>
      <w:proofErr w:type="spellStart"/>
      <w:r w:rsidR="007E4F54" w:rsidRPr="0016793F">
        <w:rPr>
          <w:rFonts w:ascii="Times New Roman" w:hAnsi="Times New Roman"/>
          <w:color w:val="auto"/>
          <w:shd w:val="clear" w:color="auto" w:fill="FFFFFF"/>
        </w:rPr>
        <w:t>Siliwangi</w:t>
      </w:r>
      <w:proofErr w:type="spellEnd"/>
      <w:r w:rsidR="007E4F54" w:rsidRPr="0016793F">
        <w:rPr>
          <w:rFonts w:ascii="Times New Roman" w:hAnsi="Times New Roman"/>
          <w:color w:val="auto"/>
          <w:shd w:val="clear" w:color="auto" w:fill="FFFFFF"/>
        </w:rPr>
        <w:t xml:space="preserve"> University. Undergraduate students need to adapt immediately. This study aims to know undergraduate students' perceptions of online learning during the transition period from face-to-face learning to online learning. Undergraduate students' perceptions of online learning are seen from aspects of the access of technology, the use of technology for learning, online learning readiness, and attitude towards digital technology literacy. The data is collected by online survey method. This research shows that majority of undergraduate students have sufficient facilities </w:t>
      </w:r>
      <w:r w:rsidR="007E4F54" w:rsidRPr="0016793F">
        <w:rPr>
          <w:rFonts w:ascii="Times New Roman" w:hAnsi="Times New Roman"/>
          <w:color w:val="auto"/>
          <w:shd w:val="clear" w:color="auto" w:fill="FFFFFF"/>
          <w:lang w:val="en-US"/>
        </w:rPr>
        <w:t>for online learning</w:t>
      </w:r>
      <w:r w:rsidR="007E4F54" w:rsidRPr="0016793F">
        <w:rPr>
          <w:rFonts w:ascii="Times New Roman" w:hAnsi="Times New Roman"/>
          <w:color w:val="auto"/>
          <w:shd w:val="clear" w:color="auto" w:fill="FFFFFF"/>
        </w:rPr>
        <w:t xml:space="preserve"> and have positive attitude towards digital technology literacy. Another finding from the study is that the majority of </w:t>
      </w:r>
      <w:r w:rsidR="007E4F54" w:rsidRPr="0016793F">
        <w:rPr>
          <w:rFonts w:cs="Times"/>
          <w:color w:val="auto"/>
          <w:spacing w:val="4"/>
        </w:rPr>
        <w:t xml:space="preserve">undergraduate </w:t>
      </w:r>
      <w:r w:rsidR="007E4F54" w:rsidRPr="0016793F">
        <w:rPr>
          <w:rFonts w:ascii="Times New Roman" w:hAnsi="Times New Roman"/>
          <w:color w:val="auto"/>
          <w:shd w:val="clear" w:color="auto" w:fill="FFFFFF"/>
        </w:rPr>
        <w:t>students have difficulty accessing the fast internet (83.87%), they like combination of online media learning and offline media learning (90</w:t>
      </w:r>
      <w:r w:rsidR="00C37F00" w:rsidRPr="0016793F">
        <w:rPr>
          <w:rFonts w:ascii="Times New Roman" w:hAnsi="Times New Roman"/>
          <w:color w:val="auto"/>
          <w:shd w:val="clear" w:color="auto" w:fill="FFFFFF"/>
        </w:rPr>
        <w:t>.</w:t>
      </w:r>
      <w:r w:rsidR="007E4F54" w:rsidRPr="0016793F">
        <w:rPr>
          <w:rFonts w:ascii="Times New Roman" w:hAnsi="Times New Roman"/>
          <w:color w:val="auto"/>
          <w:shd w:val="clear" w:color="auto" w:fill="FFFFFF"/>
        </w:rPr>
        <w:t>32%) but they do not like full online learning (98</w:t>
      </w:r>
      <w:r w:rsidR="00C37F00" w:rsidRPr="0016793F">
        <w:rPr>
          <w:rFonts w:ascii="Times New Roman" w:hAnsi="Times New Roman"/>
          <w:color w:val="auto"/>
          <w:shd w:val="clear" w:color="auto" w:fill="FFFFFF"/>
        </w:rPr>
        <w:t>.</w:t>
      </w:r>
      <w:r w:rsidR="007E4F54" w:rsidRPr="0016793F">
        <w:rPr>
          <w:rFonts w:ascii="Times New Roman" w:hAnsi="Times New Roman"/>
          <w:color w:val="auto"/>
          <w:shd w:val="clear" w:color="auto" w:fill="FFFFFF"/>
        </w:rPr>
        <w:t>06 %), and about a half of them feel convenient in finding information and scientific literature by online (52</w:t>
      </w:r>
      <w:r w:rsidR="00C37F00" w:rsidRPr="0016793F">
        <w:rPr>
          <w:rFonts w:ascii="Times New Roman" w:hAnsi="Times New Roman"/>
          <w:color w:val="auto"/>
          <w:shd w:val="clear" w:color="auto" w:fill="FFFFFF"/>
        </w:rPr>
        <w:t>.</w:t>
      </w:r>
      <w:r w:rsidR="007E4F54" w:rsidRPr="0016793F">
        <w:rPr>
          <w:rFonts w:ascii="Times New Roman" w:hAnsi="Times New Roman"/>
          <w:color w:val="auto"/>
          <w:shd w:val="clear" w:color="auto" w:fill="FFFFFF"/>
        </w:rPr>
        <w:t>90%). This research indicate that teacher should support student for learning online such as provide proper learning material and media. This research is expected to be suggestions for better online learning</w:t>
      </w:r>
      <w:r w:rsidR="00D550DF">
        <w:rPr>
          <w:rFonts w:ascii="Times New Roman" w:hAnsi="Times New Roman"/>
          <w:color w:val="auto"/>
          <w:shd w:val="clear" w:color="auto" w:fill="FFFFFF"/>
        </w:rPr>
        <w:t xml:space="preserve"> and literacy technology teaching and learning </w:t>
      </w:r>
      <w:r w:rsidR="007E4F54" w:rsidRPr="0016793F">
        <w:rPr>
          <w:rFonts w:ascii="Times New Roman" w:hAnsi="Times New Roman"/>
          <w:color w:val="auto"/>
          <w:shd w:val="clear" w:color="auto" w:fill="FFFFFF"/>
        </w:rPr>
        <w:t>in the new normal era.</w:t>
      </w:r>
      <w:commentRangeEnd w:id="0"/>
      <w:r w:rsidR="0000745C">
        <w:rPr>
          <w:rStyle w:val="CommentReference"/>
          <w:color w:val="auto"/>
        </w:rPr>
        <w:commentReference w:id="0"/>
      </w:r>
    </w:p>
    <w:p w14:paraId="1B119BEC" w14:textId="3E3C240F" w:rsidR="009A0487" w:rsidRPr="0016793F" w:rsidRDefault="007E4F54">
      <w:pPr>
        <w:pStyle w:val="Section"/>
        <w:rPr>
          <w:color w:val="auto"/>
        </w:rPr>
      </w:pPr>
      <w:commentRangeStart w:id="1"/>
      <w:r w:rsidRPr="0016793F">
        <w:rPr>
          <w:rFonts w:ascii="Times New Roman" w:hAnsi="Times New Roman"/>
          <w:bCs/>
          <w:color w:val="auto"/>
          <w:lang w:val="en-US"/>
        </w:rPr>
        <w:t>Introduction</w:t>
      </w:r>
      <w:commentRangeEnd w:id="1"/>
      <w:r w:rsidR="0000745C">
        <w:rPr>
          <w:rStyle w:val="CommentReference"/>
          <w:b w:val="0"/>
          <w:iCs w:val="0"/>
          <w:color w:val="auto"/>
        </w:rPr>
        <w:commentReference w:id="1"/>
      </w:r>
    </w:p>
    <w:p w14:paraId="0D976289" w14:textId="2F087CF4" w:rsidR="009A0487" w:rsidRPr="0016793F" w:rsidRDefault="007E4F54">
      <w:pPr>
        <w:pStyle w:val="Bodytext"/>
        <w:rPr>
          <w:color w:val="auto"/>
        </w:rPr>
      </w:pPr>
      <w:r w:rsidRPr="0016793F">
        <w:rPr>
          <w:rFonts w:ascii="Times New Roman" w:hAnsi="Times New Roman"/>
          <w:color w:val="auto"/>
        </w:rPr>
        <w:t>The Covid-19 pandemic poses significant challenges to human life globally. The prevention of the spread of the Covid-19 Pandemic is trying to be overcome by implementing the PSBB policy and implementing health protocols. PSBB and Lockdown have had a major impact on the education sector</w:t>
      </w:r>
      <w:r w:rsidRPr="0016793F">
        <w:rPr>
          <w:rFonts w:ascii="Times New Roman" w:hAnsi="Times New Roman"/>
          <w:color w:val="auto"/>
        </w:rPr>
        <w:fldChar w:fldCharType="begin" w:fldLock="1"/>
      </w:r>
      <w:r w:rsidRPr="0016793F">
        <w:rPr>
          <w:rFonts w:ascii="Times New Roman" w:hAnsi="Times New Roman"/>
          <w:color w:val="auto"/>
        </w:rPr>
        <w:instrText>ADDIN CSL_CITATION {"citationItems":[{"id":"ITEM-1","itemData":{"author":[{"dropping-particle":"","family":"Reimers","given":"F.M.","non-dropping-particle":"","parse-names":false,"suffix":""},{"dropping-particle":"","family":"Schleicher","given":"A.","non-dropping-particle":"","parse-names":false,"suffix":""},{"dropping-particle":"","family":"Ansah","given":"G.A","non-dropping-particle":"","parse-names":false,"suffix":""}],"id":"ITEM-1","issued":{"date-parts":[["2020"]]},"title":"Schooling Disrupted, Schooling Rethought: How the Covid-19 Pandemic is Changing Education","type":"report"},"uris":["http://www.mendeley.com/documents/?uuid=75adf619-150a-487a-a745-36288be18f3c"]}],"mendeley":{"formattedCitation":"[1]","plainTextFormattedCitation":"[1]","previouslyFormattedCitation":"[1]"},"properties":{"noteIndex":0},"schema":"https://github.com/citation-style-language/schema/raw/master/csl-citation.json"}</w:instrText>
      </w:r>
      <w:r w:rsidRPr="0016793F">
        <w:rPr>
          <w:rFonts w:ascii="Times New Roman" w:hAnsi="Times New Roman"/>
          <w:color w:val="auto"/>
        </w:rPr>
        <w:fldChar w:fldCharType="separate"/>
      </w:r>
      <w:r w:rsidRPr="0016793F">
        <w:rPr>
          <w:rFonts w:ascii="Times New Roman" w:hAnsi="Times New Roman"/>
          <w:noProof/>
          <w:color w:val="auto"/>
        </w:rPr>
        <w:t>[1]</w:t>
      </w:r>
      <w:r w:rsidRPr="0016793F">
        <w:rPr>
          <w:rFonts w:ascii="Times New Roman" w:hAnsi="Times New Roman"/>
          <w:color w:val="auto"/>
        </w:rPr>
        <w:fldChar w:fldCharType="end"/>
      </w:r>
      <w:r w:rsidRPr="0016793F">
        <w:rPr>
          <w:rFonts w:ascii="Times New Roman" w:hAnsi="Times New Roman"/>
          <w:color w:val="auto"/>
        </w:rPr>
        <w:fldChar w:fldCharType="begin" w:fldLock="1"/>
      </w:r>
      <w:r w:rsidRPr="0016793F">
        <w:rPr>
          <w:rFonts w:ascii="Times New Roman" w:hAnsi="Times New Roman"/>
          <w:color w:val="auto"/>
        </w:rPr>
        <w:instrText>ADDIN CSL_CITATION {"citationItems":[{"id":"ITEM-1","itemData":{"DOI":"10.1002/hbe2.191","ISSN":"2578-1863","abstract":"Abstract Starting from the spring of 2020, the outbreak of the COVID-19 caused Chinese universities to close the campuses and forced them to initiate online teaching. This paper focuses on a case of Peking University's online education. Six specific instructional strategies are presented to summarize current online teaching experiences for university instructors who might conduct online education in similar circumstances. The study concludes with five high-impact principles for online education: (a) high relevance between online instructional design and student learning, (b) effective delivery on online instructional information, (c) adequate support provided by faculty and teaching assistants to students; (d) high-quality participation to improve the breadth and depth of student's learning, and (e) contingency plan to deal with unexpected incidents of online education platforms.","author":[{"dropping-particle":"","family":"Bao","given":"Wei","non-dropping-particle":"","parse-names":false,"suffix":""}],"container-title":"Human Behavior and Emerging Technologies","id":"ITEM-1","issue":"2","issued":{"date-parts":[["2020"]]},"page":"113-115","title":" COVID ‐19 and online teaching in higher education: A case study of Peking University ","type":"article-journal","volume":"2"},"uris":["http://www.mendeley.com/documents/?uuid=b471c77a-5b0d-44b2-adab-2b094d1624e4"]}],"mendeley":{"formattedCitation":"[2]","plainTextFormattedCitation":"[2]","previouslyFormattedCitation":"[2]"},"properties":{"noteIndex":0},"schema":"https://github.com/citation-style-language/schema/raw/master/csl-citation.json"}</w:instrText>
      </w:r>
      <w:r w:rsidRPr="0016793F">
        <w:rPr>
          <w:rFonts w:ascii="Times New Roman" w:hAnsi="Times New Roman"/>
          <w:color w:val="auto"/>
        </w:rPr>
        <w:fldChar w:fldCharType="separate"/>
      </w:r>
      <w:r w:rsidRPr="0016793F">
        <w:rPr>
          <w:rFonts w:ascii="Times New Roman" w:hAnsi="Times New Roman"/>
          <w:noProof/>
          <w:color w:val="auto"/>
        </w:rPr>
        <w:t>[2]</w:t>
      </w:r>
      <w:r w:rsidRPr="0016793F">
        <w:rPr>
          <w:rFonts w:ascii="Times New Roman" w:hAnsi="Times New Roman"/>
          <w:color w:val="auto"/>
        </w:rPr>
        <w:fldChar w:fldCharType="end"/>
      </w:r>
      <w:r w:rsidRPr="0016793F">
        <w:rPr>
          <w:rFonts w:ascii="Times New Roman" w:hAnsi="Times New Roman"/>
          <w:color w:val="auto"/>
        </w:rPr>
        <w:t>. The impact on the education sector in Indonesia includes the policy of eliminating the National Examination and the temporary closure of schools and tertiary institutions. The community certainly needs to adapt as soon as possible to face this situation. Community adaptation to face the Covid-19 Pandemic is called a new normal. New normal is as a way of life in the Covid-19 Pandemic situation. New normal is a community effort to keep running life by implementing health protocols. One of the new normal behavior is keeping physical distance. The behavior of keeping physical distancing has an impact on the learning system in the form of learning from home policy. Learning from home policy also applies to higher education in Indonesia, with the majority of learning online</w:t>
      </w:r>
      <w:r w:rsidRPr="0016793F">
        <w:rPr>
          <w:rFonts w:ascii="Times New Roman" w:hAnsi="Times New Roman"/>
          <w:color w:val="auto"/>
        </w:rPr>
        <w:fldChar w:fldCharType="begin" w:fldLock="1"/>
      </w:r>
      <w:r w:rsidRPr="0016793F">
        <w:rPr>
          <w:rFonts w:ascii="Times New Roman" w:hAnsi="Times New Roman"/>
          <w:color w:val="auto"/>
        </w:rPr>
        <w:instrText>ADDIN CSL_CITATION {"citationItems":[{"id":"ITEM-1","itemData":{"DOI":"http://dx.doi.org/10.1680/geot.2008.T.003","ISBN":"3531716735","ISSN":"0926860X","PMID":"23171283","abstract":"Sulfided W/C catalysts prepared from different tungsten precursors (silicotungstic (HSiW), phosphotungstic (HPW), and tungstic (HW) acids) and their Ni-promoted counterparts were used in the simultaneous hydrodesulfurization (HDS) and hydrogenation (HYD) of thiophene and 1-pentene, respectively, at a pressure of 1MPa, at temperatures ranging from 498 to 548Kanda weight hourly spacevelocity of 2.5 h−1.Theactivity results showedthatW/Ccatalystswereactive in hydrogenation but not in hydrodesulfurization at 498 K. The most active monometallic catalyst obtained from HSiW precursorwas five times less active in HDS than in HYD at 548 K. However, when Ni was incorporated to the base W/C system, a large enhancement in catalyst performance was observed irrespective of theWprecursor. Surface analysis of decomposed impregnates revealed that nickel incorporation into W/C catalysts led to a substantial improvement in surface exposure of the tungsten species. For the most active catalyst (from HSiW precursor and promoted with Ni) Ni-SiW, theWexposed on the carbon surface did not change after on-stream operation. On the basis of catalyst structure-activity relationships, it is inferred that this large activity is a direct consequence of the optimum ratio of Ni toW, a large exposure of the active phase of tungsten on the carbon surface, and promotion of WS2 phase by nickel.","author":[{"dropping-particle":"","family":"Crawford","given":"J.","non-dropping-particle":"","parse-names":false,"suffix":""},{"dropping-particle":"","family":"Butler-Henderson","given":"K.","non-dropping-particle":"","parse-names":false,"suffix":""},{"dropping-particle":"","family":"Rudolph","given":"J.","non-dropping-particle":"","parse-names":false,"suffix":""},{"dropping-particle":"","family":"Glowatz","given":"M.","non-dropping-particle":"","parse-names":false,"suffix":""},{"dropping-particle":"","family":"Burton","given":"R.","non-dropping-particle":"","parse-names":false,"suffix":""},{"dropping-particle":"","family":"Paola","given":"M.","non-dropping-particle":"","parse-names":false,"suffix":""},{"dropping-particle":"","family":"Lam","given":"S","non-dropping-particle":"","parse-names":false,"suffix":""}],"container-title":"Journal of Applied Learning &amp; Teaching","id":"ITEM-1","issue":"1","issued":{"date-parts":[["2020"]]},"page":"1-20","title":"COVID-19: 20 Countries' Higher Education Intra-Period Digital Pedagogy Responses Crawford,","type":"article-journal","volume":"3"},"uris":["http://www.mendeley.com/documents/?uuid=49c1aa6f-d91d-496e-a8dd-3944e0902710"]}],"mendeley":{"formattedCitation":"[3]","plainTextFormattedCitation":"[3]","previouslyFormattedCitation":"[3]"},"properties":{"noteIndex":0},"schema":"https://github.com/citation-style-language/schema/raw/master/csl-citation.json"}</w:instrText>
      </w:r>
      <w:r w:rsidRPr="0016793F">
        <w:rPr>
          <w:rFonts w:ascii="Times New Roman" w:hAnsi="Times New Roman"/>
          <w:color w:val="auto"/>
        </w:rPr>
        <w:fldChar w:fldCharType="separate"/>
      </w:r>
      <w:r w:rsidRPr="0016793F">
        <w:rPr>
          <w:rFonts w:ascii="Times New Roman" w:hAnsi="Times New Roman"/>
          <w:noProof/>
          <w:color w:val="auto"/>
        </w:rPr>
        <w:t>[3]</w:t>
      </w:r>
      <w:r w:rsidRPr="0016793F">
        <w:rPr>
          <w:rFonts w:ascii="Times New Roman" w:hAnsi="Times New Roman"/>
          <w:color w:val="auto"/>
        </w:rPr>
        <w:fldChar w:fldCharType="end"/>
      </w:r>
      <w:r w:rsidRPr="0016793F">
        <w:rPr>
          <w:rFonts w:ascii="Times New Roman" w:hAnsi="Times New Roman"/>
          <w:color w:val="auto"/>
        </w:rPr>
        <w:t>.</w:t>
      </w:r>
    </w:p>
    <w:p w14:paraId="37427D50" w14:textId="77777777" w:rsidR="007E4F54" w:rsidRPr="0016793F" w:rsidRDefault="007E4F54" w:rsidP="007E4F54">
      <w:pPr>
        <w:ind w:firstLine="284"/>
        <w:jc w:val="both"/>
        <w:rPr>
          <w:rFonts w:ascii="Times New Roman" w:hAnsi="Times New Roman"/>
          <w:lang w:val="en-US"/>
        </w:rPr>
      </w:pPr>
      <w:r w:rsidRPr="0016793F">
        <w:rPr>
          <w:rFonts w:ascii="Times New Roman" w:hAnsi="Times New Roman"/>
          <w:lang w:val="en-US"/>
        </w:rPr>
        <w:t xml:space="preserve">For students, online learning requires students to have a higher level of independence, discipline, responsibility, self-regulated learning, and literacy in technology. In the context of online learning, synchronous or asynchronous interactions occur between lecturers and students. Synchronous interaction allows lecturers and students to interact at the same time even in different places. </w:t>
      </w:r>
      <w:r w:rsidRPr="0016793F">
        <w:rPr>
          <w:rFonts w:ascii="Times New Roman" w:hAnsi="Times New Roman"/>
          <w:lang w:val="en-US"/>
        </w:rPr>
        <w:lastRenderedPageBreak/>
        <w:t>Asynchronous interaction allows lecturers and students to interact at different times and places</w:t>
      </w:r>
      <w:r w:rsidRPr="0016793F">
        <w:rPr>
          <w:rFonts w:ascii="Times New Roman" w:hAnsi="Times New Roman"/>
          <w:lang w:val="en-US"/>
        </w:rPr>
        <w:fldChar w:fldCharType="begin" w:fldLock="1"/>
      </w:r>
      <w:r w:rsidRPr="0016793F">
        <w:rPr>
          <w:rFonts w:ascii="Times New Roman" w:hAnsi="Times New Roman"/>
          <w:lang w:val="en-US"/>
        </w:rPr>
        <w:instrText>ADDIN CSL_CITATION {"citationItems":[{"id":"ITEM-1","itemData":{"DOI":"10.14569/ijacsa.2012.030208","ISSN":"2158107X","abstract":"E-learning is among the most important explosion propelled by the internet transformation. This allows users to fruitfully gather knowledge and education both by synchronous and asynchronous methodologies to effectively face the need to rapidly acquire up to date know-how within productive environments. This review paper discusses on e-learning methodologies and tools. The different categories of e-learning that includes informal and blending learning, network and work-based learning. The main focus of e-learning methodologies is on both asynchronous and synchronous methodology. The paper also looked into the three major e-learning tools which are (i) curriculum tools (ii) digital library tools and (iii) knowledge representation tools. The paper resolves that e-learning is a revolutionary way to empower workforce with the skill and knowledge it needs to turn change to an advantage. Consequently, many corporations are discovering that e-learning can be used as a tool for knowledge management. Finally the paper suggests that synchronous tools should be integrated into asynchronous environments to allow for “any-time” learning model. This environment would be primarily asynchronous with background discussion, assignments and assessment taking place and managed through synchronous tools.\\n","author":[{"dropping-particle":"","family":"N","given":"Oye","non-dropping-particle":"","parse-names":false,"suffix":""},{"dropping-particle":"","family":"Salleh","given":"Mazleena","non-dropping-particle":"","parse-names":false,"suffix":""},{"dropping-particle":"","family":"A.","given":"N.","non-dropping-particle":"","parse-names":false,"suffix":""}],"container-title":"International Journal of Advanced Computer Science and Applications","id":"ITEM-1","issue":"2","issued":{"date-parts":[["2012"]]},"page":"48-52","title":"E-Learning Methodologies and Tools","type":"article-journal","volume":"3"},"uris":["http://www.mendeley.com/documents/?uuid=6e58c0db-5f0a-4aa8-923e-3eb0ef5bdc47"]}],"mendeley":{"formattedCitation":"[4]","plainTextFormattedCitation":"[4]","previouslyFormattedCitation":"[4]"},"properties":{"noteIndex":0},"schema":"https://github.com/citation-style-language/schema/raw/master/csl-citation.json"}</w:instrText>
      </w:r>
      <w:r w:rsidRPr="0016793F">
        <w:rPr>
          <w:rFonts w:ascii="Times New Roman" w:hAnsi="Times New Roman"/>
          <w:lang w:val="en-US"/>
        </w:rPr>
        <w:fldChar w:fldCharType="separate"/>
      </w:r>
      <w:r w:rsidRPr="0016793F">
        <w:rPr>
          <w:rFonts w:ascii="Times New Roman" w:hAnsi="Times New Roman"/>
          <w:noProof/>
          <w:lang w:val="en-US"/>
        </w:rPr>
        <w:t>[4]</w:t>
      </w:r>
      <w:r w:rsidRPr="0016793F">
        <w:rPr>
          <w:rFonts w:ascii="Times New Roman" w:hAnsi="Times New Roman"/>
          <w:lang w:val="en-US"/>
        </w:rPr>
        <w:fldChar w:fldCharType="end"/>
      </w:r>
      <w:r w:rsidRPr="0016793F">
        <w:rPr>
          <w:rFonts w:ascii="Times New Roman" w:hAnsi="Times New Roman"/>
          <w:lang w:val="en-US"/>
        </w:rPr>
        <w:fldChar w:fldCharType="begin" w:fldLock="1"/>
      </w:r>
      <w:r w:rsidRPr="0016793F">
        <w:rPr>
          <w:rFonts w:ascii="Times New Roman" w:hAnsi="Times New Roman"/>
          <w:lang w:val="en-US"/>
        </w:rPr>
        <w:instrText>ADDIN CSL_CITATION {"citationItems":[{"id":"ITEM-1","itemData":{"DOI":"10.1016/j.sbspro.2015.01.453","ISBN":"0000000000","author":[{"dropping-particle":"","family":"Shahabadi","given":"Mehdi Mehri","non-dropping-particle":"","parse-names":false,"suffix":""},{"dropping-particle":"","family":"Uplane","given":"Megha","non-dropping-particle":"","parse-names":false,"suffix":""}],"container-title":"Procedia - Social and Behavioral Sciences","id":"ITEM-1","issued":{"date-parts":[["2015"]]},"page":"129-138","publisher":"Elsevier B.V.","title":"Synchronous and asynchronous e-learning styles and academic performance of e-learners","type":"article-journal","volume":"176"},"uris":["http://www.mendeley.com/documents/?uuid=5b1752d4-812e-458b-8631-8dff2e7dc37c"]}],"mendeley":{"formattedCitation":"[5]","plainTextFormattedCitation":"[5]","previouslyFormattedCitation":"[5]"},"properties":{"noteIndex":0},"schema":"https://github.com/citation-style-language/schema/raw/master/csl-citation.json"}</w:instrText>
      </w:r>
      <w:r w:rsidRPr="0016793F">
        <w:rPr>
          <w:rFonts w:ascii="Times New Roman" w:hAnsi="Times New Roman"/>
          <w:lang w:val="en-US"/>
        </w:rPr>
        <w:fldChar w:fldCharType="separate"/>
      </w:r>
      <w:r w:rsidRPr="0016793F">
        <w:rPr>
          <w:rFonts w:ascii="Times New Roman" w:hAnsi="Times New Roman"/>
          <w:noProof/>
          <w:lang w:val="en-US"/>
        </w:rPr>
        <w:t>[5]</w:t>
      </w:r>
      <w:r w:rsidRPr="0016793F">
        <w:rPr>
          <w:rFonts w:ascii="Times New Roman" w:hAnsi="Times New Roman"/>
          <w:lang w:val="en-US"/>
        </w:rPr>
        <w:fldChar w:fldCharType="end"/>
      </w:r>
      <w:r w:rsidRPr="0016793F">
        <w:rPr>
          <w:rFonts w:ascii="Times New Roman" w:hAnsi="Times New Roman"/>
          <w:lang w:val="en-US"/>
        </w:rPr>
        <w:t>. Technology and its literacy can support Synchronous or asynchronous interactions.</w:t>
      </w:r>
    </w:p>
    <w:p w14:paraId="0CCE314B" w14:textId="77777777" w:rsidR="007E4F54" w:rsidRPr="0016793F" w:rsidRDefault="007E4F54" w:rsidP="007E4F54">
      <w:pPr>
        <w:ind w:firstLine="284"/>
        <w:jc w:val="both"/>
        <w:rPr>
          <w:rFonts w:ascii="Times New Roman" w:eastAsia="Calibri" w:hAnsi="Times New Roman"/>
          <w:lang w:val="en-US"/>
        </w:rPr>
      </w:pPr>
      <w:r w:rsidRPr="0016793F">
        <w:rPr>
          <w:rFonts w:ascii="Times New Roman" w:eastAsia="Calibri" w:hAnsi="Times New Roman"/>
          <w:lang w:val="en-US"/>
        </w:rPr>
        <w:t>Technological literacy is needed to face the 21st century and the 4.0 industrial revolution. Fundamental opinions that serve as references for technology studies and technological literacy include the works of Mitcham and Pearson &amp; Young</w:t>
      </w:r>
      <w:r w:rsidRPr="0016793F">
        <w:rPr>
          <w:rFonts w:ascii="Times New Roman" w:hAnsi="Times New Roman"/>
        </w:rPr>
        <w:t xml:space="preserve"> </w:t>
      </w:r>
      <w:r w:rsidRPr="0016793F">
        <w:rPr>
          <w:rFonts w:ascii="Times New Roman" w:hAnsi="Times New Roman"/>
        </w:rPr>
        <w:fldChar w:fldCharType="begin" w:fldLock="1"/>
      </w:r>
      <w:r w:rsidRPr="0016793F">
        <w:rPr>
          <w:rFonts w:ascii="Times New Roman" w:hAnsi="Times New Roman"/>
        </w:rPr>
        <w:instrText>ADDIN CSL_CITATION {"citationItems":[{"id":"ITEM-1","itemData":{"DOI":"10.1186/s40594-016-0046-z","ISSN":"21967822","abstract":"The global urgency to improve STEM education may be driven by environmental and social impacts of the twenty-first century which in turn jeopardizes global security and economic stability. The complexity of these global factors reach beyond just helping students achieve high scores in math and science assessments. Friedman (The world is flat: A brief history of the twenty-first century, 2005) helped illustrate the complexity of a global society, and educators must help students prepare for this global shift. In response to these challenges, the USA experienced massive STEM educational reforms in the last two decades. In practice, STEM educators lack cohesive understanding of STEM education. Therefore, they could benefit from a STEM education conceptual framework. The process of integrating science, technology, engineering, and mathematics in authentic contexts can be as complex as the global challenges that demand a new generation of STEM experts. Educational researchers indicate that teachers struggle to make connections across the STEM disciplines. Consequently, students are often disinterested in science and math when they learn in an isolated and disjoined manner missing connections to crosscutting concepts and real-world applications. The following paper will operationalize STEM education key concepts and blend learning theories to build an integrated STEM education framework to assist in further researching integrated STEM education.","author":[{"dropping-particle":"","family":"Kelley","given":"Todd R.","non-dropping-particle":"","parse-names":false,"suffix":""},{"dropping-particle":"","family":"Knowles","given":"J. Geoff","non-dropping-particle":"","parse-names":false,"suffix":""}],"container-title":"International Journal of STEM Education","id":"ITEM-1","issue":"1","issued":{"date-parts":[["2016"]]},"page":"1-11","publisher":"International Journal of STEM Education","title":"A conceptual framework for integrated STEM education","type":"article-journal","volume":"3"},"uris":["http://www.mendeley.com/documents/?uuid=f6a6c399-9eac-480e-83c0-73d2a79fe0e3"]}],"mendeley":{"formattedCitation":"[6]","plainTextFormattedCitation":"[6]","previouslyFormattedCitation":"[6]"},"properties":{"noteIndex":0},"schema":"https://github.com/citation-style-language/schema/raw/master/csl-citation.json"}</w:instrText>
      </w:r>
      <w:r w:rsidRPr="0016793F">
        <w:rPr>
          <w:rFonts w:ascii="Times New Roman" w:hAnsi="Times New Roman"/>
        </w:rPr>
        <w:fldChar w:fldCharType="separate"/>
      </w:r>
      <w:r w:rsidRPr="0016793F">
        <w:rPr>
          <w:rFonts w:ascii="Times New Roman" w:hAnsi="Times New Roman"/>
          <w:noProof/>
        </w:rPr>
        <w:t>[6]</w:t>
      </w:r>
      <w:r w:rsidRPr="0016793F">
        <w:rPr>
          <w:rFonts w:ascii="Times New Roman" w:hAnsi="Times New Roman"/>
        </w:rPr>
        <w:fldChar w:fldCharType="end"/>
      </w:r>
      <w:r w:rsidRPr="0016793F">
        <w:rPr>
          <w:rFonts w:ascii="Times New Roman" w:hAnsi="Times New Roman"/>
        </w:rPr>
        <w:fldChar w:fldCharType="begin" w:fldLock="1"/>
      </w:r>
      <w:r w:rsidRPr="0016793F">
        <w:rPr>
          <w:rFonts w:ascii="Times New Roman" w:hAnsi="Times New Roman"/>
        </w:rPr>
        <w:instrText>ADDIN CSL_CITATION {"citationItems":[{"id":"ITEM-1","itemData":{"DOI":"10.21061/jots.v37i1.a.4","ISSN":"1541-9258","abstract":"The article presents information on technological literacy in higher education. A study was conducted on 256 students to determine the attitudes of knowledge gained from a general studies technological literacy course. A course was designed that expose students to different technologies. The study found that it was the first time that about 64% of the students studied technology. The study also noted that students gained improved understandings of technology's effect such as working knowledge of technology as well as technology and careers.","author":[{"dropping-particle":"","family":"Ritz","given":"John M.","non-dropping-particle":"","parse-names":false,"suffix":""}],"container-title":"The Journal of Technology Studies","id":"ITEM-1","issue":"1","issued":{"date-parts":[["2011"]]},"page":"31-40","title":"A Focus on Technological Literacy in Higher Education","type":"article-journal","volume":"37"},"uris":["http://www.mendeley.com/documents/?uuid=d7a37f75-340e-4fbb-8532-983a502ce552"]}],"mendeley":{"formattedCitation":"[7]","plainTextFormattedCitation":"[7]","previouslyFormattedCitation":"[7]"},"properties":{"noteIndex":0},"schema":"https://github.com/citation-style-language/schema/raw/master/csl-citation.json"}</w:instrText>
      </w:r>
      <w:r w:rsidRPr="0016793F">
        <w:rPr>
          <w:rFonts w:ascii="Times New Roman" w:hAnsi="Times New Roman"/>
        </w:rPr>
        <w:fldChar w:fldCharType="separate"/>
      </w:r>
      <w:r w:rsidRPr="0016793F">
        <w:rPr>
          <w:rFonts w:ascii="Times New Roman" w:hAnsi="Times New Roman"/>
          <w:noProof/>
        </w:rPr>
        <w:t>[7]</w:t>
      </w:r>
      <w:r w:rsidRPr="0016793F">
        <w:rPr>
          <w:rFonts w:ascii="Times New Roman" w:hAnsi="Times New Roman"/>
        </w:rPr>
        <w:fldChar w:fldCharType="end"/>
      </w:r>
      <w:r w:rsidRPr="0016793F">
        <w:rPr>
          <w:rFonts w:ascii="Times New Roman" w:hAnsi="Times New Roman"/>
        </w:rPr>
        <w:fldChar w:fldCharType="begin" w:fldLock="1"/>
      </w:r>
      <w:r w:rsidRPr="0016793F">
        <w:rPr>
          <w:rFonts w:ascii="Times New Roman" w:hAnsi="Times New Roman"/>
        </w:rPr>
        <w:instrText>ADDIN CSL_CITATION {"citationItems":[{"id":"ITEM-1","itemData":{"DOI":"10.1007/978-3-319-44687-5_45","ISBN":"9783319388892","author":[{"dropping-particle":"","family":"France","given":"Bev","non-dropping-particle":"","parse-names":false,"suffix":""}],"id":"ITEM-1","issued":{"date-parts":[["2018"]]},"page":"611-621","title":"Modeling in Technology Education: A Route to Technological Literacy","type":"article-journal"},"uris":["http://www.mendeley.com/documents/?uuid=6431bd6d-83b0-4422-8062-b3531391845c"]}],"mendeley":{"formattedCitation":"[8]","plainTextFormattedCitation":"[8]","previouslyFormattedCitation":"[8]"},"properties":{"noteIndex":0},"schema":"https://github.com/citation-style-language/schema/raw/master/csl-citation.json"}</w:instrText>
      </w:r>
      <w:r w:rsidRPr="0016793F">
        <w:rPr>
          <w:rFonts w:ascii="Times New Roman" w:hAnsi="Times New Roman"/>
        </w:rPr>
        <w:fldChar w:fldCharType="separate"/>
      </w:r>
      <w:r w:rsidRPr="0016793F">
        <w:rPr>
          <w:rFonts w:ascii="Times New Roman" w:hAnsi="Times New Roman"/>
          <w:noProof/>
        </w:rPr>
        <w:t>[8]</w:t>
      </w:r>
      <w:r w:rsidRPr="0016793F">
        <w:rPr>
          <w:rFonts w:ascii="Times New Roman" w:hAnsi="Times New Roman"/>
        </w:rPr>
        <w:fldChar w:fldCharType="end"/>
      </w:r>
      <w:r w:rsidRPr="0016793F">
        <w:rPr>
          <w:rFonts w:ascii="Times New Roman" w:hAnsi="Times New Roman"/>
        </w:rPr>
        <w:fldChar w:fldCharType="begin" w:fldLock="1"/>
      </w:r>
      <w:r w:rsidRPr="0016793F">
        <w:rPr>
          <w:rFonts w:ascii="Times New Roman" w:hAnsi="Times New Roman"/>
        </w:rPr>
        <w:instrText>ADDIN CSL_CITATION {"citationItems":[{"id":"ITEM-1","itemData":{"DOI":"10.21061/jots.v40i2.a.2","ISSN":"1541-9258","abstract":"The goal of this study was to determine to what extent technological literacy courses were required in K-12 teacher education. A documents review of the appropriate course catalogs for initial teacher preparation was conducted. The documents review identified general education requirements and options for technological literacy courses, as well as requirements and options for these courses for English, social studies, mathematics, and science education majors. For this study, technological literacy was defined as \"the ability to use, manage, assess, and understand technology\" (ITEA, 2000/2002/2007, p. 9). This definition of literacy is broader than technology literacy associated with computer use and instructional technology, as well as courses limited to the history or philosophy of technology. A finding from this study is that there is very little exposure to technological literacy courses for prospective K-12 teachers. This may be due in part to the confusion between instructional technology literacy and technological literacy. [ABSTRACT FROM AUTHOR]","author":[{"dropping-particle":"","family":"Skophammer","given":"Roger","non-dropping-particle":"","parse-names":false,"suffix":""},{"dropping-particle":"","family":"Reed","given":"Philip A.","non-dropping-particle":"","parse-names":false,"suffix":""}],"container-title":"The Journal of Technology Studies","id":"ITEM-1","issue":"2","issued":{"date-parts":[["2014"]]},"page":"68-80","title":"Technological Literacy Courses in Pre-Service Teacher Education","type":"article-journal","volume":"40"},"uris":["http://www.mendeley.com/documents/?uuid=f404c329-e454-4a3c-9ef2-fd4ba775399a"]}],"mendeley":{"formattedCitation":"[9]","plainTextFormattedCitation":"[9]","previouslyFormattedCitation":"[9]"},"properties":{"noteIndex":0},"schema":"https://github.com/citation-style-language/schema/raw/master/csl-citation.json"}</w:instrText>
      </w:r>
      <w:r w:rsidRPr="0016793F">
        <w:rPr>
          <w:rFonts w:ascii="Times New Roman" w:hAnsi="Times New Roman"/>
        </w:rPr>
        <w:fldChar w:fldCharType="separate"/>
      </w:r>
      <w:r w:rsidRPr="0016793F">
        <w:rPr>
          <w:rFonts w:ascii="Times New Roman" w:hAnsi="Times New Roman"/>
          <w:noProof/>
        </w:rPr>
        <w:t>[9]</w:t>
      </w:r>
      <w:r w:rsidRPr="0016793F">
        <w:rPr>
          <w:rFonts w:ascii="Times New Roman" w:hAnsi="Times New Roman"/>
        </w:rPr>
        <w:fldChar w:fldCharType="end"/>
      </w:r>
      <w:r w:rsidRPr="0016793F">
        <w:rPr>
          <w:rFonts w:ascii="Times New Roman" w:hAnsi="Times New Roman"/>
        </w:rPr>
        <w:t xml:space="preserve">. The technology consists of objects, knowledge, activities, and will </w:t>
      </w:r>
      <w:r w:rsidRPr="0016793F">
        <w:rPr>
          <w:rFonts w:ascii="Times New Roman" w:hAnsi="Times New Roman"/>
        </w:rPr>
        <w:fldChar w:fldCharType="begin" w:fldLock="1"/>
      </w:r>
      <w:r w:rsidRPr="0016793F">
        <w:rPr>
          <w:rFonts w:ascii="Times New Roman" w:hAnsi="Times New Roman"/>
        </w:rPr>
        <w:instrText>ADDIN CSL_CITATION {"citationItems":[{"id":"ITEM-1","itemData":{"author":[{"dropping-particle":"","family":"C. Mitcham","given":"","non-dropping-particle":"","parse-names":false,"suffix":""}],"id":"ITEM-1","issued":{"date-parts":[["1994"]]},"publisher":"University of Chicago Press","publisher-place":"Chicago","title":"Thinking through Technology: The Path between Engineering and Philosophy","type":"book"},"uris":["http://www.mendeley.com/documents/?uuid=67045eab-4bf9-46c1-9ec2-4bc2657f5b25"]}],"mendeley":{"formattedCitation":"[10]","plainTextFormattedCitation":"[10]","previouslyFormattedCitation":"[10]"},"properties":{"noteIndex":0},"schema":"https://github.com/citation-style-language/schema/raw/master/csl-citation.json"}</w:instrText>
      </w:r>
      <w:r w:rsidRPr="0016793F">
        <w:rPr>
          <w:rFonts w:ascii="Times New Roman" w:hAnsi="Times New Roman"/>
        </w:rPr>
        <w:fldChar w:fldCharType="separate"/>
      </w:r>
      <w:r w:rsidRPr="0016793F">
        <w:rPr>
          <w:rFonts w:ascii="Times New Roman" w:hAnsi="Times New Roman"/>
          <w:noProof/>
        </w:rPr>
        <w:t>[10]</w:t>
      </w:r>
      <w:r w:rsidRPr="0016793F">
        <w:rPr>
          <w:rFonts w:ascii="Times New Roman" w:hAnsi="Times New Roman"/>
        </w:rPr>
        <w:fldChar w:fldCharType="end"/>
      </w:r>
      <w:r w:rsidRPr="0016793F">
        <w:rPr>
          <w:rFonts w:ascii="Times New Roman" w:hAnsi="Times New Roman"/>
        </w:rPr>
        <w:t xml:space="preserve">. Meanwhile, technological literacy is an understanding of the nature and history of technology, basic hands-on abilities of technology, and the ability to think critically about technological developments </w:t>
      </w:r>
      <w:r w:rsidRPr="0016793F">
        <w:rPr>
          <w:rFonts w:ascii="Times New Roman" w:hAnsi="Times New Roman"/>
        </w:rPr>
        <w:fldChar w:fldCharType="begin" w:fldLock="1"/>
      </w:r>
      <w:r w:rsidRPr="0016793F">
        <w:rPr>
          <w:rFonts w:ascii="Times New Roman" w:hAnsi="Times New Roman"/>
        </w:rPr>
        <w:instrText>ADDIN CSL_CITATION {"citationItems":[{"id":"ITEM-1","itemData":{"DOI":"10.17226/10250","ISBN":"9780309082624","author":[{"dropping-particle":"","family":"Pearson","given":"Greg","non-dropping-particle":"","parse-names":false,"suffix":""},{"dropping-particle":"","family":"Young","given":"A. Thomas","non-dropping-particle":"","parse-names":false,"suffix":""}],"id":"ITEM-1","issued":{"date-parts":[["2002"]]},"publisher":"National Academies Press","publisher-place":"Washington DC","title":"Technically Speaking: Why All Americans Need to Know More About Technology","type":"book"},"uris":["http://www.mendeley.com/documents/?uuid=ab5a018b-008c-40f7-8819-c3ab470a7d57"]}],"mendeley":{"formattedCitation":"[11]","plainTextFormattedCitation":"[11]","previouslyFormattedCitation":"[11]"},"properties":{"noteIndex":0},"schema":"https://github.com/citation-style-language/schema/raw/master/csl-citation.json"}</w:instrText>
      </w:r>
      <w:r w:rsidRPr="0016793F">
        <w:rPr>
          <w:rFonts w:ascii="Times New Roman" w:hAnsi="Times New Roman"/>
        </w:rPr>
        <w:fldChar w:fldCharType="separate"/>
      </w:r>
      <w:r w:rsidRPr="0016793F">
        <w:rPr>
          <w:rFonts w:ascii="Times New Roman" w:hAnsi="Times New Roman"/>
          <w:noProof/>
        </w:rPr>
        <w:t>[11]</w:t>
      </w:r>
      <w:r w:rsidRPr="0016793F">
        <w:rPr>
          <w:rFonts w:ascii="Times New Roman" w:hAnsi="Times New Roman"/>
        </w:rPr>
        <w:fldChar w:fldCharType="end"/>
      </w:r>
      <w:r w:rsidRPr="0016793F">
        <w:rPr>
          <w:rFonts w:ascii="Times New Roman" w:hAnsi="Times New Roman"/>
        </w:rPr>
        <w:t xml:space="preserve">. This definition leads to the domain of technological literacy, namely knowledge, thinking, and acting patterns, skills </w:t>
      </w:r>
      <w:r w:rsidRPr="0016793F">
        <w:rPr>
          <w:rFonts w:ascii="Times New Roman" w:hAnsi="Times New Roman"/>
        </w:rPr>
        <w:fldChar w:fldCharType="begin" w:fldLock="1"/>
      </w:r>
      <w:r w:rsidRPr="0016793F">
        <w:rPr>
          <w:rFonts w:ascii="Times New Roman" w:hAnsi="Times New Roman"/>
        </w:rPr>
        <w:instrText>ADDIN CSL_CITATION {"citationItems":[{"id":"ITEM-1","itemData":{"DOI":"10.17226/10250","ISBN":"9780309082624","author":[{"dropping-particle":"","family":"Pearson","given":"Greg","non-dropping-particle":"","parse-names":false,"suffix":""},{"dropping-particle":"","family":"Young","given":"A. Thomas","non-dropping-particle":"","parse-names":false,"suffix":""}],"id":"ITEM-1","issued":{"date-parts":[["2002"]]},"publisher":"National Academies Press","publisher-place":"Washington DC","title":"Technically Speaking: Why All Americans Need to Know More About Technology","type":"book"},"uris":["http://www.mendeley.com/documents/?uuid=ab5a018b-008c-40f7-8819-c3ab470a7d57"]}],"mendeley":{"formattedCitation":"[11]","plainTextFormattedCitation":"[11]","previouslyFormattedCitation":"[11]"},"properties":{"noteIndex":0},"schema":"https://github.com/citation-style-language/schema/raw/master/csl-citation.json"}</w:instrText>
      </w:r>
      <w:r w:rsidRPr="0016793F">
        <w:rPr>
          <w:rFonts w:ascii="Times New Roman" w:hAnsi="Times New Roman"/>
        </w:rPr>
        <w:fldChar w:fldCharType="separate"/>
      </w:r>
      <w:r w:rsidRPr="0016793F">
        <w:rPr>
          <w:rFonts w:ascii="Times New Roman" w:hAnsi="Times New Roman"/>
          <w:noProof/>
        </w:rPr>
        <w:t>[11]</w:t>
      </w:r>
      <w:r w:rsidRPr="0016793F">
        <w:rPr>
          <w:rFonts w:ascii="Times New Roman" w:hAnsi="Times New Roman"/>
        </w:rPr>
        <w:fldChar w:fldCharType="end"/>
      </w:r>
      <w:r w:rsidRPr="0016793F">
        <w:rPr>
          <w:rFonts w:ascii="Times New Roman" w:hAnsi="Times New Roman"/>
        </w:rPr>
        <w:t>.</w:t>
      </w:r>
      <w:r w:rsidRPr="0016793F">
        <w:rPr>
          <w:rFonts w:ascii="Times New Roman" w:hAnsi="Times New Roman"/>
          <w:lang w:val="en-US"/>
        </w:rPr>
        <w:t xml:space="preserve"> Technology literacy is important during online learning.</w:t>
      </w:r>
    </w:p>
    <w:p w14:paraId="5D45CBCF" w14:textId="77777777" w:rsidR="007E4F54" w:rsidRPr="0016793F" w:rsidRDefault="007E4F54" w:rsidP="007E4F54">
      <w:pPr>
        <w:ind w:firstLine="284"/>
        <w:jc w:val="both"/>
        <w:rPr>
          <w:rFonts w:ascii="Times New Roman" w:hAnsi="Times New Roman"/>
          <w:lang w:val="en-US" w:eastAsia="id-ID"/>
        </w:rPr>
      </w:pPr>
      <w:r w:rsidRPr="0016793F">
        <w:rPr>
          <w:rFonts w:ascii="Times New Roman" w:hAnsi="Times New Roman"/>
          <w:lang w:val="en-US" w:eastAsia="id-ID"/>
        </w:rPr>
        <w:t>There are several research results related to the response of countries in the world to the COVID-19 pandemic related to the implementation of higher education. Crawford et al. reported that there are universities that are still conducting offline lectures by implementing physical distancing, there are universities that are implementing online learning in full, and some are implementing blended-learning</w:t>
      </w:r>
      <w:r w:rsidRPr="0016793F">
        <w:rPr>
          <w:rFonts w:ascii="Times New Roman" w:hAnsi="Times New Roman"/>
          <w:i/>
          <w:iCs/>
          <w:lang w:val="en-US" w:eastAsia="id-ID"/>
        </w:rPr>
        <w:fldChar w:fldCharType="begin" w:fldLock="1"/>
      </w:r>
      <w:r w:rsidRPr="0016793F">
        <w:rPr>
          <w:rFonts w:ascii="Times New Roman" w:hAnsi="Times New Roman"/>
          <w:i/>
          <w:iCs/>
          <w:lang w:val="en-US" w:eastAsia="id-ID"/>
        </w:rPr>
        <w:instrText>ADDIN CSL_CITATION {"citationItems":[{"id":"ITEM-1","itemData":{"DOI":"http://dx.doi.org/10.1680/geot.2008.T.003","ISBN":"3531716735","ISSN":"0926860X","PMID":"23171283","abstract":"Sulfided W/C catalysts prepared from different tungsten precursors (silicotungstic (HSiW), phosphotungstic (HPW), and tungstic (HW) acids) and their Ni-promoted counterparts were used in the simultaneous hydrodesulfurization (HDS) and hydrogenation (HYD) of thiophene and 1-pentene, respectively, at a pressure of 1MPa, at temperatures ranging from 498 to 548Kanda weight hourly spacevelocity of 2.5 h−1.Theactivity results showedthatW/Ccatalystswereactive in hydrogenation but not in hydrodesulfurization at 498 K. The most active monometallic catalyst obtained from HSiW precursorwas five times less active in HDS than in HYD at 548 K. However, when Ni was incorporated to the base W/C system, a large enhancement in catalyst performance was observed irrespective of theWprecursor. Surface analysis of decomposed impregnates revealed that nickel incorporation into W/C catalysts led to a substantial improvement in surface exposure of the tungsten species. For the most active catalyst (from HSiW precursor and promoted with Ni) Ni-SiW, theWexposed on the carbon surface did not change after on-stream operation. On the basis of catalyst structure-activity relationships, it is inferred that this large activity is a direct consequence of the optimum ratio of Ni toW, a large exposure of the active phase of tungsten on the carbon surface, and promotion of WS2 phase by nickel.","author":[{"dropping-particle":"","family":"Crawford","given":"J.","non-dropping-particle":"","parse-names":false,"suffix":""},{"dropping-particle":"","family":"Butler-Henderson","given":"K.","non-dropping-particle":"","parse-names":false,"suffix":""},{"dropping-particle":"","family":"Rudolph","given":"J.","non-dropping-particle":"","parse-names":false,"suffix":""},{"dropping-particle":"","family":"Glowatz","given":"M.","non-dropping-particle":"","parse-names":false,"suffix":""},{"dropping-particle":"","family":"Burton","given":"R.","non-dropping-particle":"","parse-names":false,"suffix":""},{"dropping-particle":"","family":"Paola","given":"M.","non-dropping-particle":"","parse-names":false,"suffix":""},{"dropping-particle":"","family":"Lam","given":"S","non-dropping-particle":"","parse-names":false,"suffix":""}],"container-title":"Journal of Applied Learning &amp; Teaching","id":"ITEM-1","issue":"1","issued":{"date-parts":[["2020"]]},"page":"1-20","title":"COVID-19: 20 Countries' Higher Education Intra-Period Digital Pedagogy Responses Crawford,","type":"article-journal","volume":"3"},"uris":["http://www.mendeley.com/documents/?uuid=49c1aa6f-d91d-496e-a8dd-3944e0902710"]}],"mendeley":{"formattedCitation":"[3]","plainTextFormattedCitation":"[3]","previouslyFormattedCitation":"[3]"},"properties":{"noteIndex":0},"schema":"https://github.com/citation-style-language/schema/raw/master/csl-citation.json"}</w:instrText>
      </w:r>
      <w:r w:rsidRPr="0016793F">
        <w:rPr>
          <w:rFonts w:ascii="Times New Roman" w:hAnsi="Times New Roman"/>
          <w:i/>
          <w:iCs/>
          <w:lang w:val="en-US" w:eastAsia="id-ID"/>
        </w:rPr>
        <w:fldChar w:fldCharType="separate"/>
      </w:r>
      <w:r w:rsidRPr="0016793F">
        <w:rPr>
          <w:rFonts w:ascii="Times New Roman" w:hAnsi="Times New Roman"/>
          <w:iCs/>
          <w:noProof/>
          <w:lang w:val="en-US" w:eastAsia="id-ID"/>
        </w:rPr>
        <w:t>[3]</w:t>
      </w:r>
      <w:r w:rsidRPr="0016793F">
        <w:rPr>
          <w:rFonts w:ascii="Times New Roman" w:hAnsi="Times New Roman"/>
          <w:i/>
          <w:iCs/>
          <w:lang w:val="en-US" w:eastAsia="id-ID"/>
        </w:rPr>
        <w:fldChar w:fldCharType="end"/>
      </w:r>
      <w:r w:rsidRPr="0016793F">
        <w:rPr>
          <w:rFonts w:ascii="Times New Roman" w:hAnsi="Times New Roman"/>
          <w:lang w:val="en-US" w:eastAsia="id-ID"/>
        </w:rPr>
        <w:t>. Bao reports a case study of students who have difficulty studying online due to a lack of good learning attitudes, lack of discipline, lack of appropriate teaching materials, and a good learning environment</w:t>
      </w:r>
      <w:r w:rsidRPr="0016793F">
        <w:rPr>
          <w:rFonts w:ascii="Times New Roman" w:hAnsi="Times New Roman"/>
          <w:lang w:val="en-US" w:eastAsia="id-ID"/>
        </w:rPr>
        <w:fldChar w:fldCharType="begin" w:fldLock="1"/>
      </w:r>
      <w:r w:rsidRPr="0016793F">
        <w:rPr>
          <w:rFonts w:ascii="Times New Roman" w:hAnsi="Times New Roman"/>
          <w:lang w:val="en-US" w:eastAsia="id-ID"/>
        </w:rPr>
        <w:instrText>ADDIN CSL_CITATION {"citationItems":[{"id":"ITEM-1","itemData":{"DOI":"10.1002/hbe2.191","ISSN":"2578-1863","abstract":"Abstract Starting from the spring of 2020, the outbreak of the COVID-19 caused Chinese universities to close the campuses and forced them to initiate online teaching. This paper focuses on a case of Peking University's online education. Six specific instructional strategies are presented to summarize current online teaching experiences for university instructors who might conduct online education in similar circumstances. The study concludes with five high-impact principles for online education: (a) high relevance between online instructional design and student learning, (b) effective delivery on online instructional information, (c) adequate support provided by faculty and teaching assistants to students; (d) high-quality participation to improve the breadth and depth of student's learning, and (e) contingency plan to deal with unexpected incidents of online education platforms.","author":[{"dropping-particle":"","family":"Bao","given":"Wei","non-dropping-particle":"","parse-names":false,"suffix":""}],"container-title":"Human Behavior and Emerging Technologies","id":"ITEM-1","issue":"2","issued":{"date-parts":[["2020"]]},"page":"113-115","title":" COVID ‐19 and online teaching in higher education: A case study of Peking University ","type":"article-journal","volume":"2"},"uris":["http://www.mendeley.com/documents/?uuid=b471c77a-5b0d-44b2-adab-2b094d1624e4"]}],"mendeley":{"formattedCitation":"[2]","plainTextFormattedCitation":"[2]","previouslyFormattedCitation":"[2]"},"properties":{"noteIndex":0},"schema":"https://github.com/citation-style-language/schema/raw/master/csl-citation.json"}</w:instrText>
      </w:r>
      <w:r w:rsidRPr="0016793F">
        <w:rPr>
          <w:rFonts w:ascii="Times New Roman" w:hAnsi="Times New Roman"/>
          <w:lang w:val="en-US" w:eastAsia="id-ID"/>
        </w:rPr>
        <w:fldChar w:fldCharType="separate"/>
      </w:r>
      <w:r w:rsidRPr="0016793F">
        <w:rPr>
          <w:rFonts w:ascii="Times New Roman" w:hAnsi="Times New Roman"/>
          <w:noProof/>
          <w:lang w:val="en-US" w:eastAsia="id-ID"/>
        </w:rPr>
        <w:t>[2]</w:t>
      </w:r>
      <w:r w:rsidRPr="0016793F">
        <w:rPr>
          <w:rFonts w:ascii="Times New Roman" w:hAnsi="Times New Roman"/>
          <w:lang w:val="en-US" w:eastAsia="id-ID"/>
        </w:rPr>
        <w:fldChar w:fldCharType="end"/>
      </w:r>
      <w:r w:rsidRPr="0016793F">
        <w:rPr>
          <w:rFonts w:ascii="Times New Roman" w:hAnsi="Times New Roman"/>
          <w:lang w:val="en-US" w:eastAsia="id-ID"/>
        </w:rPr>
        <w:t>. Reimers et al. added that education needs to be innovative and flexible with technology mediation in the New Normal era</w:t>
      </w:r>
      <w:r w:rsidRPr="0016793F">
        <w:rPr>
          <w:rFonts w:ascii="Times New Roman" w:hAnsi="Times New Roman"/>
          <w:lang w:val="en-US" w:eastAsia="id-ID"/>
        </w:rPr>
        <w:fldChar w:fldCharType="begin" w:fldLock="1"/>
      </w:r>
      <w:r w:rsidRPr="0016793F">
        <w:rPr>
          <w:rFonts w:ascii="Times New Roman" w:hAnsi="Times New Roman"/>
          <w:lang w:val="en-US" w:eastAsia="id-ID"/>
        </w:rPr>
        <w:instrText>ADDIN CSL_CITATION {"citationItems":[{"id":"ITEM-1","itemData":{"author":[{"dropping-particle":"","family":"Reimers","given":"F.M.","non-dropping-particle":"","parse-names":false,"suffix":""},{"dropping-particle":"","family":"Schleicher","given":"A.","non-dropping-particle":"","parse-names":false,"suffix":""},{"dropping-particle":"","family":"Ansah","given":"G.A","non-dropping-particle":"","parse-names":false,"suffix":""}],"id":"ITEM-1","issued":{"date-parts":[["2020"]]},"title":"Schooling Disrupted, Schooling Rethought: How the Covid-19 Pandemic is Changing Education","type":"report"},"uris":["http://www.mendeley.com/documents/?uuid=75adf619-150a-487a-a745-36288be18f3c"]}],"mendeley":{"formattedCitation":"[1]","plainTextFormattedCitation":"[1]","previouslyFormattedCitation":"[1]"},"properties":{"noteIndex":0},"schema":"https://github.com/citation-style-language/schema/raw/master/csl-citation.json"}</w:instrText>
      </w:r>
      <w:r w:rsidRPr="0016793F">
        <w:rPr>
          <w:rFonts w:ascii="Times New Roman" w:hAnsi="Times New Roman"/>
          <w:lang w:val="en-US" w:eastAsia="id-ID"/>
        </w:rPr>
        <w:fldChar w:fldCharType="separate"/>
      </w:r>
      <w:r w:rsidRPr="0016793F">
        <w:rPr>
          <w:rFonts w:ascii="Times New Roman" w:hAnsi="Times New Roman"/>
          <w:noProof/>
          <w:lang w:val="en-US" w:eastAsia="id-ID"/>
        </w:rPr>
        <w:t>[1]</w:t>
      </w:r>
      <w:r w:rsidRPr="0016793F">
        <w:rPr>
          <w:rFonts w:ascii="Times New Roman" w:hAnsi="Times New Roman"/>
          <w:lang w:val="en-US" w:eastAsia="id-ID"/>
        </w:rPr>
        <w:fldChar w:fldCharType="end"/>
      </w:r>
      <w:r w:rsidRPr="0016793F">
        <w:rPr>
          <w:rFonts w:ascii="Times New Roman" w:hAnsi="Times New Roman"/>
          <w:lang w:val="en-US" w:eastAsia="id-ID"/>
        </w:rPr>
        <w:t xml:space="preserve">. </w:t>
      </w:r>
    </w:p>
    <w:p w14:paraId="03ABE549" w14:textId="59A89B90" w:rsidR="009A0487" w:rsidRPr="0016793F" w:rsidRDefault="007E4F54" w:rsidP="007E4F54">
      <w:pPr>
        <w:pStyle w:val="BodytextIndented"/>
        <w:rPr>
          <w:color w:val="auto"/>
        </w:rPr>
      </w:pPr>
      <w:r w:rsidRPr="0016793F">
        <w:rPr>
          <w:rFonts w:ascii="Times New Roman" w:hAnsi="Times New Roman"/>
          <w:color w:val="auto"/>
          <w:lang w:eastAsia="id-ID"/>
        </w:rPr>
        <w:t xml:space="preserve">Online learning is new to the majority of students. Students at this time are still in a transition period to online learning. Then, they need to be well prepared. Thus, it is necessary to study the readiness of students in online learning and attitudes towards technological literacy during the transition to the new normal era. This study aims to determine the response of students of physics education at </w:t>
      </w:r>
      <w:proofErr w:type="spellStart"/>
      <w:r w:rsidRPr="0016793F">
        <w:rPr>
          <w:rFonts w:ascii="Times New Roman" w:hAnsi="Times New Roman"/>
          <w:color w:val="auto"/>
          <w:lang w:eastAsia="id-ID"/>
        </w:rPr>
        <w:t>Siliwangi</w:t>
      </w:r>
      <w:proofErr w:type="spellEnd"/>
      <w:r w:rsidRPr="0016793F">
        <w:rPr>
          <w:rFonts w:ascii="Times New Roman" w:hAnsi="Times New Roman"/>
          <w:color w:val="auto"/>
          <w:lang w:eastAsia="id-ID"/>
        </w:rPr>
        <w:t xml:space="preserve"> University to online learning. Besides, this study aims to analyze online learning from a technological literacy perspective.</w:t>
      </w:r>
    </w:p>
    <w:p w14:paraId="7487C7E1" w14:textId="05845D76" w:rsidR="009A0487" w:rsidRPr="0016793F" w:rsidRDefault="007E4F54">
      <w:pPr>
        <w:pStyle w:val="Section"/>
        <w:rPr>
          <w:color w:val="auto"/>
        </w:rPr>
      </w:pPr>
      <w:commentRangeStart w:id="2"/>
      <w:r w:rsidRPr="0016793F">
        <w:rPr>
          <w:rFonts w:ascii="Times New Roman" w:hAnsi="Times New Roman"/>
          <w:bCs/>
          <w:color w:val="auto"/>
          <w:lang w:val="en-US" w:eastAsia="id-ID"/>
        </w:rPr>
        <w:t>Methods</w:t>
      </w:r>
      <w:commentRangeEnd w:id="2"/>
      <w:r w:rsidR="0000745C">
        <w:rPr>
          <w:rStyle w:val="CommentReference"/>
          <w:b w:val="0"/>
          <w:iCs w:val="0"/>
          <w:color w:val="auto"/>
        </w:rPr>
        <w:commentReference w:id="2"/>
      </w:r>
    </w:p>
    <w:p w14:paraId="1FD9A94D" w14:textId="32CC7576" w:rsidR="009A0487" w:rsidRPr="0016793F" w:rsidRDefault="007E4F54" w:rsidP="007E4F54">
      <w:pPr>
        <w:pStyle w:val="Bodytext"/>
        <w:rPr>
          <w:rFonts w:ascii="Times New Roman" w:hAnsi="Times New Roman"/>
          <w:color w:val="auto"/>
          <w:lang w:eastAsia="id-ID"/>
        </w:rPr>
      </w:pPr>
      <w:r w:rsidRPr="0016793F">
        <w:rPr>
          <w:rFonts w:ascii="Times New Roman" w:hAnsi="Times New Roman"/>
          <w:color w:val="auto"/>
          <w:lang w:eastAsia="id-ID"/>
        </w:rPr>
        <w:t xml:space="preserve">This research uses a survey method. Respondents are 155 students of Physics Education at </w:t>
      </w:r>
      <w:proofErr w:type="spellStart"/>
      <w:r w:rsidRPr="0016793F">
        <w:rPr>
          <w:rFonts w:ascii="Times New Roman" w:hAnsi="Times New Roman"/>
          <w:color w:val="auto"/>
          <w:lang w:eastAsia="id-ID"/>
        </w:rPr>
        <w:t>Siliwangi</w:t>
      </w:r>
      <w:proofErr w:type="spellEnd"/>
      <w:r w:rsidRPr="0016793F">
        <w:rPr>
          <w:rFonts w:ascii="Times New Roman" w:hAnsi="Times New Roman"/>
          <w:color w:val="auto"/>
          <w:lang w:eastAsia="id-ID"/>
        </w:rPr>
        <w:t xml:space="preserve"> University. Respondents consist of 75 first-year students, 60 second-year students, and 20 third-year students. The survey was conducted online using a questionnaire in May 2020. The survey was conducted online using Google Form. The questionnaire items consisted of the categories “access to technology”, “application of technology for learning”, “online learning readiness”, and “attitudes towards digital technology literacy”. The survey results were processed qualitatively descriptively using percentages.</w:t>
      </w:r>
    </w:p>
    <w:p w14:paraId="52AA58AB" w14:textId="35B41DB0" w:rsidR="007E4F54" w:rsidRPr="0016793F" w:rsidRDefault="007E4F54" w:rsidP="007E4F54">
      <w:pPr>
        <w:pStyle w:val="Section"/>
        <w:rPr>
          <w:color w:val="auto"/>
          <w:lang w:eastAsia="id-ID"/>
        </w:rPr>
      </w:pPr>
      <w:commentRangeStart w:id="3"/>
      <w:r w:rsidRPr="0016793F">
        <w:rPr>
          <w:color w:val="auto"/>
          <w:lang w:eastAsia="id-ID"/>
        </w:rPr>
        <w:t>Result and Discussion</w:t>
      </w:r>
      <w:commentRangeEnd w:id="3"/>
      <w:r w:rsidR="0000745C">
        <w:rPr>
          <w:rStyle w:val="CommentReference"/>
          <w:b w:val="0"/>
          <w:iCs w:val="0"/>
          <w:color w:val="auto"/>
        </w:rPr>
        <w:commentReference w:id="3"/>
      </w:r>
    </w:p>
    <w:p w14:paraId="59E3B763" w14:textId="2D5ADB20" w:rsidR="007E4F54" w:rsidRPr="0016793F" w:rsidRDefault="007C7488" w:rsidP="007C7488">
      <w:pPr>
        <w:pStyle w:val="Subsection"/>
        <w:spacing w:before="0"/>
        <w:rPr>
          <w:color w:val="auto"/>
          <w:lang w:eastAsia="id-ID"/>
        </w:rPr>
      </w:pPr>
      <w:r w:rsidRPr="0016793F">
        <w:rPr>
          <w:i/>
          <w:iCs w:val="0"/>
          <w:color w:val="auto"/>
          <w:lang w:eastAsia="id-ID"/>
        </w:rPr>
        <w:t>Access to Technology</w:t>
      </w:r>
    </w:p>
    <w:p w14:paraId="338CDB98" w14:textId="77777777" w:rsidR="00BE50E8" w:rsidRPr="0016793F" w:rsidRDefault="00BE50E8" w:rsidP="00BE50E8">
      <w:pPr>
        <w:pStyle w:val="Section"/>
        <w:numPr>
          <w:ilvl w:val="0"/>
          <w:numId w:val="0"/>
        </w:numPr>
        <w:spacing w:before="0"/>
        <w:jc w:val="both"/>
        <w:rPr>
          <w:b w:val="0"/>
          <w:bCs/>
          <w:color w:val="auto"/>
          <w:lang w:val="en-US" w:eastAsia="id-ID"/>
        </w:rPr>
      </w:pPr>
      <w:r w:rsidRPr="0016793F">
        <w:rPr>
          <w:b w:val="0"/>
          <w:bCs/>
          <w:color w:val="auto"/>
          <w:lang w:val="en-US" w:eastAsia="id-ID"/>
        </w:rPr>
        <w:t>There are 5 items to reveal aspects of access to technology. The aspect of access to technology shows the availability of smartphones, the availability of notebook or computers, the availability of an operating system that can be used to support online learning, and the smoothness of the internet for accessing information using devices (smartphones/computers, laptops).</w:t>
      </w:r>
    </w:p>
    <w:p w14:paraId="1CA66734" w14:textId="68EA040E" w:rsidR="00BE50E8" w:rsidRPr="0016793F" w:rsidRDefault="00BE50E8" w:rsidP="00BE50E8">
      <w:pPr>
        <w:pStyle w:val="Section"/>
        <w:numPr>
          <w:ilvl w:val="0"/>
          <w:numId w:val="0"/>
        </w:numPr>
        <w:spacing w:before="0"/>
        <w:ind w:firstLine="284"/>
        <w:jc w:val="both"/>
        <w:rPr>
          <w:b w:val="0"/>
          <w:bCs/>
          <w:color w:val="auto"/>
          <w:lang w:val="en-US" w:eastAsia="id-ID"/>
        </w:rPr>
      </w:pPr>
      <w:r w:rsidRPr="0016793F">
        <w:rPr>
          <w:b w:val="0"/>
          <w:bCs/>
          <w:color w:val="auto"/>
          <w:lang w:val="en-US" w:eastAsia="id-ID"/>
        </w:rPr>
        <w:t>Items related to smartphone availability reveal that 94.84% (147) of respondents own and can use smartphones for online learning. Furthermore, 7 students use ordinary cellphones and smartphones. There is 1 student who feels no need to use a smartphone. There were 75.48% (117) students who had their laptop or computer, 19.35% (30) took turns with family or friends, there were even 5.16% (8) respondents who did not have a notebook or computers. Furthermore, as many as 83.87% (130) of respondents stated that they could use a notebook or computer equipped with an operating system for learning. There is 9.67% (15) of respondents who ask for help from family or friends to be able to access a notebook or computers for studying, and the rest still do not use it but feel the need to have access to an operating system to be used in learning.</w:t>
      </w:r>
    </w:p>
    <w:p w14:paraId="0707AC29" w14:textId="543C56FE" w:rsidR="00F66D2E" w:rsidRPr="0016793F" w:rsidRDefault="00BE50E8" w:rsidP="00BE50E8">
      <w:pPr>
        <w:pStyle w:val="Section"/>
        <w:numPr>
          <w:ilvl w:val="0"/>
          <w:numId w:val="0"/>
        </w:numPr>
        <w:spacing w:before="0"/>
        <w:ind w:firstLine="284"/>
        <w:jc w:val="both"/>
        <w:rPr>
          <w:b w:val="0"/>
          <w:bCs/>
          <w:color w:val="auto"/>
          <w:lang w:eastAsia="id-ID"/>
        </w:rPr>
      </w:pPr>
      <w:r w:rsidRPr="0016793F">
        <w:rPr>
          <w:b w:val="0"/>
          <w:bCs/>
          <w:color w:val="auto"/>
          <w:lang w:eastAsia="id-ID"/>
        </w:rPr>
        <w:t xml:space="preserve">As many as 78.06% (121) of </w:t>
      </w:r>
      <w:proofErr w:type="gramStart"/>
      <w:r w:rsidRPr="0016793F">
        <w:rPr>
          <w:b w:val="0"/>
          <w:bCs/>
          <w:color w:val="auto"/>
          <w:lang w:eastAsia="id-ID"/>
        </w:rPr>
        <w:t>respondents</w:t>
      </w:r>
      <w:proofErr w:type="gramEnd"/>
      <w:r w:rsidRPr="0016793F">
        <w:rPr>
          <w:b w:val="0"/>
          <w:bCs/>
          <w:color w:val="auto"/>
          <w:lang w:eastAsia="id-ID"/>
        </w:rPr>
        <w:t xml:space="preserve"> state that they can use a smartphone to access information and 21.94% (34) of respondents are sometimes able to use a smartphone/computer to </w:t>
      </w:r>
      <w:r w:rsidRPr="0016793F">
        <w:rPr>
          <w:b w:val="0"/>
          <w:bCs/>
          <w:color w:val="auto"/>
          <w:lang w:eastAsia="id-ID"/>
        </w:rPr>
        <w:lastRenderedPageBreak/>
        <w:t xml:space="preserve">access information. One of the constraints in accessing information using a smartphone is the problem with the internet that is not smooth. Only 16.13% (25) of </w:t>
      </w:r>
      <w:proofErr w:type="gramStart"/>
      <w:r w:rsidRPr="0016793F">
        <w:rPr>
          <w:b w:val="0"/>
          <w:bCs/>
          <w:color w:val="auto"/>
          <w:lang w:eastAsia="id-ID"/>
        </w:rPr>
        <w:t>respondents</w:t>
      </w:r>
      <w:proofErr w:type="gramEnd"/>
      <w:r w:rsidRPr="0016793F">
        <w:rPr>
          <w:b w:val="0"/>
          <w:bCs/>
          <w:color w:val="auto"/>
          <w:lang w:eastAsia="id-ID"/>
        </w:rPr>
        <w:t xml:space="preserve"> state that they could access the internet smoothly. Even 6.45% (10) state that they could not access the internet when they were in their domicile area and 77.42% (120) of </w:t>
      </w:r>
      <w:proofErr w:type="gramStart"/>
      <w:r w:rsidRPr="0016793F">
        <w:rPr>
          <w:b w:val="0"/>
          <w:bCs/>
          <w:color w:val="auto"/>
          <w:lang w:eastAsia="id-ID"/>
        </w:rPr>
        <w:t>respondents</w:t>
      </w:r>
      <w:proofErr w:type="gramEnd"/>
      <w:r w:rsidRPr="0016793F">
        <w:rPr>
          <w:b w:val="0"/>
          <w:bCs/>
          <w:color w:val="auto"/>
          <w:lang w:eastAsia="id-ID"/>
        </w:rPr>
        <w:t xml:space="preserve"> state that they had a fairly slow internet network.</w:t>
      </w:r>
      <w:r w:rsidR="002D32BF" w:rsidRPr="0016793F">
        <w:rPr>
          <w:b w:val="0"/>
          <w:bCs/>
          <w:color w:val="auto"/>
          <w:lang w:eastAsia="id-ID"/>
        </w:rPr>
        <w:t xml:space="preserve"> Then, there are 83.87% (130) of respondents could not access the internet properly.</w:t>
      </w:r>
    </w:p>
    <w:p w14:paraId="11952B2D" w14:textId="76A72B8C" w:rsidR="00BE50E8" w:rsidRPr="0016793F" w:rsidRDefault="00BE50E8" w:rsidP="00BE50E8">
      <w:pPr>
        <w:pStyle w:val="Section"/>
        <w:numPr>
          <w:ilvl w:val="0"/>
          <w:numId w:val="0"/>
        </w:numPr>
        <w:spacing w:before="0"/>
        <w:ind w:firstLine="284"/>
        <w:jc w:val="both"/>
        <w:rPr>
          <w:b w:val="0"/>
          <w:bCs/>
          <w:color w:val="auto"/>
          <w:lang w:eastAsia="id-ID"/>
        </w:rPr>
      </w:pPr>
      <w:r w:rsidRPr="0016793F">
        <w:rPr>
          <w:b w:val="0"/>
          <w:bCs/>
          <w:color w:val="auto"/>
          <w:lang w:eastAsia="id-ID"/>
        </w:rPr>
        <w:t xml:space="preserve">Access to technology is an important aspect of online learning. Based on the results related to aspects of access to technology, the important point obtained is that the majority of students have been able to access online learning facilities in the form of laptops/computers or smartphones and can search using these devices to find information and learn. At this time, technology and information have developed rapidly then smartphones or laptops are no longer a luxury for the majority of people. Devices have become very important in the era of online learning. However, there are still respondents who do not have support in the form of laptops/computers for studying. Besides, a smooth internet network can only be accessed by a minority of respondents. </w:t>
      </w:r>
      <w:r w:rsidR="00F66D2E" w:rsidRPr="0016793F">
        <w:rPr>
          <w:b w:val="0"/>
          <w:bCs/>
          <w:color w:val="auto"/>
          <w:lang w:eastAsia="id-ID"/>
        </w:rPr>
        <w:t xml:space="preserve">The same thing was reported by </w:t>
      </w:r>
      <w:proofErr w:type="spellStart"/>
      <w:r w:rsidR="00911EFA">
        <w:rPr>
          <w:b w:val="0"/>
          <w:bCs/>
          <w:color w:val="auto"/>
          <w:lang w:eastAsia="id-ID"/>
        </w:rPr>
        <w:t>Kapasia</w:t>
      </w:r>
      <w:proofErr w:type="spellEnd"/>
      <w:r w:rsidR="00F66D2E" w:rsidRPr="0016793F">
        <w:rPr>
          <w:b w:val="0"/>
          <w:bCs/>
          <w:color w:val="auto"/>
          <w:lang w:eastAsia="id-ID"/>
        </w:rPr>
        <w:t xml:space="preserve"> et al </w:t>
      </w:r>
      <w:r w:rsidR="00C37F00" w:rsidRPr="0016793F">
        <w:rPr>
          <w:b w:val="0"/>
          <w:bCs/>
          <w:color w:val="auto"/>
          <w:lang w:eastAsia="id-ID"/>
        </w:rPr>
        <w:t xml:space="preserve">and Khalil et al </w:t>
      </w:r>
      <w:r w:rsidR="00F66D2E" w:rsidRPr="0016793F">
        <w:rPr>
          <w:b w:val="0"/>
          <w:bCs/>
          <w:color w:val="auto"/>
          <w:lang w:eastAsia="id-ID"/>
        </w:rPr>
        <w:t>who stated that students who undergo online learning experience serious problems related to the smooth running of the internet network</w:t>
      </w:r>
      <w:r w:rsidR="00021B1E" w:rsidRPr="0016793F">
        <w:rPr>
          <w:b w:val="0"/>
          <w:bCs/>
          <w:color w:val="auto"/>
          <w:lang w:eastAsia="id-ID"/>
        </w:rPr>
        <w:fldChar w:fldCharType="begin" w:fldLock="1"/>
      </w:r>
      <w:r w:rsidR="00C37F00" w:rsidRPr="0016793F">
        <w:rPr>
          <w:b w:val="0"/>
          <w:bCs/>
          <w:color w:val="auto"/>
          <w:lang w:eastAsia="id-ID"/>
        </w:rPr>
        <w:instrText>ADDIN CSL_CITATION {"citationItems":[{"id":"ITEM-1","itemData":{"DOI":"10.1016/j.childyouth.2020.105194","ISSN":"0190-7409","author":[{"dropping-particle":"","family":"Kapasia","given":"Nanigopal","non-dropping-particle":"","parse-names":false,"suffix":""},{"dropping-particle":"","family":"Paul","given":"Pintu","non-dropping-particle":"","parse-names":false,"suffix":""},{"dropping-particle":"","family":"Roy","given":"Avijit","non-dropping-particle":"","parse-names":false,"suffix":""},{"dropping-particle":"","family":"Saha","given":"Jay","non-dropping-particle":"","parse-names":false,"suffix":""},{"dropping-particle":"","family":"Zaveri","given":"Ankita","non-dropping-particle":"","parse-names":false,"suffix":""},{"dropping-particle":"","family":"Mallick","given":"Rahul","non-dropping-particle":"","parse-names":false,"suffix":""}],"container-title":"Children and Youth Services Review","id":"ITEM-1","issue":"June","issued":{"date-parts":[["2020"]]},"page":"1-5","publisher":"Elsevier","title":"Impact of lockdown on learning status of undergraduate and postgraduate students during COVID-19 pandemic in West Bengal , India","type":"article-journal","volume":"116"},"uris":["http://www.mendeley.com/documents/?uuid=5cba0fea-5dad-4292-9679-9c5c78ece6a4"]}],"mendeley":{"formattedCitation":"[12]","plainTextFormattedCitation":"[12]","previouslyFormattedCitation":"[12]"},"properties":{"noteIndex":0},"schema":"https://github.com/citation-style-language/schema/raw/master/csl-citation.json"}</w:instrText>
      </w:r>
      <w:r w:rsidR="00021B1E" w:rsidRPr="0016793F">
        <w:rPr>
          <w:b w:val="0"/>
          <w:bCs/>
          <w:color w:val="auto"/>
          <w:lang w:eastAsia="id-ID"/>
        </w:rPr>
        <w:fldChar w:fldCharType="separate"/>
      </w:r>
      <w:r w:rsidR="00021B1E" w:rsidRPr="0016793F">
        <w:rPr>
          <w:b w:val="0"/>
          <w:bCs/>
          <w:noProof/>
          <w:color w:val="auto"/>
          <w:lang w:eastAsia="id-ID"/>
        </w:rPr>
        <w:t>[12]</w:t>
      </w:r>
      <w:r w:rsidR="00021B1E" w:rsidRPr="0016793F">
        <w:rPr>
          <w:b w:val="0"/>
          <w:bCs/>
          <w:color w:val="auto"/>
          <w:lang w:eastAsia="id-ID"/>
        </w:rPr>
        <w:fldChar w:fldCharType="end"/>
      </w:r>
      <w:r w:rsidR="00C37F00" w:rsidRPr="0016793F">
        <w:rPr>
          <w:b w:val="0"/>
          <w:bCs/>
          <w:color w:val="auto"/>
          <w:lang w:eastAsia="id-ID"/>
        </w:rPr>
        <w:fldChar w:fldCharType="begin" w:fldLock="1"/>
      </w:r>
      <w:r w:rsidR="00C37F00" w:rsidRPr="0016793F">
        <w:rPr>
          <w:b w:val="0"/>
          <w:bCs/>
          <w:color w:val="auto"/>
          <w:lang w:eastAsia="id-ID"/>
        </w:rPr>
        <w:instrText>ADDIN CSL_CITATION {"citationItems":[{"id":"ITEM-1","itemData":{"author":[{"dropping-particle":"","family":"Khalil","given":"Rehana","non-dropping-particle":"","parse-names":false,"suffix":""},{"dropping-particle":"","family":"Mansour","given":"Ali E","non-dropping-particle":"","parse-names":false,"suffix":""},{"dropping-particle":"","family":"Fadda","given":"Walaa A","non-dropping-particle":"","parse-names":false,"suffix":""},{"dropping-particle":"","family":"Almisnid","given":"Khaled","non-dropping-particle":"","parse-names":false,"suffix":""},{"dropping-particle":"","family":"Aldamegh","given":"Mohammed","non-dropping-particle":"","parse-names":false,"suffix":""},{"dropping-particle":"","family":"Al-nafeesah","given":"Abdullah","non-dropping-particle":"","parse-names":false,"suffix":""},{"dropping-particle":"","family":"Alkhalifah","given":"Azzam","non-dropping-particle":"","parse-names":false,"suffix":""},{"dropping-particle":"","family":"Al-wutayd","given":"Osama","non-dropping-particle":"","parse-names":false,"suffix":""}],"container-title":"BMC Medical Education","id":"ITEM-1","issue":"285","issued":{"date-parts":[["2020"]]},"page":"1-10","publisher":"BMC Medical Education","title":"The sudden transition to synchronized online learning during the COVID-19 pandemic in Saudi Arabia : a qualitative study exploring medical students ’ perspectives","type":"article-journal","volume":"20"},"uris":["http://www.mendeley.com/documents/?uuid=3efce2f4-6159-48f1-b201-d782a53661c8"]}],"mendeley":{"formattedCitation":"[13]","plainTextFormattedCitation":"[13]","previouslyFormattedCitation":"[13]"},"properties":{"noteIndex":0},"schema":"https://github.com/citation-style-language/schema/raw/master/csl-citation.json"}</w:instrText>
      </w:r>
      <w:r w:rsidR="00C37F00" w:rsidRPr="0016793F">
        <w:rPr>
          <w:b w:val="0"/>
          <w:bCs/>
          <w:color w:val="auto"/>
          <w:lang w:eastAsia="id-ID"/>
        </w:rPr>
        <w:fldChar w:fldCharType="separate"/>
      </w:r>
      <w:r w:rsidR="00C37F00" w:rsidRPr="0016793F">
        <w:rPr>
          <w:b w:val="0"/>
          <w:bCs/>
          <w:noProof/>
          <w:color w:val="auto"/>
          <w:lang w:eastAsia="id-ID"/>
        </w:rPr>
        <w:t>[13]</w:t>
      </w:r>
      <w:r w:rsidR="00C37F00" w:rsidRPr="0016793F">
        <w:rPr>
          <w:b w:val="0"/>
          <w:bCs/>
          <w:color w:val="auto"/>
          <w:lang w:eastAsia="id-ID"/>
        </w:rPr>
        <w:fldChar w:fldCharType="end"/>
      </w:r>
      <w:r w:rsidR="00F66D2E" w:rsidRPr="0016793F">
        <w:rPr>
          <w:b w:val="0"/>
          <w:bCs/>
          <w:color w:val="auto"/>
          <w:lang w:eastAsia="id-ID"/>
        </w:rPr>
        <w:t xml:space="preserve">. </w:t>
      </w:r>
      <w:r w:rsidRPr="0016793F">
        <w:rPr>
          <w:b w:val="0"/>
          <w:bCs/>
          <w:color w:val="auto"/>
          <w:lang w:eastAsia="id-ID"/>
        </w:rPr>
        <w:t>Apart from devices, internet networks are the main infrastructure in online learning. Bao stated that we need to ensure that students are actively and effectively involved in online learning</w:t>
      </w:r>
      <w:r w:rsidRPr="0016793F">
        <w:rPr>
          <w:b w:val="0"/>
          <w:bCs/>
          <w:color w:val="auto"/>
          <w:lang w:eastAsia="id-ID"/>
        </w:rPr>
        <w:fldChar w:fldCharType="begin" w:fldLock="1"/>
      </w:r>
      <w:r w:rsidRPr="0016793F">
        <w:rPr>
          <w:b w:val="0"/>
          <w:bCs/>
          <w:color w:val="auto"/>
          <w:lang w:eastAsia="id-ID"/>
        </w:rPr>
        <w:instrText>ADDIN CSL_CITATION {"citationItems":[{"id":"ITEM-1","itemData":{"DOI":"10.1002/hbe2.191","ISSN":"2578-1863","abstract":"Abstract Starting from the spring of 2020, the outbreak of the COVID-19 caused Chinese universities to close the campuses and forced them to initiate online teaching. This paper focuses on a case of Peking University's online education. Six specific instructional strategies are presented to summarize current online teaching experiences for university instructors who might conduct online education in similar circumstances. The study concludes with five high-impact principles for online education: (a) high relevance between online instructional design and student learning, (b) effective delivery on online instructional information, (c) adequate support provided by faculty and teaching assistants to students; (d) high-quality participation to improve the breadth and depth of student's learning, and (e) contingency plan to deal with unexpected incidents of online education platforms.","author":[{"dropping-particle":"","family":"Bao","given":"Wei","non-dropping-particle":"","parse-names":false,"suffix":""}],"container-title":"Human Behavior and Emerging Technologies","id":"ITEM-1","issue":"2","issued":{"date-parts":[["2020"]]},"page":"113-115","title":" COVID ‐19 and online teaching in higher education: A case study of Peking University ","type":"article-journal","volume":"2"},"uris":["http://www.mendeley.com/documents/?uuid=b471c77a-5b0d-44b2-adab-2b094d1624e4"]}],"mendeley":{"formattedCitation":"[2]","plainTextFormattedCitation":"[2]","previouslyFormattedCitation":"[2]"},"properties":{"noteIndex":0},"schema":"https://github.com/citation-style-language/schema/raw/master/csl-citation.json"}</w:instrText>
      </w:r>
      <w:r w:rsidRPr="0016793F">
        <w:rPr>
          <w:b w:val="0"/>
          <w:bCs/>
          <w:color w:val="auto"/>
          <w:lang w:eastAsia="id-ID"/>
        </w:rPr>
        <w:fldChar w:fldCharType="separate"/>
      </w:r>
      <w:r w:rsidRPr="0016793F">
        <w:rPr>
          <w:b w:val="0"/>
          <w:bCs/>
          <w:noProof/>
          <w:color w:val="auto"/>
          <w:lang w:eastAsia="id-ID"/>
        </w:rPr>
        <w:t>[2]</w:t>
      </w:r>
      <w:r w:rsidRPr="0016793F">
        <w:rPr>
          <w:b w:val="0"/>
          <w:bCs/>
          <w:color w:val="auto"/>
          <w:lang w:eastAsia="id-ID"/>
        </w:rPr>
        <w:fldChar w:fldCharType="end"/>
      </w:r>
      <w:r w:rsidRPr="0016793F">
        <w:rPr>
          <w:b w:val="0"/>
          <w:bCs/>
          <w:color w:val="auto"/>
          <w:lang w:eastAsia="id-ID"/>
        </w:rPr>
        <w:t>. Then, teachers must reduce obstacles related to access to technology.  It can be reduced by giving more time to work on assignments and studying material independently, providing independent assignments that can train students to find information on the website, providing teaching materials earlier than lecture hours, and changing file sizes.</w:t>
      </w:r>
    </w:p>
    <w:p w14:paraId="644B6E05" w14:textId="0503C539" w:rsidR="00BE50E8" w:rsidRPr="0016793F" w:rsidRDefault="002F5C2B" w:rsidP="002F5C2B">
      <w:pPr>
        <w:pStyle w:val="Subsection"/>
        <w:rPr>
          <w:rFonts w:ascii="Times New Roman" w:hAnsi="Times New Roman"/>
          <w:color w:val="auto"/>
        </w:rPr>
      </w:pPr>
      <w:r w:rsidRPr="0016793F">
        <w:rPr>
          <w:i/>
          <w:iCs w:val="0"/>
          <w:color w:val="auto"/>
          <w:lang w:eastAsia="id-ID"/>
        </w:rPr>
        <w:t>Application</w:t>
      </w:r>
      <w:r w:rsidRPr="0016793F">
        <w:rPr>
          <w:rFonts w:ascii="Times New Roman" w:hAnsi="Times New Roman"/>
          <w:b/>
          <w:bCs/>
          <w:color w:val="auto"/>
        </w:rPr>
        <w:t xml:space="preserve"> </w:t>
      </w:r>
      <w:r w:rsidRPr="0016793F">
        <w:rPr>
          <w:rFonts w:ascii="Times New Roman" w:hAnsi="Times New Roman"/>
          <w:i/>
          <w:iCs w:val="0"/>
          <w:color w:val="auto"/>
        </w:rPr>
        <w:t>of Technology for Learning</w:t>
      </w:r>
    </w:p>
    <w:p w14:paraId="032480A0" w14:textId="77777777" w:rsidR="002F5C2B" w:rsidRPr="0016793F" w:rsidRDefault="002F5C2B" w:rsidP="007E4D0A">
      <w:pPr>
        <w:pStyle w:val="Section"/>
        <w:numPr>
          <w:ilvl w:val="0"/>
          <w:numId w:val="0"/>
        </w:numPr>
        <w:spacing w:before="0"/>
        <w:jc w:val="both"/>
        <w:rPr>
          <w:b w:val="0"/>
          <w:bCs/>
          <w:color w:val="auto"/>
          <w:lang w:val="en-US" w:eastAsia="id-ID"/>
        </w:rPr>
      </w:pPr>
      <w:r w:rsidRPr="0016793F">
        <w:rPr>
          <w:b w:val="0"/>
          <w:bCs/>
          <w:color w:val="auto"/>
          <w:lang w:val="en-US" w:eastAsia="id-ID"/>
        </w:rPr>
        <w:t>The aspect of applying technology to learning consists of 5 items. Aspects of applying technology to learning are related to the habit of storing paperless files, using email to communicate, and using software to do assignments. Besides, the aspect of applying technology to learning also reveals perceptions of the urgency of using devices in online learning and perceptions of the technology used to complete tasks.</w:t>
      </w:r>
    </w:p>
    <w:p w14:paraId="2A67259B" w14:textId="77777777" w:rsidR="002F5C2B" w:rsidRPr="0016793F" w:rsidRDefault="002F5C2B" w:rsidP="007E4D0A">
      <w:pPr>
        <w:pStyle w:val="Section"/>
        <w:numPr>
          <w:ilvl w:val="0"/>
          <w:numId w:val="0"/>
        </w:numPr>
        <w:spacing w:before="0"/>
        <w:ind w:firstLine="284"/>
        <w:jc w:val="both"/>
        <w:rPr>
          <w:b w:val="0"/>
          <w:bCs/>
          <w:color w:val="auto"/>
          <w:lang w:val="en-US" w:eastAsia="id-ID"/>
        </w:rPr>
      </w:pPr>
      <w:r w:rsidRPr="0016793F">
        <w:rPr>
          <w:b w:val="0"/>
          <w:bCs/>
          <w:color w:val="auto"/>
          <w:lang w:val="en-US" w:eastAsia="id-ID"/>
        </w:rPr>
        <w:t>The aspect of applying technology to learning is related to the use of online storage media. This is because the material and the results of the assignments need to be stored in the soft-file form. As many as 61.29% (95) of respondents still use offline storage media, namely print outs, hard disks, and USB drives. Meanwhile, 38.71% (60) of respondents have used online storage media.</w:t>
      </w:r>
    </w:p>
    <w:p w14:paraId="521A646D" w14:textId="77777777" w:rsidR="002F5C2B" w:rsidRPr="0016793F" w:rsidRDefault="002F5C2B" w:rsidP="007E4D0A">
      <w:pPr>
        <w:pStyle w:val="Section"/>
        <w:numPr>
          <w:ilvl w:val="0"/>
          <w:numId w:val="0"/>
        </w:numPr>
        <w:spacing w:before="0"/>
        <w:ind w:firstLine="284"/>
        <w:jc w:val="both"/>
        <w:rPr>
          <w:b w:val="0"/>
          <w:bCs/>
          <w:color w:val="auto"/>
          <w:lang w:val="en-US" w:eastAsia="id-ID"/>
        </w:rPr>
      </w:pPr>
      <w:r w:rsidRPr="0016793F">
        <w:rPr>
          <w:b w:val="0"/>
          <w:bCs/>
          <w:color w:val="auto"/>
          <w:lang w:val="en-US" w:eastAsia="id-ID"/>
        </w:rPr>
        <w:t>Using email and using the software are the most basic ways to communicate in the digital age and online learning era. The majority of respondents used email as a medium of communication, as many as 104 students (67.10%). Furthermore, 30.32% (47) of respondents state that they always use certain software to study and do assignments, 60.65% (94) of respondents state that they often use certain software to do assignments and study, and 9.03% (14) respondents state that they only occasionally use certain software to study and do assignments.</w:t>
      </w:r>
    </w:p>
    <w:p w14:paraId="598B7BF1" w14:textId="77777777" w:rsidR="002F5C2B" w:rsidRPr="0016793F" w:rsidRDefault="002F5C2B" w:rsidP="007E4D0A">
      <w:pPr>
        <w:pStyle w:val="Section"/>
        <w:numPr>
          <w:ilvl w:val="0"/>
          <w:numId w:val="0"/>
        </w:numPr>
        <w:spacing w:before="0"/>
        <w:ind w:firstLine="284"/>
        <w:jc w:val="both"/>
        <w:rPr>
          <w:b w:val="0"/>
          <w:bCs/>
          <w:color w:val="auto"/>
          <w:lang w:val="en-US" w:eastAsia="id-ID"/>
        </w:rPr>
      </w:pPr>
      <w:r w:rsidRPr="0016793F">
        <w:rPr>
          <w:b w:val="0"/>
          <w:bCs/>
          <w:color w:val="auto"/>
          <w:lang w:val="en-US" w:eastAsia="id-ID"/>
        </w:rPr>
        <w:t>Another thing that was revealed in the aspect of applying technology for learning was the perception of the urgency of using devices in online learning and the perception of the technology used to complete tasks. As many as 94.19% (146) respondents believe that the use of devices is important in online learning and 5.81% (9) think that devices are not always important in online learning. Another aspect of applying technology for learning is related to the perception of technology for task completion. As many as 39.35% (61) of respondents stated that technology was not related and even hindered the collection of assignments. Meanwhile, 60.65% (94) of respondents thought that technology made the task easier.</w:t>
      </w:r>
    </w:p>
    <w:p w14:paraId="7CB1DFF7" w14:textId="61E07EA3" w:rsidR="002F5C2B" w:rsidRPr="0016793F" w:rsidRDefault="002F5C2B" w:rsidP="007E4D0A">
      <w:pPr>
        <w:pStyle w:val="Section"/>
        <w:numPr>
          <w:ilvl w:val="0"/>
          <w:numId w:val="0"/>
        </w:numPr>
        <w:spacing w:before="0"/>
        <w:ind w:firstLine="284"/>
        <w:jc w:val="both"/>
        <w:rPr>
          <w:b w:val="0"/>
          <w:bCs/>
          <w:color w:val="auto"/>
          <w:lang w:eastAsia="id-ID"/>
        </w:rPr>
      </w:pPr>
      <w:r w:rsidRPr="0016793F">
        <w:rPr>
          <w:b w:val="0"/>
          <w:bCs/>
          <w:color w:val="auto"/>
          <w:lang w:eastAsia="id-ID"/>
        </w:rPr>
        <w:t>Students need to take advantage of the rapid development of information technology for studying independently. It can be started by taking advantage of things like saving the results of doing assignments and books in the form of soft files and then storing them online and offline and using certain software to help complete the task. This can provide benefits to students in online learning that demands more studying independently.</w:t>
      </w:r>
    </w:p>
    <w:p w14:paraId="7E7F1279" w14:textId="67337BB1" w:rsidR="00144FCE" w:rsidRPr="0016793F" w:rsidRDefault="00144FCE" w:rsidP="00144FCE">
      <w:pPr>
        <w:pStyle w:val="Subsection"/>
        <w:rPr>
          <w:rFonts w:ascii="Times New Roman" w:hAnsi="Times New Roman"/>
          <w:color w:val="auto"/>
        </w:rPr>
      </w:pPr>
      <w:r w:rsidRPr="0016793F">
        <w:rPr>
          <w:i/>
          <w:iCs w:val="0"/>
          <w:color w:val="auto"/>
          <w:lang w:eastAsia="id-ID"/>
        </w:rPr>
        <w:lastRenderedPageBreak/>
        <w:t>Online</w:t>
      </w:r>
      <w:r w:rsidRPr="0016793F">
        <w:rPr>
          <w:rFonts w:ascii="Times New Roman" w:hAnsi="Times New Roman"/>
          <w:color w:val="auto"/>
        </w:rPr>
        <w:t xml:space="preserve"> </w:t>
      </w:r>
      <w:r w:rsidRPr="0016793F">
        <w:rPr>
          <w:rFonts w:ascii="Times New Roman" w:hAnsi="Times New Roman"/>
          <w:i/>
          <w:iCs w:val="0"/>
          <w:color w:val="auto"/>
        </w:rPr>
        <w:t>Learning Readiness</w:t>
      </w:r>
    </w:p>
    <w:p w14:paraId="2F5DFE4B" w14:textId="03455141" w:rsidR="00626CDA" w:rsidRPr="0016793F" w:rsidRDefault="00626CDA" w:rsidP="00540311">
      <w:pPr>
        <w:pStyle w:val="Section"/>
        <w:numPr>
          <w:ilvl w:val="0"/>
          <w:numId w:val="0"/>
        </w:numPr>
        <w:spacing w:before="0"/>
        <w:jc w:val="both"/>
        <w:rPr>
          <w:b w:val="0"/>
          <w:bCs/>
          <w:color w:val="auto"/>
          <w:lang w:val="en-US" w:eastAsia="id-ID"/>
        </w:rPr>
      </w:pPr>
      <w:r w:rsidRPr="0016793F">
        <w:rPr>
          <w:b w:val="0"/>
          <w:bCs/>
          <w:color w:val="auto"/>
          <w:lang w:val="en-US" w:eastAsia="id-ID"/>
        </w:rPr>
        <w:t xml:space="preserve">Students' online learning readiness needs to be supported by the University. Support from universities in online learning is providing </w:t>
      </w:r>
      <w:r w:rsidR="000F2188" w:rsidRPr="0016793F">
        <w:rPr>
          <w:b w:val="0"/>
          <w:bCs/>
          <w:color w:val="auto"/>
          <w:lang w:val="en-US" w:eastAsia="id-ID"/>
        </w:rPr>
        <w:t>free internet quota</w:t>
      </w:r>
      <w:r w:rsidRPr="0016793F">
        <w:rPr>
          <w:b w:val="0"/>
          <w:bCs/>
          <w:color w:val="auto"/>
          <w:lang w:val="en-US" w:eastAsia="id-ID"/>
        </w:rPr>
        <w:t xml:space="preserve"> and providing a learning application system. Besides, students need to understand the consequences of studying online. As many as 50.97% (79) of respondents stated that they understood the consequences of learning online. There are almost half of the respondents (45.81%) still do not understand the consequences of learning online</w:t>
      </w:r>
      <w:r w:rsidR="00467F2B">
        <w:rPr>
          <w:b w:val="0"/>
          <w:bCs/>
          <w:color w:val="auto"/>
          <w:lang w:val="en-US" w:eastAsia="id-ID"/>
        </w:rPr>
        <w:t>, and the rest</w:t>
      </w:r>
      <w:r w:rsidRPr="0016793F">
        <w:rPr>
          <w:b w:val="0"/>
          <w:bCs/>
          <w:color w:val="auto"/>
          <w:lang w:val="en-US" w:eastAsia="id-ID"/>
        </w:rPr>
        <w:t xml:space="preserve"> do not understand the consequences of learning online (3.23%).</w:t>
      </w:r>
      <w:r w:rsidR="0039244B" w:rsidRPr="0016793F">
        <w:rPr>
          <w:b w:val="0"/>
          <w:bCs/>
          <w:color w:val="auto"/>
          <w:lang w:val="en-US" w:eastAsia="id-ID"/>
        </w:rPr>
        <w:t xml:space="preserve"> </w:t>
      </w:r>
      <w:r w:rsidR="001B066A" w:rsidRPr="0016793F">
        <w:rPr>
          <w:b w:val="0"/>
          <w:bCs/>
          <w:color w:val="auto"/>
          <w:lang w:val="en-US" w:eastAsia="id-ID"/>
        </w:rPr>
        <w:t>Understand the consequences of studying online</w:t>
      </w:r>
      <w:r w:rsidR="00D06A0E" w:rsidRPr="0016793F">
        <w:rPr>
          <w:b w:val="0"/>
          <w:bCs/>
          <w:color w:val="auto"/>
          <w:lang w:val="en-US" w:eastAsia="id-ID"/>
        </w:rPr>
        <w:t xml:space="preserve"> is important </w:t>
      </w:r>
      <w:r w:rsidR="00DB281B" w:rsidRPr="0016793F">
        <w:rPr>
          <w:b w:val="0"/>
          <w:bCs/>
          <w:color w:val="auto"/>
          <w:lang w:val="en-US" w:eastAsia="id-ID"/>
        </w:rPr>
        <w:t>so that student can make good decision about their online learning habit.</w:t>
      </w:r>
    </w:p>
    <w:p w14:paraId="6F494D6E" w14:textId="6FC8673B" w:rsidR="00626CDA" w:rsidRDefault="00626CDA" w:rsidP="00626CDA">
      <w:pPr>
        <w:pStyle w:val="Section"/>
        <w:numPr>
          <w:ilvl w:val="0"/>
          <w:numId w:val="0"/>
        </w:numPr>
        <w:spacing w:before="0"/>
        <w:ind w:firstLine="284"/>
        <w:jc w:val="both"/>
        <w:rPr>
          <w:b w:val="0"/>
          <w:bCs/>
          <w:color w:val="auto"/>
          <w:lang w:val="en-US" w:eastAsia="id-ID"/>
        </w:rPr>
      </w:pPr>
      <w:r w:rsidRPr="0016793F">
        <w:rPr>
          <w:b w:val="0"/>
          <w:bCs/>
          <w:color w:val="auto"/>
          <w:lang w:val="en-US" w:eastAsia="id-ID"/>
        </w:rPr>
        <w:t>Furthermore, there are only 1.94% (3) respondents who are interested in online learning as a whole</w:t>
      </w:r>
      <w:r w:rsidR="00C37F00" w:rsidRPr="0016793F">
        <w:rPr>
          <w:b w:val="0"/>
          <w:bCs/>
          <w:color w:val="auto"/>
          <w:lang w:val="en-US" w:eastAsia="id-ID"/>
        </w:rPr>
        <w:t xml:space="preserve"> and the rest (</w:t>
      </w:r>
      <w:r w:rsidR="00C37F00" w:rsidRPr="0016793F">
        <w:rPr>
          <w:rFonts w:cs="Times"/>
          <w:b w:val="0"/>
          <w:bCs/>
          <w:color w:val="auto"/>
          <w:shd w:val="clear" w:color="auto" w:fill="FFFFFF"/>
        </w:rPr>
        <w:t>98.06%) do not like full online learning</w:t>
      </w:r>
      <w:r w:rsidRPr="0016793F">
        <w:rPr>
          <w:b w:val="0"/>
          <w:bCs/>
          <w:color w:val="auto"/>
          <w:lang w:val="en-US" w:eastAsia="id-ID"/>
        </w:rPr>
        <w:t>. When learning online, as many as 90.32% (140) of respondents liked learning media in a variety of print and digital formats, 3.23% (5) of respondents stated that online learning sources were sufficient, and 6.45% (10) respondents did not like various learning resources in digital and online formats. The perception of the comparison of the convenience of online learning systems and face-to-face learning shows that 11.61% (18) of respondents stated that online learning is easier, 16.77% (26) of respondents stated that learning online and learning face-to-face are the same, as many as 58.06% (90) stated that online learning is more difficult, and even 13.55% (21) stated that online learning systems cannot replace face-to-face learning.</w:t>
      </w:r>
      <w:r w:rsidR="00F04FA9">
        <w:rPr>
          <w:b w:val="0"/>
          <w:bCs/>
          <w:color w:val="auto"/>
          <w:lang w:val="en-US" w:eastAsia="id-ID"/>
        </w:rPr>
        <w:t xml:space="preserve"> </w:t>
      </w:r>
      <w:r w:rsidRPr="0016793F">
        <w:rPr>
          <w:b w:val="0"/>
          <w:bCs/>
          <w:color w:val="auto"/>
          <w:lang w:val="en-US" w:eastAsia="id-ID"/>
        </w:rPr>
        <w:t xml:space="preserve">Convenience in browsing websites means that a person knows how to find information on a website, can use search engines, and knows which websites need to be visited to find information. The survey results showed that 52.90% (82) of respondents stated that they were comfortable in searching for </w:t>
      </w:r>
      <w:r w:rsidR="00B82A05">
        <w:rPr>
          <w:b w:val="0"/>
          <w:bCs/>
          <w:color w:val="auto"/>
          <w:lang w:val="en-US" w:eastAsia="id-ID"/>
        </w:rPr>
        <w:t xml:space="preserve">scientific </w:t>
      </w:r>
      <w:r w:rsidRPr="0016793F">
        <w:rPr>
          <w:b w:val="0"/>
          <w:bCs/>
          <w:color w:val="auto"/>
          <w:lang w:val="en-US" w:eastAsia="id-ID"/>
        </w:rPr>
        <w:t>information through the website, 37.42% (58) of respondents were not comfortable yet, and 9.68% (15) of respondents often felt worried.</w:t>
      </w:r>
    </w:p>
    <w:p w14:paraId="5B6BDBC0" w14:textId="402E7140" w:rsidR="00540311" w:rsidRPr="0016793F" w:rsidRDefault="00664192" w:rsidP="00540311">
      <w:pPr>
        <w:pStyle w:val="Section"/>
        <w:numPr>
          <w:ilvl w:val="0"/>
          <w:numId w:val="0"/>
        </w:numPr>
        <w:spacing w:before="0"/>
        <w:ind w:firstLine="284"/>
        <w:jc w:val="both"/>
        <w:rPr>
          <w:b w:val="0"/>
          <w:bCs/>
          <w:color w:val="auto"/>
          <w:lang w:val="en-US" w:eastAsia="id-ID"/>
        </w:rPr>
      </w:pPr>
      <w:r w:rsidRPr="00664192">
        <w:rPr>
          <w:b w:val="0"/>
          <w:bCs/>
          <w:color w:val="auto"/>
          <w:lang w:val="en-US" w:eastAsia="id-ID"/>
        </w:rPr>
        <w:t xml:space="preserve">The survey results revealed regarding online learning readiness complement </w:t>
      </w:r>
      <w:proofErr w:type="spellStart"/>
      <w:r w:rsidRPr="00664192">
        <w:rPr>
          <w:b w:val="0"/>
          <w:bCs/>
          <w:color w:val="auto"/>
          <w:lang w:val="en-US" w:eastAsia="id-ID"/>
        </w:rPr>
        <w:t>Kapasia</w:t>
      </w:r>
      <w:proofErr w:type="spellEnd"/>
      <w:r w:rsidRPr="00664192">
        <w:rPr>
          <w:b w:val="0"/>
          <w:bCs/>
          <w:color w:val="auto"/>
          <w:lang w:val="en-US" w:eastAsia="id-ID"/>
        </w:rPr>
        <w:t xml:space="preserve"> and Khalil's research which states that online learning causes boredom, anxiety, and frustration</w:t>
      </w:r>
      <w:r w:rsidR="00A16072">
        <w:rPr>
          <w:b w:val="0"/>
          <w:bCs/>
          <w:color w:val="auto"/>
          <w:lang w:val="en-US" w:eastAsia="id-ID"/>
        </w:rPr>
        <w:fldChar w:fldCharType="begin" w:fldLock="1"/>
      </w:r>
      <w:r w:rsidR="00A16072">
        <w:rPr>
          <w:b w:val="0"/>
          <w:bCs/>
          <w:color w:val="auto"/>
          <w:lang w:val="en-US" w:eastAsia="id-ID"/>
        </w:rPr>
        <w:instrText>ADDIN CSL_CITATION {"citationItems":[{"id":"ITEM-1","itemData":{"author":[{"dropping-particle":"","family":"Khalil","given":"Rehana","non-dropping-particle":"","parse-names":false,"suffix":""},{"dropping-particle":"","family":"Mansour","given":"Ali E","non-dropping-particle":"","parse-names":false,"suffix":""},{"dropping-particle":"","family":"Fadda","given":"Walaa A","non-dropping-particle":"","parse-names":false,"suffix":""},{"dropping-particle":"","family":"Almisnid","given":"Khaled","non-dropping-particle":"","parse-names":false,"suffix":""},{"dropping-particle":"","family":"Aldamegh","given":"Mohammed","non-dropping-particle":"","parse-names":false,"suffix":""},{"dropping-particle":"","family":"Al-nafeesah","given":"Abdullah","non-dropping-particle":"","parse-names":false,"suffix":""},{"dropping-particle":"","family":"Alkhalifah","given":"Azzam","non-dropping-particle":"","parse-names":false,"suffix":""},{"dropping-particle":"","family":"Al-wutayd","given":"Osama","non-dropping-particle":"","parse-names":false,"suffix":""}],"container-title":"BMC Medical Education","id":"ITEM-1","issue":"285","issued":{"date-parts":[["2020"]]},"page":"1-10","publisher":"BMC Medical Education","title":"The sudden transition to synchronized online learning during the COVID-19 pandemic in Saudi Arabia : a qualitative study exploring medical students ’ perspectives","type":"article-journal","volume":"20"},"uris":["http://www.mendeley.com/documents/?uuid=3efce2f4-6159-48f1-b201-d782a53661c8"]}],"mendeley":{"formattedCitation":"[13]","plainTextFormattedCitation":"[13]","previouslyFormattedCitation":"[13]"},"properties":{"noteIndex":0},"schema":"https://github.com/citation-style-language/schema/raw/master/csl-citation.json"}</w:instrText>
      </w:r>
      <w:r w:rsidR="00A16072">
        <w:rPr>
          <w:b w:val="0"/>
          <w:bCs/>
          <w:color w:val="auto"/>
          <w:lang w:val="en-US" w:eastAsia="id-ID"/>
        </w:rPr>
        <w:fldChar w:fldCharType="separate"/>
      </w:r>
      <w:r w:rsidR="00A16072" w:rsidRPr="00A16072">
        <w:rPr>
          <w:b w:val="0"/>
          <w:bCs/>
          <w:noProof/>
          <w:color w:val="auto"/>
          <w:lang w:val="en-US" w:eastAsia="id-ID"/>
        </w:rPr>
        <w:t>[13]</w:t>
      </w:r>
      <w:r w:rsidR="00A16072">
        <w:rPr>
          <w:b w:val="0"/>
          <w:bCs/>
          <w:color w:val="auto"/>
          <w:lang w:val="en-US" w:eastAsia="id-ID"/>
        </w:rPr>
        <w:fldChar w:fldCharType="end"/>
      </w:r>
      <w:r w:rsidR="00A16072">
        <w:rPr>
          <w:b w:val="0"/>
          <w:bCs/>
          <w:color w:val="auto"/>
          <w:lang w:val="en-US" w:eastAsia="id-ID"/>
        </w:rPr>
        <w:fldChar w:fldCharType="begin" w:fldLock="1"/>
      </w:r>
      <w:r w:rsidR="00A16072">
        <w:rPr>
          <w:b w:val="0"/>
          <w:bCs/>
          <w:color w:val="auto"/>
          <w:lang w:val="en-US" w:eastAsia="id-ID"/>
        </w:rPr>
        <w:instrText>ADDIN CSL_CITATION {"citationItems":[{"id":"ITEM-1","itemData":{"DOI":"10.1016/j.childyouth.2020.105194","ISSN":"0190-7409","author":[{"dropping-particle":"","family":"Kapasia","given":"Nanigopal","non-dropping-particle":"","parse-names":false,"suffix":""},{"dropping-particle":"","family":"Paul","given":"Pintu","non-dropping-particle":"","parse-names":false,"suffix":""},{"dropping-particle":"","family":"Roy","given":"Avijit","non-dropping-particle":"","parse-names":false,"suffix":""},{"dropping-particle":"","family":"Saha","given":"Jay","non-dropping-particle":"","parse-names":false,"suffix":""},{"dropping-particle":"","family":"Zaveri","given":"Ankita","non-dropping-particle":"","parse-names":false,"suffix":""},{"dropping-particle":"","family":"Mallick","given":"Rahul","non-dropping-particle":"","parse-names":false,"suffix":""}],"container-title":"Children and Youth Services Review","id":"ITEM-1","issue":"June","issued":{"date-parts":[["2020"]]},"page":"1-5","publisher":"Elsevier","title":"Impact of lockdown on learning status of undergraduate and postgraduate students during COVID-19 pandemic in West Bengal , India","type":"article-journal","volume":"116"},"uris":["http://www.mendeley.com/documents/?uuid=5cba0fea-5dad-4292-9679-9c5c78ece6a4"]}],"mendeley":{"formattedCitation":"[12]","plainTextFormattedCitation":"[12]","previouslyFormattedCitation":"[12]"},"properties":{"noteIndex":0},"schema":"https://github.com/citation-style-language/schema/raw/master/csl-citation.json"}</w:instrText>
      </w:r>
      <w:r w:rsidR="00A16072">
        <w:rPr>
          <w:b w:val="0"/>
          <w:bCs/>
          <w:color w:val="auto"/>
          <w:lang w:val="en-US" w:eastAsia="id-ID"/>
        </w:rPr>
        <w:fldChar w:fldCharType="separate"/>
      </w:r>
      <w:r w:rsidR="00A16072" w:rsidRPr="00A16072">
        <w:rPr>
          <w:b w:val="0"/>
          <w:bCs/>
          <w:noProof/>
          <w:color w:val="auto"/>
          <w:lang w:val="en-US" w:eastAsia="id-ID"/>
        </w:rPr>
        <w:t>[12]</w:t>
      </w:r>
      <w:r w:rsidR="00A16072">
        <w:rPr>
          <w:b w:val="0"/>
          <w:bCs/>
          <w:color w:val="auto"/>
          <w:lang w:val="en-US" w:eastAsia="id-ID"/>
        </w:rPr>
        <w:fldChar w:fldCharType="end"/>
      </w:r>
      <w:r w:rsidRPr="00664192">
        <w:rPr>
          <w:b w:val="0"/>
          <w:bCs/>
          <w:color w:val="auto"/>
          <w:lang w:val="en-US" w:eastAsia="id-ID"/>
        </w:rPr>
        <w:t>.</w:t>
      </w:r>
      <w:r>
        <w:rPr>
          <w:b w:val="0"/>
          <w:bCs/>
          <w:color w:val="auto"/>
          <w:lang w:val="en-US" w:eastAsia="id-ID"/>
        </w:rPr>
        <w:t xml:space="preserve"> </w:t>
      </w:r>
      <w:r w:rsidR="00540311">
        <w:rPr>
          <w:b w:val="0"/>
          <w:bCs/>
          <w:color w:val="auto"/>
          <w:lang w:val="en-US" w:eastAsia="id-ID"/>
        </w:rPr>
        <w:t>T</w:t>
      </w:r>
      <w:r w:rsidR="00540311" w:rsidRPr="0016793F">
        <w:rPr>
          <w:b w:val="0"/>
          <w:bCs/>
          <w:color w:val="auto"/>
          <w:lang w:val="en-US" w:eastAsia="id-ID"/>
        </w:rPr>
        <w:t>he convenience of online learning systems</w:t>
      </w:r>
      <w:r w:rsidR="00540311" w:rsidRPr="00540311">
        <w:rPr>
          <w:b w:val="0"/>
          <w:bCs/>
          <w:color w:val="auto"/>
          <w:lang w:val="en-US" w:eastAsia="id-ID"/>
        </w:rPr>
        <w:t xml:space="preserve"> needs to be improved. </w:t>
      </w:r>
      <w:r w:rsidR="00E4361A">
        <w:rPr>
          <w:b w:val="0"/>
          <w:bCs/>
          <w:color w:val="auto"/>
          <w:lang w:val="en-US" w:eastAsia="id-ID"/>
        </w:rPr>
        <w:t>T</w:t>
      </w:r>
      <w:r w:rsidR="00540311" w:rsidRPr="00540311">
        <w:rPr>
          <w:b w:val="0"/>
          <w:bCs/>
          <w:color w:val="auto"/>
          <w:lang w:val="en-US" w:eastAsia="id-ID"/>
        </w:rPr>
        <w:t>he discomfort of studying online and preferring to study offline is caused by anxiety, frustration, and boredom while studying online</w:t>
      </w:r>
      <w:r w:rsidR="00A16072">
        <w:rPr>
          <w:b w:val="0"/>
          <w:bCs/>
          <w:color w:val="auto"/>
          <w:lang w:val="en-US" w:eastAsia="id-ID"/>
        </w:rPr>
        <w:fldChar w:fldCharType="begin" w:fldLock="1"/>
      </w:r>
      <w:r w:rsidR="00A16072">
        <w:rPr>
          <w:b w:val="0"/>
          <w:bCs/>
          <w:color w:val="auto"/>
          <w:lang w:val="en-US" w:eastAsia="id-ID"/>
        </w:rPr>
        <w:instrText>ADDIN CSL_CITATION {"citationItems":[{"id":"ITEM-1","itemData":{"DOI":"10.1016/j.childyouth.2020.105194","ISSN":"0190-7409","author":[{"dropping-particle":"","family":"Kapasia","given":"Nanigopal","non-dropping-particle":"","parse-names":false,"suffix":""},{"dropping-particle":"","family":"Paul","given":"Pintu","non-dropping-particle":"","parse-names":false,"suffix":""},{"dropping-particle":"","family":"Roy","given":"Avijit","non-dropping-particle":"","parse-names":false,"suffix":""},{"dropping-particle":"","family":"Saha","given":"Jay","non-dropping-particle":"","parse-names":false,"suffix":""},{"dropping-particle":"","family":"Zaveri","given":"Ankita","non-dropping-particle":"","parse-names":false,"suffix":""},{"dropping-particle":"","family":"Mallick","given":"Rahul","non-dropping-particle":"","parse-names":false,"suffix":""}],"container-title":"Children and Youth Services Review","id":"ITEM-1","issue":"June","issued":{"date-parts":[["2020"]]},"page":"1-5","publisher":"Elsevier","title":"Impact of lockdown on learning status of undergraduate and postgraduate students during COVID-19 pandemic in West Bengal , India","type":"article-journal","volume":"116"},"uris":["http://www.mendeley.com/documents/?uuid=5cba0fea-5dad-4292-9679-9c5c78ece6a4"]}],"mendeley":{"formattedCitation":"[12]","plainTextFormattedCitation":"[12]"},"properties":{"noteIndex":0},"schema":"https://github.com/citation-style-language/schema/raw/master/csl-citation.json"}</w:instrText>
      </w:r>
      <w:r w:rsidR="00A16072">
        <w:rPr>
          <w:b w:val="0"/>
          <w:bCs/>
          <w:color w:val="auto"/>
          <w:lang w:val="en-US" w:eastAsia="id-ID"/>
        </w:rPr>
        <w:fldChar w:fldCharType="separate"/>
      </w:r>
      <w:r w:rsidR="00A16072" w:rsidRPr="00A16072">
        <w:rPr>
          <w:b w:val="0"/>
          <w:bCs/>
          <w:noProof/>
          <w:color w:val="auto"/>
          <w:lang w:val="en-US" w:eastAsia="id-ID"/>
        </w:rPr>
        <w:t>[12]</w:t>
      </w:r>
      <w:r w:rsidR="00A16072">
        <w:rPr>
          <w:b w:val="0"/>
          <w:bCs/>
          <w:color w:val="auto"/>
          <w:lang w:val="en-US" w:eastAsia="id-ID"/>
        </w:rPr>
        <w:fldChar w:fldCharType="end"/>
      </w:r>
      <w:r w:rsidR="00540311" w:rsidRPr="00540311">
        <w:rPr>
          <w:b w:val="0"/>
          <w:bCs/>
          <w:color w:val="auto"/>
          <w:lang w:val="en-US" w:eastAsia="id-ID"/>
        </w:rPr>
        <w:t>. This can be overcome by using a combination of online-offline media and involving the surrounding environment as a learning medi</w:t>
      </w:r>
      <w:r w:rsidR="003B5D74">
        <w:rPr>
          <w:b w:val="0"/>
          <w:bCs/>
          <w:color w:val="auto"/>
          <w:lang w:val="en-US" w:eastAsia="id-ID"/>
        </w:rPr>
        <w:t>a.</w:t>
      </w:r>
      <w:r w:rsidR="00540311">
        <w:rPr>
          <w:b w:val="0"/>
          <w:bCs/>
          <w:color w:val="auto"/>
          <w:lang w:val="en-US" w:eastAsia="id-ID"/>
        </w:rPr>
        <w:t xml:space="preserve"> </w:t>
      </w:r>
    </w:p>
    <w:p w14:paraId="465A8F6B" w14:textId="548F554D" w:rsidR="00ED5479" w:rsidRPr="0016793F" w:rsidRDefault="00ED5479" w:rsidP="00ED5479">
      <w:pPr>
        <w:pStyle w:val="Subsection"/>
        <w:rPr>
          <w:rFonts w:ascii="Times New Roman" w:hAnsi="Times New Roman"/>
          <w:color w:val="auto"/>
        </w:rPr>
      </w:pPr>
      <w:r w:rsidRPr="0016793F">
        <w:rPr>
          <w:i/>
          <w:iCs w:val="0"/>
          <w:color w:val="auto"/>
          <w:lang w:eastAsia="id-ID"/>
        </w:rPr>
        <w:t>Attitude</w:t>
      </w:r>
      <w:r w:rsidRPr="0016793F">
        <w:rPr>
          <w:rFonts w:ascii="Times New Roman" w:hAnsi="Times New Roman"/>
          <w:color w:val="auto"/>
        </w:rPr>
        <w:t xml:space="preserve"> </w:t>
      </w:r>
      <w:r w:rsidRPr="0016793F">
        <w:rPr>
          <w:rFonts w:ascii="Times New Roman" w:hAnsi="Times New Roman"/>
          <w:i/>
          <w:iCs w:val="0"/>
          <w:color w:val="auto"/>
        </w:rPr>
        <w:t>Towards Digital Technology Literacy</w:t>
      </w:r>
    </w:p>
    <w:p w14:paraId="19C84D22" w14:textId="516A5BAB" w:rsidR="00ED5479" w:rsidRPr="0016793F" w:rsidRDefault="00ED5479" w:rsidP="00ED5479">
      <w:pPr>
        <w:pStyle w:val="Bodytext"/>
        <w:rPr>
          <w:rFonts w:ascii="Times New Roman" w:hAnsi="Times New Roman"/>
          <w:color w:val="auto"/>
        </w:rPr>
      </w:pPr>
      <w:r w:rsidRPr="0016793F">
        <w:rPr>
          <w:rFonts w:ascii="Times New Roman" w:hAnsi="Times New Roman"/>
          <w:color w:val="auto"/>
        </w:rPr>
        <w:t>In this study, a positive attitude towards digital technology literacy is shown by being able to identify related digital ethics, themes that link technolog</w:t>
      </w:r>
      <w:r w:rsidR="006B0135" w:rsidRPr="0016793F">
        <w:rPr>
          <w:rFonts w:ascii="Times New Roman" w:hAnsi="Times New Roman"/>
          <w:color w:val="auto"/>
        </w:rPr>
        <w:t>y</w:t>
      </w:r>
      <w:r w:rsidRPr="0016793F">
        <w:rPr>
          <w:rFonts w:ascii="Times New Roman" w:hAnsi="Times New Roman"/>
          <w:color w:val="auto"/>
        </w:rPr>
        <w:t xml:space="preserve"> literacy and global problems</w:t>
      </w:r>
      <w:r w:rsidR="006B0135" w:rsidRPr="0016793F">
        <w:rPr>
          <w:rFonts w:ascii="Times New Roman" w:hAnsi="Times New Roman"/>
          <w:color w:val="auto"/>
        </w:rPr>
        <w:t xml:space="preserve">, </w:t>
      </w:r>
      <w:r w:rsidR="00FF250E" w:rsidRPr="0016793F">
        <w:rPr>
          <w:rFonts w:ascii="Times New Roman" w:hAnsi="Times New Roman"/>
          <w:color w:val="auto"/>
        </w:rPr>
        <w:t>and</w:t>
      </w:r>
      <w:r w:rsidR="006B0135" w:rsidRPr="0016793F">
        <w:rPr>
          <w:rFonts w:ascii="Times New Roman" w:hAnsi="Times New Roman"/>
          <w:color w:val="auto"/>
        </w:rPr>
        <w:t xml:space="preserve"> digital security</w:t>
      </w:r>
      <w:r w:rsidR="00FF250E" w:rsidRPr="0016793F">
        <w:rPr>
          <w:rFonts w:ascii="Times New Roman" w:hAnsi="Times New Roman"/>
          <w:color w:val="auto"/>
        </w:rPr>
        <w:t xml:space="preserve"> and responsibility</w:t>
      </w:r>
      <w:r w:rsidRPr="0016793F">
        <w:rPr>
          <w:rFonts w:ascii="Times New Roman" w:hAnsi="Times New Roman"/>
          <w:color w:val="auto"/>
        </w:rPr>
        <w:t>. The results of the survey of attitudes towards digital technology literacy are presented in table 1, table 2, and table 3.</w:t>
      </w:r>
      <w:r w:rsidR="000A2EBA" w:rsidRPr="0016793F">
        <w:rPr>
          <w:rFonts w:ascii="Times New Roman" w:hAnsi="Times New Roman"/>
          <w:color w:val="auto"/>
        </w:rPr>
        <w:t xml:space="preserve"> </w:t>
      </w:r>
    </w:p>
    <w:p w14:paraId="447150AA" w14:textId="4A3068EB" w:rsidR="00ED5479" w:rsidRPr="0016793F" w:rsidRDefault="00ED5479" w:rsidP="00ED5479">
      <w:pPr>
        <w:pStyle w:val="BodytextIndented"/>
        <w:ind w:firstLine="0"/>
        <w:rPr>
          <w:color w:val="auto"/>
          <w:lang w:val="en-GB" w:eastAsia="id-ID"/>
        </w:rPr>
      </w:pPr>
    </w:p>
    <w:p w14:paraId="2FA68EC4" w14:textId="50C26D4E" w:rsidR="005B59B5" w:rsidRPr="0016793F" w:rsidRDefault="005B59B5" w:rsidP="005B59B5">
      <w:pPr>
        <w:pStyle w:val="BodytextIndented"/>
        <w:spacing w:after="120"/>
        <w:ind w:firstLine="0"/>
        <w:rPr>
          <w:color w:val="auto"/>
          <w:lang w:val="en-GB" w:eastAsia="id-ID"/>
        </w:rPr>
      </w:pPr>
      <w:r w:rsidRPr="0016793F">
        <w:rPr>
          <w:b/>
          <w:bCs/>
          <w:color w:val="auto"/>
          <w:lang w:val="en-GB" w:eastAsia="id-ID"/>
        </w:rPr>
        <w:t>Table 1</w:t>
      </w:r>
      <w:r w:rsidRPr="0016793F">
        <w:rPr>
          <w:color w:val="auto"/>
          <w:lang w:val="en-GB" w:eastAsia="id-ID"/>
        </w:rPr>
        <w:t xml:space="preserve">. </w:t>
      </w:r>
      <w:r w:rsidR="002D74E6" w:rsidRPr="0016793F">
        <w:rPr>
          <w:color w:val="auto"/>
          <w:lang w:val="en-GB" w:eastAsia="id-ID"/>
        </w:rPr>
        <w:t>Result about digital ethics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253"/>
        <w:gridCol w:w="1267"/>
        <w:gridCol w:w="1267"/>
        <w:gridCol w:w="1294"/>
        <w:gridCol w:w="1267"/>
      </w:tblGrid>
      <w:tr w:rsidR="0016793F" w:rsidRPr="0016793F" w14:paraId="046ADC90" w14:textId="77777777" w:rsidTr="00D0709A">
        <w:tc>
          <w:tcPr>
            <w:tcW w:w="4253" w:type="dxa"/>
            <w:vAlign w:val="center"/>
          </w:tcPr>
          <w:p w14:paraId="08B75D28" w14:textId="42071260" w:rsidR="00ED5479" w:rsidRPr="0016793F" w:rsidRDefault="002531F6" w:rsidP="00EF2130">
            <w:pPr>
              <w:jc w:val="center"/>
              <w:rPr>
                <w:rFonts w:ascii="Times New Roman" w:hAnsi="Times New Roman" w:cs="Times New Roman"/>
                <w:b/>
                <w:bCs/>
                <w:lang w:val="en-US"/>
              </w:rPr>
            </w:pPr>
            <w:r w:rsidRPr="0016793F">
              <w:rPr>
                <w:rFonts w:ascii="Times New Roman" w:hAnsi="Times New Roman" w:cs="Times New Roman"/>
                <w:b/>
                <w:bCs/>
                <w:lang w:val="en-US"/>
              </w:rPr>
              <w:t>Question</w:t>
            </w:r>
          </w:p>
        </w:tc>
        <w:tc>
          <w:tcPr>
            <w:tcW w:w="1267" w:type="dxa"/>
            <w:vAlign w:val="center"/>
          </w:tcPr>
          <w:p w14:paraId="53773B4B" w14:textId="627DCD63" w:rsidR="00ED5479" w:rsidRPr="0016793F" w:rsidRDefault="00ED5479" w:rsidP="00D0709A">
            <w:pPr>
              <w:jc w:val="center"/>
              <w:rPr>
                <w:rFonts w:ascii="Times New Roman" w:eastAsia="Times New Roman" w:hAnsi="Times New Roman" w:cs="Times New Roman"/>
                <w:b/>
                <w:bCs/>
                <w:lang w:val="en-US" w:eastAsia="id-ID"/>
              </w:rPr>
            </w:pPr>
            <w:r w:rsidRPr="0016793F">
              <w:rPr>
                <w:rFonts w:ascii="Times New Roman" w:eastAsia="Times New Roman" w:hAnsi="Times New Roman" w:cs="Times New Roman"/>
                <w:b/>
                <w:bCs/>
                <w:lang w:eastAsia="id-ID"/>
              </w:rPr>
              <w:t xml:space="preserve">1 </w:t>
            </w:r>
            <w:r w:rsidR="00FF4B7D" w:rsidRPr="0016793F">
              <w:rPr>
                <w:rFonts w:ascii="Times New Roman" w:eastAsia="Times New Roman" w:hAnsi="Times New Roman" w:cs="Times New Roman"/>
                <w:b/>
                <w:bCs/>
                <w:lang w:val="en-US" w:eastAsia="id-ID"/>
              </w:rPr>
              <w:t>&amp;</w:t>
            </w:r>
            <w:r w:rsidRPr="0016793F">
              <w:rPr>
                <w:rFonts w:ascii="Times New Roman" w:eastAsia="Times New Roman" w:hAnsi="Times New Roman" w:cs="Times New Roman"/>
                <w:b/>
                <w:bCs/>
                <w:lang w:eastAsia="id-ID"/>
              </w:rPr>
              <w:t xml:space="preserve"> 2 </w:t>
            </w:r>
            <w:r w:rsidR="00FF4B7D" w:rsidRPr="0016793F">
              <w:rPr>
                <w:rFonts w:ascii="Times New Roman" w:eastAsia="Times New Roman" w:hAnsi="Times New Roman" w:cs="Times New Roman"/>
                <w:b/>
                <w:bCs/>
                <w:lang w:val="en-US" w:eastAsia="id-ID"/>
              </w:rPr>
              <w:t xml:space="preserve">is </w:t>
            </w:r>
            <w:r w:rsidR="00AC18D2" w:rsidRPr="0016793F">
              <w:rPr>
                <w:rFonts w:ascii="Times New Roman" w:eastAsia="Times New Roman" w:hAnsi="Times New Roman" w:cs="Times New Roman"/>
                <w:b/>
                <w:bCs/>
                <w:lang w:val="en-US" w:eastAsia="id-ID"/>
              </w:rPr>
              <w:t>true</w:t>
            </w:r>
          </w:p>
        </w:tc>
        <w:tc>
          <w:tcPr>
            <w:tcW w:w="1267" w:type="dxa"/>
            <w:vAlign w:val="center"/>
          </w:tcPr>
          <w:p w14:paraId="1A21CEC5" w14:textId="3FA0B2D2" w:rsidR="00ED5479" w:rsidRPr="0016793F" w:rsidRDefault="00ED5479" w:rsidP="00D0709A">
            <w:pPr>
              <w:jc w:val="center"/>
              <w:rPr>
                <w:rFonts w:ascii="Times New Roman" w:eastAsia="Times New Roman" w:hAnsi="Times New Roman" w:cs="Times New Roman"/>
                <w:b/>
                <w:bCs/>
                <w:lang w:eastAsia="id-ID"/>
              </w:rPr>
            </w:pPr>
            <w:r w:rsidRPr="0016793F">
              <w:rPr>
                <w:rFonts w:ascii="Times New Roman" w:eastAsia="Times New Roman" w:hAnsi="Times New Roman" w:cs="Times New Roman"/>
                <w:b/>
                <w:bCs/>
                <w:lang w:val="en-US" w:eastAsia="id-ID"/>
              </w:rPr>
              <w:t>3</w:t>
            </w:r>
            <w:r w:rsidRPr="0016793F">
              <w:rPr>
                <w:rFonts w:ascii="Times New Roman" w:eastAsia="Times New Roman" w:hAnsi="Times New Roman" w:cs="Times New Roman"/>
                <w:b/>
                <w:bCs/>
                <w:lang w:eastAsia="id-ID"/>
              </w:rPr>
              <w:t xml:space="preserve"> </w:t>
            </w:r>
            <w:r w:rsidR="00FF4B7D" w:rsidRPr="0016793F">
              <w:rPr>
                <w:rFonts w:ascii="Times New Roman" w:eastAsia="Times New Roman" w:hAnsi="Times New Roman" w:cs="Times New Roman"/>
                <w:b/>
                <w:bCs/>
                <w:lang w:val="en-US" w:eastAsia="id-ID"/>
              </w:rPr>
              <w:t>&amp;</w:t>
            </w:r>
            <w:r w:rsidRPr="0016793F">
              <w:rPr>
                <w:rFonts w:ascii="Times New Roman" w:eastAsia="Times New Roman" w:hAnsi="Times New Roman" w:cs="Times New Roman"/>
                <w:b/>
                <w:bCs/>
                <w:lang w:eastAsia="id-ID"/>
              </w:rPr>
              <w:t xml:space="preserve"> </w:t>
            </w:r>
            <w:r w:rsidRPr="0016793F">
              <w:rPr>
                <w:rFonts w:ascii="Times New Roman" w:eastAsia="Times New Roman" w:hAnsi="Times New Roman" w:cs="Times New Roman"/>
                <w:b/>
                <w:bCs/>
                <w:lang w:val="en-US" w:eastAsia="id-ID"/>
              </w:rPr>
              <w:t>4</w:t>
            </w:r>
            <w:r w:rsidRPr="0016793F">
              <w:rPr>
                <w:rFonts w:ascii="Times New Roman" w:eastAsia="Times New Roman" w:hAnsi="Times New Roman" w:cs="Times New Roman"/>
                <w:b/>
                <w:bCs/>
                <w:lang w:eastAsia="id-ID"/>
              </w:rPr>
              <w:t xml:space="preserve"> </w:t>
            </w:r>
            <w:r w:rsidR="00AC18D2" w:rsidRPr="0016793F">
              <w:rPr>
                <w:rFonts w:ascii="Times New Roman" w:eastAsia="Times New Roman" w:hAnsi="Times New Roman" w:cs="Times New Roman"/>
                <w:b/>
                <w:bCs/>
                <w:lang w:val="en-US" w:eastAsia="id-ID"/>
              </w:rPr>
              <w:t>is true</w:t>
            </w:r>
          </w:p>
        </w:tc>
        <w:tc>
          <w:tcPr>
            <w:tcW w:w="1294" w:type="dxa"/>
            <w:vAlign w:val="center"/>
          </w:tcPr>
          <w:p w14:paraId="6CBD8529" w14:textId="73E1FBAF" w:rsidR="00ED5479" w:rsidRPr="0016793F" w:rsidRDefault="00ED5479" w:rsidP="00D0709A">
            <w:pPr>
              <w:jc w:val="center"/>
              <w:rPr>
                <w:rFonts w:ascii="Times New Roman" w:eastAsia="Times New Roman" w:hAnsi="Times New Roman" w:cs="Times New Roman"/>
                <w:b/>
                <w:bCs/>
                <w:lang w:eastAsia="id-ID"/>
              </w:rPr>
            </w:pPr>
            <w:r w:rsidRPr="0016793F">
              <w:rPr>
                <w:rFonts w:ascii="Times New Roman" w:eastAsia="Times New Roman" w:hAnsi="Times New Roman" w:cs="Times New Roman"/>
                <w:b/>
                <w:bCs/>
                <w:lang w:eastAsia="id-ID"/>
              </w:rPr>
              <w:t xml:space="preserve">1 </w:t>
            </w:r>
            <w:r w:rsidR="00FF4B7D" w:rsidRPr="0016793F">
              <w:rPr>
                <w:rFonts w:ascii="Times New Roman" w:eastAsia="Times New Roman" w:hAnsi="Times New Roman" w:cs="Times New Roman"/>
                <w:b/>
                <w:bCs/>
                <w:lang w:val="en-US" w:eastAsia="id-ID"/>
              </w:rPr>
              <w:t>&amp;</w:t>
            </w:r>
            <w:r w:rsidRPr="0016793F">
              <w:rPr>
                <w:rFonts w:ascii="Times New Roman" w:eastAsia="Times New Roman" w:hAnsi="Times New Roman" w:cs="Times New Roman"/>
                <w:b/>
                <w:bCs/>
                <w:lang w:eastAsia="id-ID"/>
              </w:rPr>
              <w:t xml:space="preserve"> </w:t>
            </w:r>
            <w:r w:rsidRPr="0016793F">
              <w:rPr>
                <w:rFonts w:ascii="Times New Roman" w:eastAsia="Times New Roman" w:hAnsi="Times New Roman" w:cs="Times New Roman"/>
                <w:b/>
                <w:bCs/>
                <w:lang w:val="en-US" w:eastAsia="id-ID"/>
              </w:rPr>
              <w:t>5</w:t>
            </w:r>
            <w:r w:rsidRPr="0016793F">
              <w:rPr>
                <w:rFonts w:ascii="Times New Roman" w:eastAsia="Times New Roman" w:hAnsi="Times New Roman" w:cs="Times New Roman"/>
                <w:b/>
                <w:bCs/>
                <w:lang w:eastAsia="id-ID"/>
              </w:rPr>
              <w:t xml:space="preserve"> </w:t>
            </w:r>
            <w:r w:rsidR="00AC18D2" w:rsidRPr="0016793F">
              <w:rPr>
                <w:rFonts w:ascii="Times New Roman" w:eastAsia="Times New Roman" w:hAnsi="Times New Roman" w:cs="Times New Roman"/>
                <w:b/>
                <w:bCs/>
                <w:lang w:val="en-US" w:eastAsia="id-ID"/>
              </w:rPr>
              <w:t>is true</w:t>
            </w:r>
          </w:p>
        </w:tc>
        <w:tc>
          <w:tcPr>
            <w:tcW w:w="1267" w:type="dxa"/>
            <w:vAlign w:val="center"/>
          </w:tcPr>
          <w:p w14:paraId="4E8FF9B1" w14:textId="0F3D2F53" w:rsidR="00ED5479" w:rsidRPr="0016793F" w:rsidRDefault="001A692F" w:rsidP="00D0709A">
            <w:pPr>
              <w:jc w:val="center"/>
              <w:rPr>
                <w:rFonts w:ascii="Times New Roman" w:hAnsi="Times New Roman" w:cs="Times New Roman"/>
                <w:b/>
                <w:bCs/>
                <w:lang w:val="en-US"/>
              </w:rPr>
            </w:pPr>
            <w:r w:rsidRPr="0016793F">
              <w:rPr>
                <w:rFonts w:ascii="Times New Roman" w:hAnsi="Times New Roman" w:cs="Times New Roman"/>
                <w:b/>
                <w:bCs/>
                <w:lang w:val="en-US"/>
              </w:rPr>
              <w:t>It’s all</w:t>
            </w:r>
            <w:r w:rsidR="00ED5479" w:rsidRPr="0016793F">
              <w:rPr>
                <w:rFonts w:ascii="Times New Roman" w:hAnsi="Times New Roman" w:cs="Times New Roman"/>
                <w:b/>
                <w:bCs/>
                <w:lang w:val="en-US"/>
              </w:rPr>
              <w:t xml:space="preserve"> </w:t>
            </w:r>
            <w:r w:rsidR="00AC18D2" w:rsidRPr="0016793F">
              <w:rPr>
                <w:rFonts w:ascii="Times New Roman" w:eastAsia="Times New Roman" w:hAnsi="Times New Roman" w:cs="Times New Roman"/>
                <w:b/>
                <w:bCs/>
                <w:lang w:val="en-US" w:eastAsia="id-ID"/>
              </w:rPr>
              <w:t>true</w:t>
            </w:r>
          </w:p>
        </w:tc>
      </w:tr>
      <w:tr w:rsidR="0016793F" w:rsidRPr="0016793F" w14:paraId="346C443E" w14:textId="77777777" w:rsidTr="00A01F09">
        <w:trPr>
          <w:trHeight w:val="2730"/>
        </w:trPr>
        <w:tc>
          <w:tcPr>
            <w:tcW w:w="4253" w:type="dxa"/>
          </w:tcPr>
          <w:p w14:paraId="129C2AF3" w14:textId="6445BE22" w:rsidR="00ED5479" w:rsidRPr="0016793F" w:rsidRDefault="00FF4B7D" w:rsidP="00EF2130">
            <w:pPr>
              <w:rPr>
                <w:rFonts w:ascii="Times New Roman" w:eastAsia="Times New Roman" w:hAnsi="Times New Roman" w:cs="Times New Roman"/>
                <w:lang w:val="en-US" w:eastAsia="id-ID"/>
              </w:rPr>
            </w:pPr>
            <w:r w:rsidRPr="0016793F">
              <w:rPr>
                <w:rFonts w:ascii="Times New Roman" w:eastAsia="Times New Roman" w:hAnsi="Times New Roman" w:cs="Times New Roman"/>
                <w:lang w:val="en-US" w:eastAsia="id-ID"/>
              </w:rPr>
              <w:t>Which is included in Technology Literacy?</w:t>
            </w:r>
          </w:p>
          <w:p w14:paraId="7BE714D1" w14:textId="175F964E" w:rsidR="00FF4B7D" w:rsidRPr="0016793F" w:rsidRDefault="00FF4B7D" w:rsidP="00FF4B7D">
            <w:pPr>
              <w:pStyle w:val="ListParagraph"/>
              <w:numPr>
                <w:ilvl w:val="0"/>
                <w:numId w:val="8"/>
              </w:numPr>
              <w:ind w:left="284"/>
              <w:rPr>
                <w:rFonts w:ascii="Times New Roman" w:eastAsia="Times New Roman" w:hAnsi="Times New Roman" w:cs="Times New Roman"/>
                <w:lang w:eastAsia="id-ID"/>
              </w:rPr>
            </w:pPr>
            <w:proofErr w:type="spellStart"/>
            <w:r w:rsidRPr="0016793F">
              <w:rPr>
                <w:rFonts w:ascii="Times New Roman" w:eastAsia="Times New Roman" w:hAnsi="Times New Roman" w:cs="Times New Roman"/>
                <w:lang w:eastAsia="id-ID"/>
              </w:rPr>
              <w:t>Security</w:t>
            </w:r>
            <w:proofErr w:type="spellEnd"/>
            <w:r w:rsidRPr="0016793F">
              <w:rPr>
                <w:rFonts w:ascii="Times New Roman" w:eastAsia="Times New Roman" w:hAnsi="Times New Roman" w:cs="Times New Roman"/>
                <w:lang w:eastAsia="id-ID"/>
              </w:rPr>
              <w:t xml:space="preserve"> in </w:t>
            </w:r>
            <w:proofErr w:type="spellStart"/>
            <w:r w:rsidRPr="0016793F">
              <w:rPr>
                <w:rFonts w:ascii="Times New Roman" w:eastAsia="Times New Roman" w:hAnsi="Times New Roman" w:cs="Times New Roman"/>
                <w:lang w:eastAsia="id-ID"/>
              </w:rPr>
              <w:t>online</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source</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search</w:t>
            </w:r>
            <w:proofErr w:type="spellEnd"/>
          </w:p>
          <w:p w14:paraId="6B169753" w14:textId="6C01385C" w:rsidR="00FF4B7D" w:rsidRPr="0016793F" w:rsidRDefault="00FF4B7D" w:rsidP="00FF4B7D">
            <w:pPr>
              <w:pStyle w:val="ListParagraph"/>
              <w:numPr>
                <w:ilvl w:val="0"/>
                <w:numId w:val="8"/>
              </w:numPr>
              <w:ind w:left="284"/>
              <w:rPr>
                <w:rFonts w:ascii="Times New Roman" w:eastAsia="Times New Roman" w:hAnsi="Times New Roman" w:cs="Times New Roman"/>
                <w:lang w:eastAsia="id-ID"/>
              </w:rPr>
            </w:pPr>
            <w:proofErr w:type="spellStart"/>
            <w:r w:rsidRPr="0016793F">
              <w:rPr>
                <w:rFonts w:ascii="Times New Roman" w:eastAsia="Times New Roman" w:hAnsi="Times New Roman" w:cs="Times New Roman"/>
                <w:lang w:eastAsia="id-ID"/>
              </w:rPr>
              <w:t>Knowing</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the</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code</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of</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ethics</w:t>
            </w:r>
            <w:proofErr w:type="spellEnd"/>
            <w:r w:rsidRPr="0016793F">
              <w:rPr>
                <w:rFonts w:ascii="Times New Roman" w:eastAsia="Times New Roman" w:hAnsi="Times New Roman" w:cs="Times New Roman"/>
                <w:lang w:eastAsia="id-ID"/>
              </w:rPr>
              <w:t xml:space="preserve"> in </w:t>
            </w:r>
            <w:proofErr w:type="spellStart"/>
            <w:r w:rsidRPr="0016793F">
              <w:rPr>
                <w:rFonts w:ascii="Times New Roman" w:eastAsia="Times New Roman" w:hAnsi="Times New Roman" w:cs="Times New Roman"/>
                <w:lang w:eastAsia="id-ID"/>
              </w:rPr>
              <w:t>online</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publications</w:t>
            </w:r>
            <w:proofErr w:type="spellEnd"/>
          </w:p>
          <w:p w14:paraId="5CB83FAA" w14:textId="57C8C035" w:rsidR="00FF4B7D" w:rsidRPr="0016793F" w:rsidRDefault="00FF4B7D" w:rsidP="00FF4B7D">
            <w:pPr>
              <w:pStyle w:val="ListParagraph"/>
              <w:numPr>
                <w:ilvl w:val="0"/>
                <w:numId w:val="8"/>
              </w:numPr>
              <w:ind w:left="284"/>
              <w:rPr>
                <w:rFonts w:ascii="Times New Roman" w:eastAsia="Times New Roman" w:hAnsi="Times New Roman" w:cs="Times New Roman"/>
                <w:lang w:eastAsia="id-ID"/>
              </w:rPr>
            </w:pPr>
            <w:proofErr w:type="spellStart"/>
            <w:r w:rsidRPr="0016793F">
              <w:rPr>
                <w:rFonts w:ascii="Times New Roman" w:eastAsia="Times New Roman" w:hAnsi="Times New Roman" w:cs="Times New Roman"/>
                <w:lang w:eastAsia="id-ID"/>
              </w:rPr>
              <w:t>Understand</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the</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principles</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of</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someone's</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privacy</w:t>
            </w:r>
            <w:proofErr w:type="spellEnd"/>
          </w:p>
          <w:p w14:paraId="236F47FB" w14:textId="23D37370" w:rsidR="00FF4B7D" w:rsidRPr="0016793F" w:rsidRDefault="00FF4B7D" w:rsidP="00FF4B7D">
            <w:pPr>
              <w:pStyle w:val="ListParagraph"/>
              <w:numPr>
                <w:ilvl w:val="0"/>
                <w:numId w:val="8"/>
              </w:numPr>
              <w:ind w:left="284"/>
              <w:rPr>
                <w:rFonts w:ascii="Times New Roman" w:eastAsia="Times New Roman" w:hAnsi="Times New Roman" w:cs="Times New Roman"/>
                <w:lang w:eastAsia="id-ID"/>
              </w:rPr>
            </w:pPr>
            <w:proofErr w:type="spellStart"/>
            <w:r w:rsidRPr="0016793F">
              <w:rPr>
                <w:rFonts w:ascii="Times New Roman" w:eastAsia="Times New Roman" w:hAnsi="Times New Roman" w:cs="Times New Roman"/>
                <w:lang w:eastAsia="id-ID"/>
              </w:rPr>
              <w:t>Understand</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the</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concept</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and</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terms</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of</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plagiarism</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Plagiarism</w:t>
            </w:r>
            <w:proofErr w:type="spellEnd"/>
            <w:r w:rsidRPr="0016793F">
              <w:rPr>
                <w:rFonts w:ascii="Times New Roman" w:eastAsia="Times New Roman" w:hAnsi="Times New Roman" w:cs="Times New Roman"/>
                <w:lang w:eastAsia="id-ID"/>
              </w:rPr>
              <w:t>)</w:t>
            </w:r>
          </w:p>
          <w:p w14:paraId="6C29680D" w14:textId="536DDFFB" w:rsidR="00ED5479" w:rsidRPr="0016793F" w:rsidRDefault="00FF4B7D" w:rsidP="00FF4B7D">
            <w:pPr>
              <w:pStyle w:val="ListParagraph"/>
              <w:numPr>
                <w:ilvl w:val="0"/>
                <w:numId w:val="8"/>
              </w:numPr>
              <w:spacing w:after="0" w:line="240" w:lineRule="auto"/>
              <w:ind w:left="284"/>
              <w:rPr>
                <w:rFonts w:ascii="Times New Roman" w:eastAsia="Times New Roman" w:hAnsi="Times New Roman" w:cs="Times New Roman"/>
                <w:lang w:eastAsia="id-ID"/>
              </w:rPr>
            </w:pPr>
            <w:proofErr w:type="spellStart"/>
            <w:r w:rsidRPr="0016793F">
              <w:rPr>
                <w:rFonts w:ascii="Times New Roman" w:eastAsia="Times New Roman" w:hAnsi="Times New Roman" w:cs="Times New Roman"/>
                <w:lang w:eastAsia="id-ID"/>
              </w:rPr>
              <w:t>Understand</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the</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terms</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of</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citation</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and</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plagiarism</w:t>
            </w:r>
            <w:proofErr w:type="spellEnd"/>
          </w:p>
        </w:tc>
        <w:tc>
          <w:tcPr>
            <w:tcW w:w="1267" w:type="dxa"/>
            <w:vAlign w:val="center"/>
          </w:tcPr>
          <w:p w14:paraId="0B89A4C0"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9,68%</w:t>
            </w:r>
          </w:p>
          <w:p w14:paraId="3A820E20"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(15)</w:t>
            </w:r>
          </w:p>
        </w:tc>
        <w:tc>
          <w:tcPr>
            <w:tcW w:w="1267" w:type="dxa"/>
            <w:vAlign w:val="center"/>
          </w:tcPr>
          <w:p w14:paraId="2A64BA31"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6,45%</w:t>
            </w:r>
          </w:p>
          <w:p w14:paraId="7547B819"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(10)</w:t>
            </w:r>
          </w:p>
        </w:tc>
        <w:tc>
          <w:tcPr>
            <w:tcW w:w="1294" w:type="dxa"/>
            <w:vAlign w:val="center"/>
          </w:tcPr>
          <w:p w14:paraId="5B6E902A"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8,39%</w:t>
            </w:r>
          </w:p>
          <w:p w14:paraId="3B9D897A"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(13)</w:t>
            </w:r>
          </w:p>
        </w:tc>
        <w:tc>
          <w:tcPr>
            <w:tcW w:w="1267" w:type="dxa"/>
            <w:vAlign w:val="center"/>
          </w:tcPr>
          <w:p w14:paraId="25AFEE94"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75,48</w:t>
            </w:r>
          </w:p>
          <w:p w14:paraId="696074C3"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(117)</w:t>
            </w:r>
          </w:p>
        </w:tc>
      </w:tr>
    </w:tbl>
    <w:p w14:paraId="065065D8" w14:textId="77777777" w:rsidR="00872467" w:rsidRDefault="00872467" w:rsidP="005B7F0B">
      <w:pPr>
        <w:pStyle w:val="BodytextIndented"/>
        <w:spacing w:after="120"/>
        <w:ind w:firstLine="0"/>
        <w:rPr>
          <w:b/>
          <w:bCs/>
          <w:color w:val="auto"/>
          <w:lang w:val="en-GB" w:eastAsia="id-ID"/>
        </w:rPr>
      </w:pPr>
    </w:p>
    <w:p w14:paraId="5B2265A5" w14:textId="784B92EC" w:rsidR="00ED5479" w:rsidRPr="0016793F" w:rsidRDefault="005B59B5" w:rsidP="005B7F0B">
      <w:pPr>
        <w:pStyle w:val="BodytextIndented"/>
        <w:spacing w:after="120"/>
        <w:ind w:firstLine="0"/>
        <w:rPr>
          <w:color w:val="auto"/>
          <w:lang w:val="en-GB" w:eastAsia="id-ID"/>
        </w:rPr>
      </w:pPr>
      <w:r w:rsidRPr="0016793F">
        <w:rPr>
          <w:b/>
          <w:bCs/>
          <w:color w:val="auto"/>
          <w:lang w:val="en-GB" w:eastAsia="id-ID"/>
        </w:rPr>
        <w:lastRenderedPageBreak/>
        <w:t>Table 2</w:t>
      </w:r>
      <w:r w:rsidRPr="0016793F">
        <w:rPr>
          <w:color w:val="auto"/>
          <w:lang w:val="en-GB" w:eastAsia="id-ID"/>
        </w:rPr>
        <w:t>.</w:t>
      </w:r>
      <w:r w:rsidR="005F337E" w:rsidRPr="0016793F">
        <w:rPr>
          <w:color w:val="auto"/>
          <w:lang w:val="en-GB" w:eastAsia="id-ID"/>
        </w:rPr>
        <w:t xml:space="preserve"> Result about </w:t>
      </w:r>
      <w:r w:rsidR="005F337E" w:rsidRPr="0016793F">
        <w:rPr>
          <w:rFonts w:ascii="Times New Roman" w:hAnsi="Times New Roman"/>
          <w:color w:val="auto"/>
        </w:rPr>
        <w:t>themes that link technology literacy and global problems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170"/>
        <w:gridCol w:w="972"/>
        <w:gridCol w:w="981"/>
        <w:gridCol w:w="972"/>
        <w:gridCol w:w="976"/>
      </w:tblGrid>
      <w:tr w:rsidR="0016793F" w:rsidRPr="0016793F" w14:paraId="1D50CE52" w14:textId="77777777" w:rsidTr="00EF2130">
        <w:tc>
          <w:tcPr>
            <w:tcW w:w="5382" w:type="dxa"/>
            <w:vAlign w:val="center"/>
          </w:tcPr>
          <w:p w14:paraId="65BB3F38" w14:textId="0D14E777" w:rsidR="00ED5479" w:rsidRPr="0016793F" w:rsidRDefault="002531F6" w:rsidP="00EF2130">
            <w:pPr>
              <w:jc w:val="center"/>
              <w:rPr>
                <w:rFonts w:ascii="Times New Roman" w:hAnsi="Times New Roman" w:cs="Times New Roman"/>
                <w:b/>
                <w:bCs/>
                <w:lang w:val="en-US"/>
              </w:rPr>
            </w:pPr>
            <w:r w:rsidRPr="0016793F">
              <w:rPr>
                <w:rFonts w:ascii="Times New Roman" w:hAnsi="Times New Roman" w:cs="Times New Roman"/>
                <w:b/>
                <w:bCs/>
                <w:lang w:val="en-US"/>
              </w:rPr>
              <w:t>Question</w:t>
            </w:r>
          </w:p>
        </w:tc>
        <w:tc>
          <w:tcPr>
            <w:tcW w:w="992" w:type="dxa"/>
          </w:tcPr>
          <w:p w14:paraId="38E589F8" w14:textId="60DFDC9D" w:rsidR="00ED5479" w:rsidRPr="0016793F" w:rsidRDefault="00ED5479" w:rsidP="00D0709A">
            <w:pPr>
              <w:jc w:val="center"/>
              <w:rPr>
                <w:rFonts w:ascii="Times New Roman" w:eastAsia="Times New Roman" w:hAnsi="Times New Roman" w:cs="Times New Roman"/>
                <w:b/>
                <w:bCs/>
                <w:lang w:val="en-US" w:eastAsia="id-ID"/>
              </w:rPr>
            </w:pPr>
            <w:r w:rsidRPr="0016793F">
              <w:rPr>
                <w:rFonts w:ascii="Times New Roman" w:eastAsia="Times New Roman" w:hAnsi="Times New Roman" w:cs="Times New Roman"/>
                <w:b/>
                <w:bCs/>
                <w:lang w:eastAsia="id-ID"/>
              </w:rPr>
              <w:t>1</w:t>
            </w:r>
            <w:r w:rsidRPr="0016793F">
              <w:rPr>
                <w:rFonts w:ascii="Times New Roman" w:eastAsia="Times New Roman" w:hAnsi="Times New Roman" w:cs="Times New Roman"/>
                <w:b/>
                <w:bCs/>
                <w:lang w:val="en-US" w:eastAsia="id-ID"/>
              </w:rPr>
              <w:t>,</w:t>
            </w:r>
            <w:r w:rsidRPr="0016793F">
              <w:rPr>
                <w:rFonts w:ascii="Times New Roman" w:eastAsia="Times New Roman" w:hAnsi="Times New Roman" w:cs="Times New Roman"/>
                <w:b/>
                <w:bCs/>
                <w:lang w:eastAsia="id-ID"/>
              </w:rPr>
              <w:t xml:space="preserve"> 2</w:t>
            </w:r>
            <w:r w:rsidRPr="0016793F">
              <w:rPr>
                <w:rFonts w:ascii="Times New Roman" w:eastAsia="Times New Roman" w:hAnsi="Times New Roman" w:cs="Times New Roman"/>
                <w:b/>
                <w:bCs/>
                <w:lang w:val="en-US" w:eastAsia="id-ID"/>
              </w:rPr>
              <w:t xml:space="preserve">, </w:t>
            </w:r>
            <w:r w:rsidR="0078062A" w:rsidRPr="0016793F">
              <w:rPr>
                <w:rFonts w:ascii="Times New Roman" w:eastAsia="Times New Roman" w:hAnsi="Times New Roman" w:cs="Times New Roman"/>
                <w:b/>
                <w:bCs/>
                <w:lang w:val="en-US" w:eastAsia="id-ID"/>
              </w:rPr>
              <w:t>&amp;</w:t>
            </w:r>
            <w:r w:rsidRPr="0016793F">
              <w:rPr>
                <w:rFonts w:ascii="Times New Roman" w:eastAsia="Times New Roman" w:hAnsi="Times New Roman" w:cs="Times New Roman"/>
                <w:b/>
                <w:bCs/>
                <w:lang w:val="en-US" w:eastAsia="id-ID"/>
              </w:rPr>
              <w:t xml:space="preserve"> 3</w:t>
            </w:r>
            <w:r w:rsidRPr="0016793F">
              <w:rPr>
                <w:rFonts w:ascii="Times New Roman" w:eastAsia="Times New Roman" w:hAnsi="Times New Roman" w:cs="Times New Roman"/>
                <w:b/>
                <w:bCs/>
                <w:lang w:eastAsia="id-ID"/>
              </w:rPr>
              <w:t xml:space="preserve"> </w:t>
            </w:r>
            <w:r w:rsidR="0078062A" w:rsidRPr="0016793F">
              <w:rPr>
                <w:rFonts w:ascii="Times New Roman" w:eastAsia="Times New Roman" w:hAnsi="Times New Roman" w:cs="Times New Roman"/>
                <w:b/>
                <w:bCs/>
                <w:lang w:val="en-US" w:eastAsia="id-ID"/>
              </w:rPr>
              <w:t>is true</w:t>
            </w:r>
          </w:p>
        </w:tc>
        <w:tc>
          <w:tcPr>
            <w:tcW w:w="992" w:type="dxa"/>
          </w:tcPr>
          <w:p w14:paraId="417ED241" w14:textId="58420E9F" w:rsidR="00ED5479" w:rsidRPr="0016793F" w:rsidRDefault="00ED5479" w:rsidP="00D0709A">
            <w:pPr>
              <w:jc w:val="center"/>
              <w:rPr>
                <w:rFonts w:ascii="Times New Roman" w:eastAsia="Times New Roman" w:hAnsi="Times New Roman" w:cs="Times New Roman"/>
                <w:b/>
                <w:bCs/>
                <w:lang w:eastAsia="id-ID"/>
              </w:rPr>
            </w:pPr>
            <w:r w:rsidRPr="0016793F">
              <w:rPr>
                <w:rFonts w:ascii="Times New Roman" w:eastAsia="Times New Roman" w:hAnsi="Times New Roman" w:cs="Times New Roman"/>
                <w:b/>
                <w:bCs/>
                <w:lang w:eastAsia="id-ID"/>
              </w:rPr>
              <w:t xml:space="preserve">2 </w:t>
            </w:r>
            <w:r w:rsidR="0078062A" w:rsidRPr="0016793F">
              <w:rPr>
                <w:rFonts w:ascii="Times New Roman" w:eastAsia="Times New Roman" w:hAnsi="Times New Roman" w:cs="Times New Roman"/>
                <w:b/>
                <w:bCs/>
                <w:lang w:val="en-US" w:eastAsia="id-ID"/>
              </w:rPr>
              <w:t>&amp;</w:t>
            </w:r>
            <w:r w:rsidRPr="0016793F">
              <w:rPr>
                <w:rFonts w:ascii="Times New Roman" w:eastAsia="Times New Roman" w:hAnsi="Times New Roman" w:cs="Times New Roman"/>
                <w:b/>
                <w:bCs/>
                <w:lang w:eastAsia="id-ID"/>
              </w:rPr>
              <w:t xml:space="preserve"> </w:t>
            </w:r>
            <w:r w:rsidRPr="0016793F">
              <w:rPr>
                <w:rFonts w:ascii="Times New Roman" w:eastAsia="Times New Roman" w:hAnsi="Times New Roman" w:cs="Times New Roman"/>
                <w:b/>
                <w:bCs/>
                <w:lang w:val="en-US" w:eastAsia="id-ID"/>
              </w:rPr>
              <w:t>4</w:t>
            </w:r>
            <w:r w:rsidRPr="0016793F">
              <w:rPr>
                <w:rFonts w:ascii="Times New Roman" w:eastAsia="Times New Roman" w:hAnsi="Times New Roman" w:cs="Times New Roman"/>
                <w:b/>
                <w:bCs/>
                <w:lang w:eastAsia="id-ID"/>
              </w:rPr>
              <w:t xml:space="preserve"> </w:t>
            </w:r>
            <w:r w:rsidR="0078062A" w:rsidRPr="0016793F">
              <w:rPr>
                <w:rFonts w:ascii="Times New Roman" w:eastAsia="Times New Roman" w:hAnsi="Times New Roman" w:cs="Times New Roman"/>
                <w:b/>
                <w:bCs/>
                <w:lang w:val="en-US" w:eastAsia="id-ID"/>
              </w:rPr>
              <w:t>is true</w:t>
            </w:r>
          </w:p>
        </w:tc>
        <w:tc>
          <w:tcPr>
            <w:tcW w:w="993" w:type="dxa"/>
          </w:tcPr>
          <w:p w14:paraId="0AD8141B" w14:textId="6D5485B9" w:rsidR="00ED5479" w:rsidRPr="0016793F" w:rsidRDefault="00ED5479" w:rsidP="00D0709A">
            <w:pPr>
              <w:jc w:val="center"/>
              <w:rPr>
                <w:rFonts w:ascii="Times New Roman" w:eastAsia="Times New Roman" w:hAnsi="Times New Roman" w:cs="Times New Roman"/>
                <w:b/>
                <w:bCs/>
                <w:lang w:eastAsia="id-ID"/>
              </w:rPr>
            </w:pPr>
            <w:r w:rsidRPr="0016793F">
              <w:rPr>
                <w:rFonts w:ascii="Times New Roman" w:eastAsia="Times New Roman" w:hAnsi="Times New Roman" w:cs="Times New Roman"/>
                <w:b/>
                <w:bCs/>
                <w:lang w:val="en-US" w:eastAsia="id-ID"/>
              </w:rPr>
              <w:t>3</w:t>
            </w:r>
            <w:r w:rsidRPr="0016793F">
              <w:rPr>
                <w:rFonts w:ascii="Times New Roman" w:eastAsia="Times New Roman" w:hAnsi="Times New Roman" w:cs="Times New Roman"/>
                <w:b/>
                <w:bCs/>
                <w:lang w:eastAsia="id-ID"/>
              </w:rPr>
              <w:t xml:space="preserve"> </w:t>
            </w:r>
            <w:r w:rsidR="0078062A" w:rsidRPr="0016793F">
              <w:rPr>
                <w:rFonts w:ascii="Times New Roman" w:eastAsia="Times New Roman" w:hAnsi="Times New Roman" w:cs="Times New Roman"/>
                <w:b/>
                <w:bCs/>
                <w:lang w:val="en-US" w:eastAsia="id-ID"/>
              </w:rPr>
              <w:t>&amp;</w:t>
            </w:r>
            <w:r w:rsidRPr="0016793F">
              <w:rPr>
                <w:rFonts w:ascii="Times New Roman" w:eastAsia="Times New Roman" w:hAnsi="Times New Roman" w:cs="Times New Roman"/>
                <w:b/>
                <w:bCs/>
                <w:lang w:eastAsia="id-ID"/>
              </w:rPr>
              <w:t xml:space="preserve"> </w:t>
            </w:r>
            <w:r w:rsidRPr="0016793F">
              <w:rPr>
                <w:rFonts w:ascii="Times New Roman" w:eastAsia="Times New Roman" w:hAnsi="Times New Roman" w:cs="Times New Roman"/>
                <w:b/>
                <w:bCs/>
                <w:lang w:val="en-US" w:eastAsia="id-ID"/>
              </w:rPr>
              <w:t>5</w:t>
            </w:r>
            <w:r w:rsidRPr="0016793F">
              <w:rPr>
                <w:rFonts w:ascii="Times New Roman" w:eastAsia="Times New Roman" w:hAnsi="Times New Roman" w:cs="Times New Roman"/>
                <w:b/>
                <w:bCs/>
                <w:lang w:eastAsia="id-ID"/>
              </w:rPr>
              <w:t xml:space="preserve"> </w:t>
            </w:r>
            <w:r w:rsidR="0078062A" w:rsidRPr="0016793F">
              <w:rPr>
                <w:rFonts w:ascii="Times New Roman" w:eastAsia="Times New Roman" w:hAnsi="Times New Roman" w:cs="Times New Roman"/>
                <w:b/>
                <w:bCs/>
                <w:lang w:val="en-US" w:eastAsia="id-ID"/>
              </w:rPr>
              <w:t>is true</w:t>
            </w:r>
          </w:p>
        </w:tc>
        <w:tc>
          <w:tcPr>
            <w:tcW w:w="991" w:type="dxa"/>
          </w:tcPr>
          <w:p w14:paraId="63C1CFE1" w14:textId="7CC8B171" w:rsidR="00ED5479" w:rsidRPr="0016793F" w:rsidRDefault="0078062A" w:rsidP="00D0709A">
            <w:pPr>
              <w:jc w:val="center"/>
              <w:rPr>
                <w:rFonts w:ascii="Times New Roman" w:hAnsi="Times New Roman" w:cs="Times New Roman"/>
                <w:b/>
                <w:bCs/>
                <w:lang w:val="en-US"/>
              </w:rPr>
            </w:pPr>
            <w:r w:rsidRPr="0016793F">
              <w:rPr>
                <w:rFonts w:ascii="Times New Roman" w:hAnsi="Times New Roman" w:cs="Times New Roman"/>
                <w:b/>
                <w:bCs/>
                <w:lang w:val="en-US"/>
              </w:rPr>
              <w:t xml:space="preserve">It’s all </w:t>
            </w:r>
            <w:r w:rsidRPr="0016793F">
              <w:rPr>
                <w:rFonts w:ascii="Times New Roman" w:eastAsia="Times New Roman" w:hAnsi="Times New Roman" w:cs="Times New Roman"/>
                <w:b/>
                <w:bCs/>
                <w:lang w:val="en-US" w:eastAsia="id-ID"/>
              </w:rPr>
              <w:t>true</w:t>
            </w:r>
          </w:p>
        </w:tc>
      </w:tr>
      <w:tr w:rsidR="0016793F" w:rsidRPr="0016793F" w14:paraId="61D2FB41" w14:textId="77777777" w:rsidTr="00A01F09">
        <w:trPr>
          <w:trHeight w:val="1933"/>
        </w:trPr>
        <w:tc>
          <w:tcPr>
            <w:tcW w:w="5382" w:type="dxa"/>
          </w:tcPr>
          <w:p w14:paraId="4007E2A0" w14:textId="7DF8C2D5" w:rsidR="00ED5479" w:rsidRPr="0016793F" w:rsidRDefault="00D0709A" w:rsidP="00EF2130">
            <w:pPr>
              <w:rPr>
                <w:rFonts w:ascii="Times New Roman" w:eastAsia="Times New Roman" w:hAnsi="Times New Roman" w:cs="Times New Roman"/>
                <w:lang w:eastAsia="id-ID"/>
              </w:rPr>
            </w:pPr>
            <w:proofErr w:type="spellStart"/>
            <w:r w:rsidRPr="0016793F">
              <w:rPr>
                <w:rFonts w:ascii="Times New Roman" w:eastAsia="Times New Roman" w:hAnsi="Times New Roman" w:cs="Times New Roman"/>
                <w:lang w:eastAsia="id-ID"/>
              </w:rPr>
              <w:t>Which</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of</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the</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following</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themes</w:t>
            </w:r>
            <w:proofErr w:type="spellEnd"/>
            <w:r w:rsidRPr="0016793F">
              <w:rPr>
                <w:rFonts w:ascii="Times New Roman" w:eastAsia="Times New Roman" w:hAnsi="Times New Roman" w:cs="Times New Roman"/>
                <w:lang w:eastAsia="id-ID"/>
              </w:rPr>
              <w:t xml:space="preserve"> are </w:t>
            </w:r>
            <w:proofErr w:type="spellStart"/>
            <w:r w:rsidRPr="0016793F">
              <w:rPr>
                <w:rFonts w:ascii="Times New Roman" w:eastAsia="Times New Roman" w:hAnsi="Times New Roman" w:cs="Times New Roman"/>
                <w:lang w:eastAsia="id-ID"/>
              </w:rPr>
              <w:t>relevant</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to</w:t>
            </w:r>
            <w:proofErr w:type="spellEnd"/>
            <w:r w:rsidRPr="0016793F">
              <w:rPr>
                <w:rFonts w:ascii="Times New Roman" w:eastAsia="Times New Roman" w:hAnsi="Times New Roman" w:cs="Times New Roman"/>
                <w:lang w:eastAsia="id-ID"/>
              </w:rPr>
              <w:t xml:space="preserve"> 21st Century </w:t>
            </w:r>
            <w:proofErr w:type="spellStart"/>
            <w:r w:rsidRPr="0016793F">
              <w:rPr>
                <w:rFonts w:ascii="Times New Roman" w:eastAsia="Times New Roman" w:hAnsi="Times New Roman" w:cs="Times New Roman"/>
                <w:lang w:eastAsia="id-ID"/>
              </w:rPr>
              <w:t>Learning</w:t>
            </w:r>
            <w:proofErr w:type="spellEnd"/>
            <w:r w:rsidR="00ED5479" w:rsidRPr="0016793F">
              <w:rPr>
                <w:rFonts w:ascii="Times New Roman" w:eastAsia="Times New Roman" w:hAnsi="Times New Roman" w:cs="Times New Roman"/>
                <w:lang w:eastAsia="id-ID"/>
              </w:rPr>
              <w:t>:</w:t>
            </w:r>
          </w:p>
          <w:p w14:paraId="098DEEDE" w14:textId="77777777" w:rsidR="00ED5479" w:rsidRPr="0016793F" w:rsidRDefault="00ED5479" w:rsidP="00EF2130">
            <w:pPr>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 xml:space="preserve">1. Global </w:t>
            </w:r>
            <w:proofErr w:type="spellStart"/>
            <w:r w:rsidRPr="0016793F">
              <w:rPr>
                <w:rFonts w:ascii="Times New Roman" w:eastAsia="Times New Roman" w:hAnsi="Times New Roman" w:cs="Times New Roman"/>
                <w:lang w:eastAsia="id-ID"/>
              </w:rPr>
              <w:t>Awareness</w:t>
            </w:r>
            <w:proofErr w:type="spellEnd"/>
            <w:r w:rsidRPr="0016793F">
              <w:rPr>
                <w:rFonts w:ascii="Times New Roman" w:eastAsia="Times New Roman" w:hAnsi="Times New Roman" w:cs="Times New Roman"/>
                <w:lang w:eastAsia="id-ID"/>
              </w:rPr>
              <w:t xml:space="preserve"> </w:t>
            </w:r>
          </w:p>
          <w:p w14:paraId="25116CDA" w14:textId="77777777" w:rsidR="00ED5479" w:rsidRPr="0016793F" w:rsidRDefault="00ED5479" w:rsidP="00EF2130">
            <w:pPr>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 xml:space="preserve">2. Financial </w:t>
            </w:r>
            <w:proofErr w:type="spellStart"/>
            <w:r w:rsidRPr="0016793F">
              <w:rPr>
                <w:rFonts w:ascii="Times New Roman" w:eastAsia="Times New Roman" w:hAnsi="Times New Roman" w:cs="Times New Roman"/>
                <w:lang w:eastAsia="id-ID"/>
              </w:rPr>
              <w:t>Literacy</w:t>
            </w:r>
            <w:proofErr w:type="spellEnd"/>
            <w:r w:rsidRPr="0016793F">
              <w:rPr>
                <w:rFonts w:ascii="Times New Roman" w:eastAsia="Times New Roman" w:hAnsi="Times New Roman" w:cs="Times New Roman"/>
                <w:lang w:eastAsia="id-ID"/>
              </w:rPr>
              <w:t xml:space="preserve"> </w:t>
            </w:r>
          </w:p>
          <w:p w14:paraId="2889B57F" w14:textId="77777777" w:rsidR="00ED5479" w:rsidRPr="0016793F" w:rsidRDefault="00ED5479" w:rsidP="00EF2130">
            <w:pPr>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 xml:space="preserve">3. </w:t>
            </w:r>
            <w:proofErr w:type="spellStart"/>
            <w:r w:rsidRPr="0016793F">
              <w:rPr>
                <w:rFonts w:ascii="Times New Roman" w:eastAsia="Times New Roman" w:hAnsi="Times New Roman" w:cs="Times New Roman"/>
                <w:lang w:eastAsia="id-ID"/>
              </w:rPr>
              <w:t>Civic</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Literacy</w:t>
            </w:r>
            <w:proofErr w:type="spellEnd"/>
            <w:r w:rsidRPr="0016793F">
              <w:rPr>
                <w:rFonts w:ascii="Times New Roman" w:eastAsia="Times New Roman" w:hAnsi="Times New Roman" w:cs="Times New Roman"/>
                <w:lang w:eastAsia="id-ID"/>
              </w:rPr>
              <w:t xml:space="preserve"> </w:t>
            </w:r>
          </w:p>
          <w:p w14:paraId="46049BDC" w14:textId="77777777" w:rsidR="00ED5479" w:rsidRPr="0016793F" w:rsidRDefault="00ED5479" w:rsidP="00EF2130">
            <w:pPr>
              <w:rPr>
                <w:rFonts w:ascii="Times New Roman" w:eastAsia="Times New Roman" w:hAnsi="Times New Roman" w:cs="Times New Roman"/>
                <w:lang w:eastAsia="id-ID"/>
              </w:rPr>
            </w:pPr>
            <w:r w:rsidRPr="0016793F">
              <w:rPr>
                <w:rFonts w:ascii="Times New Roman" w:eastAsia="Times New Roman" w:hAnsi="Times New Roman" w:cs="Times New Roman"/>
                <w:lang w:eastAsia="id-ID"/>
              </w:rPr>
              <w:t xml:space="preserve">4. </w:t>
            </w:r>
            <w:proofErr w:type="spellStart"/>
            <w:r w:rsidRPr="0016793F">
              <w:rPr>
                <w:rFonts w:ascii="Times New Roman" w:eastAsia="Times New Roman" w:hAnsi="Times New Roman" w:cs="Times New Roman"/>
                <w:lang w:eastAsia="id-ID"/>
              </w:rPr>
              <w:t>Health</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Literacy</w:t>
            </w:r>
            <w:proofErr w:type="spellEnd"/>
            <w:r w:rsidRPr="0016793F">
              <w:rPr>
                <w:rFonts w:ascii="Times New Roman" w:eastAsia="Times New Roman" w:hAnsi="Times New Roman" w:cs="Times New Roman"/>
                <w:lang w:eastAsia="id-ID"/>
              </w:rPr>
              <w:t xml:space="preserve"> </w:t>
            </w:r>
          </w:p>
          <w:p w14:paraId="39DC0EC7" w14:textId="77777777" w:rsidR="00ED5479" w:rsidRPr="0016793F" w:rsidRDefault="00ED5479" w:rsidP="00EF2130">
            <w:pPr>
              <w:rPr>
                <w:rFonts w:ascii="Times New Roman" w:hAnsi="Times New Roman" w:cs="Times New Roman"/>
                <w:lang w:val="en-US"/>
              </w:rPr>
            </w:pPr>
            <w:r w:rsidRPr="0016793F">
              <w:rPr>
                <w:rFonts w:ascii="Times New Roman" w:eastAsia="Times New Roman" w:hAnsi="Times New Roman" w:cs="Times New Roman"/>
                <w:lang w:eastAsia="id-ID"/>
              </w:rPr>
              <w:t xml:space="preserve">5. </w:t>
            </w:r>
            <w:proofErr w:type="spellStart"/>
            <w:r w:rsidRPr="0016793F">
              <w:rPr>
                <w:rFonts w:ascii="Times New Roman" w:eastAsia="Times New Roman" w:hAnsi="Times New Roman" w:cs="Times New Roman"/>
                <w:lang w:eastAsia="id-ID"/>
              </w:rPr>
              <w:t>Environmental</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Literacy</w:t>
            </w:r>
            <w:proofErr w:type="spellEnd"/>
          </w:p>
        </w:tc>
        <w:tc>
          <w:tcPr>
            <w:tcW w:w="992" w:type="dxa"/>
            <w:vAlign w:val="center"/>
          </w:tcPr>
          <w:p w14:paraId="4A2FC98D"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20%</w:t>
            </w:r>
          </w:p>
          <w:p w14:paraId="2653F739"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(31)</w:t>
            </w:r>
          </w:p>
        </w:tc>
        <w:tc>
          <w:tcPr>
            <w:tcW w:w="992" w:type="dxa"/>
            <w:vAlign w:val="center"/>
          </w:tcPr>
          <w:p w14:paraId="7E4006BE"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6,45%</w:t>
            </w:r>
          </w:p>
          <w:p w14:paraId="794F9A56"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(10)</w:t>
            </w:r>
          </w:p>
        </w:tc>
        <w:tc>
          <w:tcPr>
            <w:tcW w:w="993" w:type="dxa"/>
            <w:vAlign w:val="center"/>
          </w:tcPr>
          <w:p w14:paraId="7DE0C40F"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7,74</w:t>
            </w:r>
          </w:p>
          <w:p w14:paraId="32CE662A"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(12)</w:t>
            </w:r>
          </w:p>
        </w:tc>
        <w:tc>
          <w:tcPr>
            <w:tcW w:w="991" w:type="dxa"/>
            <w:vAlign w:val="center"/>
          </w:tcPr>
          <w:p w14:paraId="333236B2"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65,81</w:t>
            </w:r>
          </w:p>
          <w:p w14:paraId="2869118C" w14:textId="77777777" w:rsidR="00ED5479" w:rsidRPr="0016793F" w:rsidRDefault="00ED5479" w:rsidP="00EF2130">
            <w:pPr>
              <w:jc w:val="center"/>
              <w:rPr>
                <w:rFonts w:ascii="Times New Roman" w:hAnsi="Times New Roman" w:cs="Times New Roman"/>
                <w:lang w:val="en-US"/>
              </w:rPr>
            </w:pPr>
            <w:r w:rsidRPr="0016793F">
              <w:rPr>
                <w:rFonts w:ascii="Times New Roman" w:hAnsi="Times New Roman" w:cs="Times New Roman"/>
                <w:lang w:val="en-US"/>
              </w:rPr>
              <w:t>(102)</w:t>
            </w:r>
          </w:p>
        </w:tc>
      </w:tr>
    </w:tbl>
    <w:p w14:paraId="4CE39B32" w14:textId="31A37594" w:rsidR="00ED5479" w:rsidRPr="0016793F" w:rsidRDefault="00ED5479" w:rsidP="00ED5479">
      <w:pPr>
        <w:pStyle w:val="BodytextIndented"/>
        <w:ind w:firstLine="0"/>
        <w:rPr>
          <w:color w:val="auto"/>
          <w:lang w:val="en-GB" w:eastAsia="id-ID"/>
        </w:rPr>
      </w:pPr>
    </w:p>
    <w:p w14:paraId="66E26E01" w14:textId="6FC7A6A4" w:rsidR="00ED5479" w:rsidRPr="0016793F" w:rsidRDefault="005B59B5" w:rsidP="005B7F0B">
      <w:pPr>
        <w:pStyle w:val="BodytextIndented"/>
        <w:spacing w:after="120"/>
        <w:ind w:firstLine="0"/>
        <w:rPr>
          <w:color w:val="auto"/>
          <w:lang w:val="en-GB" w:eastAsia="id-ID"/>
        </w:rPr>
      </w:pPr>
      <w:r w:rsidRPr="0016793F">
        <w:rPr>
          <w:b/>
          <w:bCs/>
          <w:color w:val="auto"/>
          <w:lang w:val="en-GB" w:eastAsia="id-ID"/>
        </w:rPr>
        <w:t>Table 3</w:t>
      </w:r>
      <w:r w:rsidRPr="0016793F">
        <w:rPr>
          <w:color w:val="auto"/>
          <w:lang w:val="en-GB" w:eastAsia="id-ID"/>
        </w:rPr>
        <w:t>.</w:t>
      </w:r>
      <w:r w:rsidRPr="0016793F">
        <w:rPr>
          <w:b/>
          <w:bCs/>
          <w:color w:val="auto"/>
          <w:lang w:val="en-GB" w:eastAsia="id-ID"/>
        </w:rPr>
        <w:t xml:space="preserve"> </w:t>
      </w:r>
      <w:r w:rsidR="005F337E" w:rsidRPr="0016793F">
        <w:rPr>
          <w:color w:val="auto"/>
          <w:lang w:val="en-GB" w:eastAsia="id-ID"/>
        </w:rPr>
        <w:t>Result</w:t>
      </w:r>
      <w:r w:rsidR="005F337E" w:rsidRPr="0016793F">
        <w:rPr>
          <w:rFonts w:ascii="Times New Roman" w:hAnsi="Times New Roman"/>
          <w:color w:val="auto"/>
        </w:rPr>
        <w:t xml:space="preserve"> about digital security and responsibility</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757"/>
        <w:gridCol w:w="977"/>
        <w:gridCol w:w="1157"/>
        <w:gridCol w:w="1035"/>
        <w:gridCol w:w="1145"/>
      </w:tblGrid>
      <w:tr w:rsidR="0016793F" w:rsidRPr="0016793F" w14:paraId="4526FC60" w14:textId="77777777" w:rsidTr="0041171F">
        <w:tc>
          <w:tcPr>
            <w:tcW w:w="5382" w:type="dxa"/>
            <w:vAlign w:val="center"/>
          </w:tcPr>
          <w:p w14:paraId="1400A8B3" w14:textId="67DE0D49" w:rsidR="00ED5479" w:rsidRPr="0016793F" w:rsidRDefault="002531F6" w:rsidP="00EF2130">
            <w:pPr>
              <w:jc w:val="center"/>
              <w:rPr>
                <w:rFonts w:ascii="Times New Roman" w:hAnsi="Times New Roman" w:cs="Times New Roman"/>
                <w:b/>
                <w:bCs/>
                <w:lang w:val="en-US"/>
              </w:rPr>
            </w:pPr>
            <w:r w:rsidRPr="0016793F">
              <w:rPr>
                <w:rFonts w:ascii="Times New Roman" w:hAnsi="Times New Roman" w:cs="Times New Roman"/>
                <w:b/>
                <w:bCs/>
                <w:lang w:val="en-US"/>
              </w:rPr>
              <w:t xml:space="preserve">Statement </w:t>
            </w:r>
          </w:p>
        </w:tc>
        <w:tc>
          <w:tcPr>
            <w:tcW w:w="992" w:type="dxa"/>
            <w:vAlign w:val="center"/>
          </w:tcPr>
          <w:p w14:paraId="7854A966" w14:textId="071BE40F" w:rsidR="00ED5479" w:rsidRPr="0016793F" w:rsidRDefault="008B6969" w:rsidP="0041171F">
            <w:pPr>
              <w:jc w:val="center"/>
              <w:rPr>
                <w:rFonts w:ascii="Times New Roman" w:hAnsi="Times New Roman" w:cs="Times New Roman"/>
                <w:b/>
                <w:bCs/>
                <w:lang w:val="en-US"/>
              </w:rPr>
            </w:pPr>
            <w:r w:rsidRPr="0016793F">
              <w:rPr>
                <w:rFonts w:ascii="Times New Roman" w:eastAsia="Times New Roman" w:hAnsi="Times New Roman" w:cs="Times New Roman"/>
                <w:b/>
                <w:bCs/>
                <w:lang w:val="en-US" w:eastAsia="id-ID"/>
              </w:rPr>
              <w:t>Agree</w:t>
            </w:r>
          </w:p>
        </w:tc>
        <w:tc>
          <w:tcPr>
            <w:tcW w:w="992" w:type="dxa"/>
            <w:vAlign w:val="center"/>
          </w:tcPr>
          <w:p w14:paraId="62F3AE1B" w14:textId="3FB2D21E" w:rsidR="00ED5479" w:rsidRPr="0016793F" w:rsidRDefault="008B6969" w:rsidP="0041171F">
            <w:pPr>
              <w:jc w:val="center"/>
              <w:rPr>
                <w:rFonts w:ascii="Times New Roman" w:hAnsi="Times New Roman" w:cs="Times New Roman"/>
                <w:b/>
                <w:bCs/>
                <w:lang w:val="en-US"/>
              </w:rPr>
            </w:pPr>
            <w:r w:rsidRPr="0016793F">
              <w:rPr>
                <w:rFonts w:ascii="Times New Roman" w:eastAsia="Times New Roman" w:hAnsi="Times New Roman" w:cs="Times New Roman"/>
                <w:b/>
                <w:bCs/>
                <w:lang w:val="en-US" w:eastAsia="id-ID"/>
              </w:rPr>
              <w:t>Uncertain</w:t>
            </w:r>
          </w:p>
        </w:tc>
        <w:tc>
          <w:tcPr>
            <w:tcW w:w="993" w:type="dxa"/>
            <w:vAlign w:val="center"/>
          </w:tcPr>
          <w:p w14:paraId="396B2BFC" w14:textId="00BB9AAA" w:rsidR="00ED5479" w:rsidRPr="0016793F" w:rsidRDefault="008B6969" w:rsidP="0041171F">
            <w:pPr>
              <w:jc w:val="center"/>
              <w:rPr>
                <w:rFonts w:ascii="Times New Roman" w:hAnsi="Times New Roman" w:cs="Times New Roman"/>
                <w:b/>
                <w:bCs/>
                <w:lang w:val="en-US"/>
              </w:rPr>
            </w:pPr>
            <w:r w:rsidRPr="0016793F">
              <w:rPr>
                <w:rFonts w:ascii="Times New Roman" w:eastAsia="Times New Roman" w:hAnsi="Times New Roman" w:cs="Times New Roman"/>
                <w:b/>
                <w:bCs/>
                <w:lang w:val="en-US" w:eastAsia="id-ID"/>
              </w:rPr>
              <w:t>Disagree</w:t>
            </w:r>
          </w:p>
        </w:tc>
        <w:tc>
          <w:tcPr>
            <w:tcW w:w="991" w:type="dxa"/>
            <w:vAlign w:val="center"/>
          </w:tcPr>
          <w:p w14:paraId="5F8324C8" w14:textId="76E98FCE" w:rsidR="00ED5479" w:rsidRPr="0016793F" w:rsidRDefault="008B6969" w:rsidP="0041171F">
            <w:pPr>
              <w:jc w:val="center"/>
              <w:rPr>
                <w:rFonts w:ascii="Times New Roman" w:hAnsi="Times New Roman" w:cs="Times New Roman"/>
                <w:b/>
                <w:bCs/>
                <w:lang w:val="en-US"/>
              </w:rPr>
            </w:pPr>
            <w:r w:rsidRPr="0016793F">
              <w:rPr>
                <w:rFonts w:ascii="Times New Roman" w:hAnsi="Times New Roman" w:cs="Times New Roman"/>
                <w:b/>
                <w:bCs/>
                <w:lang w:val="en-US"/>
              </w:rPr>
              <w:t>Not interested</w:t>
            </w:r>
          </w:p>
        </w:tc>
      </w:tr>
      <w:tr w:rsidR="0016793F" w:rsidRPr="0016793F" w14:paraId="5F8CE7BF" w14:textId="77777777" w:rsidTr="00A01F09">
        <w:trPr>
          <w:trHeight w:val="1365"/>
        </w:trPr>
        <w:tc>
          <w:tcPr>
            <w:tcW w:w="5382" w:type="dxa"/>
          </w:tcPr>
          <w:p w14:paraId="03ACC20D" w14:textId="751E97E9" w:rsidR="00ED5479" w:rsidRPr="0016793F" w:rsidRDefault="0078062A" w:rsidP="00EF2130">
            <w:pPr>
              <w:rPr>
                <w:rFonts w:ascii="Times New Roman" w:hAnsi="Times New Roman" w:cs="Times New Roman"/>
                <w:lang w:val="en-US"/>
              </w:rPr>
            </w:pPr>
            <w:proofErr w:type="spellStart"/>
            <w:r w:rsidRPr="0016793F">
              <w:rPr>
                <w:rFonts w:ascii="Times New Roman" w:eastAsia="Times New Roman" w:hAnsi="Times New Roman" w:cs="Times New Roman"/>
                <w:lang w:eastAsia="id-ID"/>
              </w:rPr>
              <w:t>It</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is</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very</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important</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to</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understand</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the</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latest</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technology</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and</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it</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is</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very</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necessary</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to</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use</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it</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for</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the</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prosperity</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of</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educational</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outcomes</w:t>
            </w:r>
            <w:proofErr w:type="spellEnd"/>
            <w:r w:rsidRPr="0016793F">
              <w:rPr>
                <w:rFonts w:ascii="Times New Roman" w:eastAsia="Times New Roman" w:hAnsi="Times New Roman" w:cs="Times New Roman"/>
                <w:lang w:eastAsia="id-ID"/>
              </w:rPr>
              <w:t xml:space="preserve"> in </w:t>
            </w:r>
            <w:proofErr w:type="spellStart"/>
            <w:r w:rsidRPr="0016793F">
              <w:rPr>
                <w:rFonts w:ascii="Times New Roman" w:eastAsia="Times New Roman" w:hAnsi="Times New Roman" w:cs="Times New Roman"/>
                <w:lang w:eastAsia="id-ID"/>
              </w:rPr>
              <w:t>the</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future</w:t>
            </w:r>
            <w:proofErr w:type="spellEnd"/>
            <w:r w:rsidRPr="0016793F">
              <w:rPr>
                <w:rFonts w:ascii="Times New Roman" w:eastAsia="Times New Roman" w:hAnsi="Times New Roman" w:cs="Times New Roman"/>
                <w:lang w:eastAsia="id-ID"/>
              </w:rPr>
              <w:t xml:space="preserve">. Technology </w:t>
            </w:r>
            <w:proofErr w:type="spellStart"/>
            <w:r w:rsidRPr="0016793F">
              <w:rPr>
                <w:rFonts w:ascii="Times New Roman" w:eastAsia="Times New Roman" w:hAnsi="Times New Roman" w:cs="Times New Roman"/>
                <w:lang w:eastAsia="id-ID"/>
              </w:rPr>
              <w:t>integration</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into</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the</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lecture</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process</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is</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very</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important</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to</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do</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well</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and</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wisely</w:t>
            </w:r>
            <w:proofErr w:type="spellEnd"/>
          </w:p>
        </w:tc>
        <w:tc>
          <w:tcPr>
            <w:tcW w:w="992" w:type="dxa"/>
            <w:vAlign w:val="center"/>
          </w:tcPr>
          <w:p w14:paraId="159D11AA" w14:textId="41D25D37" w:rsidR="00ED5479" w:rsidRPr="0016793F" w:rsidRDefault="00375833" w:rsidP="0041171F">
            <w:pPr>
              <w:jc w:val="center"/>
              <w:rPr>
                <w:rFonts w:ascii="Times New Roman" w:hAnsi="Times New Roman" w:cs="Times New Roman"/>
                <w:lang w:val="en-US"/>
              </w:rPr>
            </w:pPr>
            <w:r w:rsidRPr="0016793F">
              <w:rPr>
                <w:rFonts w:ascii="Times New Roman" w:hAnsi="Times New Roman" w:cs="Times New Roman"/>
                <w:lang w:val="en-US"/>
              </w:rPr>
              <w:t>76,77</w:t>
            </w:r>
            <w:r w:rsidR="008B6969" w:rsidRPr="0016793F">
              <w:rPr>
                <w:rFonts w:ascii="Times New Roman" w:hAnsi="Times New Roman" w:cs="Times New Roman"/>
                <w:lang w:val="en-US"/>
              </w:rPr>
              <w:t>%</w:t>
            </w:r>
          </w:p>
        </w:tc>
        <w:tc>
          <w:tcPr>
            <w:tcW w:w="992" w:type="dxa"/>
            <w:vAlign w:val="center"/>
          </w:tcPr>
          <w:p w14:paraId="45BB6F4A" w14:textId="3E4EDF06" w:rsidR="00ED5479" w:rsidRPr="0016793F" w:rsidRDefault="00375833" w:rsidP="0041171F">
            <w:pPr>
              <w:jc w:val="center"/>
              <w:rPr>
                <w:rFonts w:ascii="Times New Roman" w:hAnsi="Times New Roman" w:cs="Times New Roman"/>
                <w:lang w:val="en-US"/>
              </w:rPr>
            </w:pPr>
            <w:r w:rsidRPr="0016793F">
              <w:rPr>
                <w:rFonts w:ascii="Times New Roman" w:hAnsi="Times New Roman" w:cs="Times New Roman"/>
                <w:lang w:val="en-US"/>
              </w:rPr>
              <w:t>20,65</w:t>
            </w:r>
            <w:r w:rsidR="008B6969" w:rsidRPr="0016793F">
              <w:rPr>
                <w:rFonts w:ascii="Times New Roman" w:hAnsi="Times New Roman" w:cs="Times New Roman"/>
                <w:lang w:val="en-US"/>
              </w:rPr>
              <w:t>%</w:t>
            </w:r>
          </w:p>
        </w:tc>
        <w:tc>
          <w:tcPr>
            <w:tcW w:w="993" w:type="dxa"/>
            <w:vAlign w:val="center"/>
          </w:tcPr>
          <w:p w14:paraId="42A93D21" w14:textId="72CEAD10" w:rsidR="00ED5479" w:rsidRPr="0016793F" w:rsidRDefault="00375833" w:rsidP="0041171F">
            <w:pPr>
              <w:jc w:val="center"/>
              <w:rPr>
                <w:rFonts w:ascii="Times New Roman" w:hAnsi="Times New Roman" w:cs="Times New Roman"/>
                <w:lang w:val="en-US"/>
              </w:rPr>
            </w:pPr>
            <w:r w:rsidRPr="0016793F">
              <w:rPr>
                <w:rFonts w:ascii="Times New Roman" w:hAnsi="Times New Roman" w:cs="Times New Roman"/>
                <w:lang w:val="en-US"/>
              </w:rPr>
              <w:t>0,65</w:t>
            </w:r>
            <w:r w:rsidR="008B6969" w:rsidRPr="0016793F">
              <w:rPr>
                <w:rFonts w:ascii="Times New Roman" w:hAnsi="Times New Roman" w:cs="Times New Roman"/>
                <w:lang w:val="en-US"/>
              </w:rPr>
              <w:t>%</w:t>
            </w:r>
          </w:p>
        </w:tc>
        <w:tc>
          <w:tcPr>
            <w:tcW w:w="991" w:type="dxa"/>
            <w:vAlign w:val="center"/>
          </w:tcPr>
          <w:p w14:paraId="719AED42" w14:textId="7DD22E61" w:rsidR="00ED5479" w:rsidRPr="0016793F" w:rsidRDefault="00375833" w:rsidP="0041171F">
            <w:pPr>
              <w:jc w:val="center"/>
              <w:rPr>
                <w:rFonts w:ascii="Times New Roman" w:hAnsi="Times New Roman" w:cs="Times New Roman"/>
                <w:lang w:val="en-US"/>
              </w:rPr>
            </w:pPr>
            <w:r w:rsidRPr="0016793F">
              <w:rPr>
                <w:rFonts w:ascii="Times New Roman" w:hAnsi="Times New Roman" w:cs="Times New Roman"/>
                <w:lang w:val="en-US"/>
              </w:rPr>
              <w:t>1,94</w:t>
            </w:r>
            <w:r w:rsidR="008B6969" w:rsidRPr="0016793F">
              <w:rPr>
                <w:rFonts w:ascii="Times New Roman" w:hAnsi="Times New Roman" w:cs="Times New Roman"/>
                <w:lang w:val="en-US"/>
              </w:rPr>
              <w:t>%</w:t>
            </w:r>
          </w:p>
        </w:tc>
      </w:tr>
      <w:tr w:rsidR="0016793F" w:rsidRPr="0016793F" w14:paraId="06707837" w14:textId="77777777" w:rsidTr="00A01F09">
        <w:trPr>
          <w:trHeight w:val="1370"/>
        </w:trPr>
        <w:tc>
          <w:tcPr>
            <w:tcW w:w="5382" w:type="dxa"/>
          </w:tcPr>
          <w:p w14:paraId="3BA38472" w14:textId="04675789" w:rsidR="00ED5479" w:rsidRPr="0016793F" w:rsidRDefault="00525FA0" w:rsidP="00EF2130">
            <w:pPr>
              <w:rPr>
                <w:rFonts w:ascii="Times New Roman" w:eastAsia="Times New Roman" w:hAnsi="Times New Roman" w:cs="Times New Roman"/>
                <w:lang w:val="en-US" w:eastAsia="id-ID"/>
              </w:rPr>
            </w:pPr>
            <w:r w:rsidRPr="0016793F">
              <w:rPr>
                <w:rFonts w:ascii="Times New Roman" w:eastAsia="Times New Roman" w:hAnsi="Times New Roman" w:cs="Times New Roman"/>
                <w:lang w:eastAsia="id-ID"/>
              </w:rPr>
              <w:t xml:space="preserve">Technology has </w:t>
            </w:r>
            <w:proofErr w:type="spellStart"/>
            <w:r w:rsidRPr="0016793F">
              <w:rPr>
                <w:rFonts w:ascii="Times New Roman" w:eastAsia="Times New Roman" w:hAnsi="Times New Roman" w:cs="Times New Roman"/>
                <w:lang w:eastAsia="id-ID"/>
              </w:rPr>
              <w:t>opened</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up</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possibilities</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for</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learning</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new</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skills</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and</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new</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cultures</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so</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that</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the</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millennial</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generation</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is</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responsible</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for</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understanding</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and</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maximizing</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the</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potential</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of</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technological</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developments</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and</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warding</w:t>
            </w:r>
            <w:proofErr w:type="spellEnd"/>
            <w:r w:rsidRPr="0016793F">
              <w:rPr>
                <w:rFonts w:ascii="Times New Roman" w:eastAsia="Times New Roman" w:hAnsi="Times New Roman" w:cs="Times New Roman"/>
                <w:lang w:eastAsia="id-ID"/>
              </w:rPr>
              <w:t xml:space="preserve"> </w:t>
            </w:r>
            <w:proofErr w:type="spellStart"/>
            <w:r w:rsidRPr="0016793F">
              <w:rPr>
                <w:rFonts w:ascii="Times New Roman" w:eastAsia="Times New Roman" w:hAnsi="Times New Roman" w:cs="Times New Roman"/>
                <w:lang w:eastAsia="id-ID"/>
              </w:rPr>
              <w:t>off</w:t>
            </w:r>
            <w:proofErr w:type="spellEnd"/>
            <w:r w:rsidRPr="0016793F">
              <w:rPr>
                <w:rFonts w:ascii="Times New Roman" w:eastAsia="Times New Roman" w:hAnsi="Times New Roman" w:cs="Times New Roman"/>
                <w:lang w:eastAsia="id-ID"/>
              </w:rPr>
              <w:t xml:space="preserve"> bad </w:t>
            </w:r>
            <w:proofErr w:type="spellStart"/>
            <w:r w:rsidRPr="0016793F">
              <w:rPr>
                <w:rFonts w:ascii="Times New Roman" w:eastAsia="Times New Roman" w:hAnsi="Times New Roman" w:cs="Times New Roman"/>
                <w:lang w:eastAsia="id-ID"/>
              </w:rPr>
              <w:t>influences</w:t>
            </w:r>
            <w:proofErr w:type="spellEnd"/>
            <w:r w:rsidRPr="0016793F">
              <w:rPr>
                <w:rFonts w:ascii="Times New Roman" w:eastAsia="Times New Roman" w:hAnsi="Times New Roman" w:cs="Times New Roman"/>
                <w:lang w:eastAsia="id-ID"/>
              </w:rPr>
              <w:t>.</w:t>
            </w:r>
          </w:p>
        </w:tc>
        <w:tc>
          <w:tcPr>
            <w:tcW w:w="992" w:type="dxa"/>
            <w:vAlign w:val="center"/>
          </w:tcPr>
          <w:p w14:paraId="0B1CDF23" w14:textId="61BD9A39" w:rsidR="00ED5479" w:rsidRPr="0016793F" w:rsidRDefault="00375833" w:rsidP="0041171F">
            <w:pPr>
              <w:jc w:val="center"/>
              <w:rPr>
                <w:rFonts w:ascii="Times New Roman" w:hAnsi="Times New Roman" w:cs="Times New Roman"/>
                <w:lang w:val="en-US"/>
              </w:rPr>
            </w:pPr>
            <w:r w:rsidRPr="0016793F">
              <w:rPr>
                <w:rFonts w:ascii="Times New Roman" w:hAnsi="Times New Roman" w:cs="Times New Roman"/>
                <w:lang w:val="en-US"/>
              </w:rPr>
              <w:t>72,90</w:t>
            </w:r>
            <w:r w:rsidR="008B6969" w:rsidRPr="0016793F">
              <w:rPr>
                <w:rFonts w:ascii="Times New Roman" w:hAnsi="Times New Roman" w:cs="Times New Roman"/>
                <w:lang w:val="en-US"/>
              </w:rPr>
              <w:t>%</w:t>
            </w:r>
          </w:p>
        </w:tc>
        <w:tc>
          <w:tcPr>
            <w:tcW w:w="992" w:type="dxa"/>
            <w:vAlign w:val="center"/>
          </w:tcPr>
          <w:p w14:paraId="6DA8ED65" w14:textId="2083220A" w:rsidR="00ED5479" w:rsidRPr="0016793F" w:rsidRDefault="00375833" w:rsidP="0041171F">
            <w:pPr>
              <w:jc w:val="center"/>
              <w:rPr>
                <w:rFonts w:ascii="Times New Roman" w:hAnsi="Times New Roman" w:cs="Times New Roman"/>
                <w:lang w:val="en-US"/>
              </w:rPr>
            </w:pPr>
            <w:r w:rsidRPr="0016793F">
              <w:rPr>
                <w:rFonts w:ascii="Times New Roman" w:hAnsi="Times New Roman" w:cs="Times New Roman"/>
                <w:lang w:val="en-US"/>
              </w:rPr>
              <w:t>25,81</w:t>
            </w:r>
            <w:r w:rsidR="008B6969" w:rsidRPr="0016793F">
              <w:rPr>
                <w:rFonts w:ascii="Times New Roman" w:hAnsi="Times New Roman" w:cs="Times New Roman"/>
                <w:lang w:val="en-US"/>
              </w:rPr>
              <w:t>%</w:t>
            </w:r>
          </w:p>
        </w:tc>
        <w:tc>
          <w:tcPr>
            <w:tcW w:w="993" w:type="dxa"/>
            <w:vAlign w:val="center"/>
          </w:tcPr>
          <w:p w14:paraId="04A837ED" w14:textId="02FF8AF9" w:rsidR="00ED5479" w:rsidRPr="0016793F" w:rsidRDefault="00375833" w:rsidP="0041171F">
            <w:pPr>
              <w:jc w:val="center"/>
              <w:rPr>
                <w:rFonts w:ascii="Times New Roman" w:hAnsi="Times New Roman" w:cs="Times New Roman"/>
                <w:lang w:val="en-US"/>
              </w:rPr>
            </w:pPr>
            <w:r w:rsidRPr="0016793F">
              <w:rPr>
                <w:rFonts w:ascii="Times New Roman" w:hAnsi="Times New Roman" w:cs="Times New Roman"/>
                <w:lang w:val="en-US"/>
              </w:rPr>
              <w:t>0</w:t>
            </w:r>
            <w:r w:rsidR="008B6969" w:rsidRPr="0016793F">
              <w:rPr>
                <w:rFonts w:ascii="Times New Roman" w:hAnsi="Times New Roman" w:cs="Times New Roman"/>
                <w:lang w:val="en-US"/>
              </w:rPr>
              <w:t>%</w:t>
            </w:r>
          </w:p>
        </w:tc>
        <w:tc>
          <w:tcPr>
            <w:tcW w:w="991" w:type="dxa"/>
            <w:vAlign w:val="center"/>
          </w:tcPr>
          <w:p w14:paraId="447638DE" w14:textId="3384A6CB" w:rsidR="00ED5479" w:rsidRPr="0016793F" w:rsidRDefault="00375833" w:rsidP="0041171F">
            <w:pPr>
              <w:jc w:val="center"/>
              <w:rPr>
                <w:rFonts w:ascii="Times New Roman" w:hAnsi="Times New Roman" w:cs="Times New Roman"/>
                <w:lang w:val="en-US"/>
              </w:rPr>
            </w:pPr>
            <w:r w:rsidRPr="0016793F">
              <w:rPr>
                <w:rFonts w:ascii="Times New Roman" w:hAnsi="Times New Roman" w:cs="Times New Roman"/>
                <w:lang w:val="en-US"/>
              </w:rPr>
              <w:t>1,29</w:t>
            </w:r>
            <w:r w:rsidR="008B6969" w:rsidRPr="0016793F">
              <w:rPr>
                <w:rFonts w:ascii="Times New Roman" w:hAnsi="Times New Roman" w:cs="Times New Roman"/>
                <w:lang w:val="en-US"/>
              </w:rPr>
              <w:t>%</w:t>
            </w:r>
          </w:p>
        </w:tc>
      </w:tr>
    </w:tbl>
    <w:p w14:paraId="530F7B79" w14:textId="77777777" w:rsidR="00ED5479" w:rsidRPr="0016793F" w:rsidRDefault="00ED5479" w:rsidP="00ED5479">
      <w:pPr>
        <w:pStyle w:val="BodytextIndented"/>
        <w:ind w:firstLine="0"/>
        <w:rPr>
          <w:color w:val="auto"/>
          <w:lang w:val="en-GB" w:eastAsia="id-ID"/>
        </w:rPr>
      </w:pPr>
    </w:p>
    <w:p w14:paraId="1BE15D89" w14:textId="60315B5D" w:rsidR="00923765" w:rsidRPr="0016793F" w:rsidRDefault="00872467" w:rsidP="00D74E79">
      <w:pPr>
        <w:jc w:val="both"/>
        <w:rPr>
          <w:rFonts w:ascii="Times New Roman" w:hAnsi="Times New Roman"/>
          <w:lang w:val="en-US" w:eastAsia="id-ID"/>
        </w:rPr>
      </w:pPr>
      <w:r w:rsidRPr="0016793F">
        <w:rPr>
          <w:rFonts w:ascii="Times New Roman" w:hAnsi="Times New Roman"/>
        </w:rPr>
        <w:t xml:space="preserve">Based on table 1, table 2, and table 3, majority of students already have initial literacy related to technology, namely a positive attitude towards digital ethics, themes that link technology literacy and global problems, and digital security and responsibility. </w:t>
      </w:r>
      <w:r w:rsidRPr="009D3FA9">
        <w:rPr>
          <w:rFonts w:ascii="Times New Roman" w:hAnsi="Times New Roman"/>
        </w:rPr>
        <w:t xml:space="preserve">When viewed from the perspective of Young and Pearson's technologic literacy, students already have knowledge in aspects of the ways technology shapes human history and people shape technology </w:t>
      </w:r>
      <w:r>
        <w:rPr>
          <w:rFonts w:ascii="Times New Roman" w:hAnsi="Times New Roman"/>
        </w:rPr>
        <w:t>also</w:t>
      </w:r>
      <w:r w:rsidRPr="009D3FA9">
        <w:rPr>
          <w:rFonts w:ascii="Times New Roman" w:hAnsi="Times New Roman"/>
        </w:rPr>
        <w:t xml:space="preserve"> understands that technology reflects the values ​​and culture of society</w:t>
      </w:r>
      <w:r w:rsidRPr="0016793F">
        <w:rPr>
          <w:rFonts w:ascii="Times New Roman" w:hAnsi="Times New Roman"/>
        </w:rPr>
        <w:fldChar w:fldCharType="begin" w:fldLock="1"/>
      </w:r>
      <w:r w:rsidRPr="0016793F">
        <w:rPr>
          <w:rFonts w:ascii="Times New Roman" w:hAnsi="Times New Roman"/>
        </w:rPr>
        <w:instrText>ADDIN CSL_CITATION {"citationItems":[{"id":"ITEM-1","itemData":{"DOI":"10.17226/10250","ISBN":"9780309082624","author":[{"dropping-particle":"","family":"Pearson","given":"Greg","non-dropping-particle":"","parse-names":false,"suffix":""},{"dropping-particle":"","family":"Young","given":"A. Thomas","non-dropping-particle":"","parse-names":false,"suffix":""}],"id":"ITEM-1","issued":{"date-parts":[["2002"]]},"publisher":"National Academies Press","publisher-place":"Washington DC","title":"Technically Speaking: Why All Americans Need to Know More About Technology","type":"book"},"uris":["http://www.mendeley.com/documents/?uuid=ab5a018b-008c-40f7-8819-c3ab470a7d57"]}],"mendeley":{"formattedCitation":"[11]","plainTextFormattedCitation":"[11]","previouslyFormattedCitation":"[11]"},"properties":{"noteIndex":0},"schema":"https://github.com/citation-style-language/schema/raw/master/csl-citation.json"}</w:instrText>
      </w:r>
      <w:r w:rsidRPr="0016793F">
        <w:rPr>
          <w:rFonts w:ascii="Times New Roman" w:hAnsi="Times New Roman"/>
        </w:rPr>
        <w:fldChar w:fldCharType="separate"/>
      </w:r>
      <w:r w:rsidRPr="0016793F">
        <w:rPr>
          <w:rFonts w:ascii="Times New Roman" w:hAnsi="Times New Roman"/>
          <w:noProof/>
        </w:rPr>
        <w:t>[11]</w:t>
      </w:r>
      <w:r w:rsidRPr="0016793F">
        <w:rPr>
          <w:rFonts w:ascii="Times New Roman" w:hAnsi="Times New Roman"/>
        </w:rPr>
        <w:fldChar w:fldCharType="end"/>
      </w:r>
      <w:r>
        <w:rPr>
          <w:rFonts w:ascii="Times New Roman" w:hAnsi="Times New Roman"/>
        </w:rPr>
        <w:t xml:space="preserve">. </w:t>
      </w:r>
      <w:r w:rsidR="00923765" w:rsidRPr="0016793F">
        <w:rPr>
          <w:rFonts w:ascii="Times New Roman" w:hAnsi="Times New Roman"/>
          <w:lang w:val="en-US"/>
        </w:rPr>
        <w:t xml:space="preserve">Technological developments can be used to support </w:t>
      </w:r>
      <w:r w:rsidR="00080954">
        <w:rPr>
          <w:rFonts w:ascii="Times New Roman" w:hAnsi="Times New Roman"/>
          <w:lang w:val="en-US"/>
        </w:rPr>
        <w:t xml:space="preserve">online </w:t>
      </w:r>
      <w:r w:rsidR="00923765" w:rsidRPr="0016793F">
        <w:rPr>
          <w:rFonts w:ascii="Times New Roman" w:hAnsi="Times New Roman"/>
          <w:lang w:val="en-US"/>
        </w:rPr>
        <w:t>learning at home</w:t>
      </w:r>
      <w:r w:rsidR="00923765" w:rsidRPr="0016793F">
        <w:rPr>
          <w:rFonts w:ascii="Times New Roman" w:hAnsi="Times New Roman"/>
          <w:lang w:val="en-US"/>
        </w:rPr>
        <w:fldChar w:fldCharType="begin" w:fldLock="1"/>
      </w:r>
      <w:r w:rsidR="00923765" w:rsidRPr="0016793F">
        <w:rPr>
          <w:rFonts w:ascii="Times New Roman" w:hAnsi="Times New Roman"/>
          <w:lang w:val="en-US"/>
        </w:rPr>
        <w:instrText>ADDIN CSL_CITATION {"citationItems":[{"id":"ITEM-1","itemData":{"DOI":"http://dx.doi.org/10.1680/geot.2008.T.003","ISBN":"3531716735","ISSN":"0926860X","PMID":"23171283","abstract":"Sulfided W/C catalysts prepared from different tungsten precursors (silicotungstic (HSiW), phosphotungstic (HPW), and tungstic (HW) acids) and their Ni-promoted counterparts were used in the simultaneous hydrodesulfurization (HDS) and hydrogenation (HYD) of thiophene and 1-pentene, respectively, at a pressure of 1MPa, at temperatures ranging from 498 to 548Kanda weight hourly spacevelocity of 2.5 h−1.Theactivity results showedthatW/Ccatalystswereactive in hydrogenation but not in hydrodesulfurization at 498 K. The most active monometallic catalyst obtained from HSiW precursorwas five times less active in HDS than in HYD at 548 K. However, when Ni was incorporated to the base W/C system, a large enhancement in catalyst performance was observed irrespective of theWprecursor. Surface analysis of decomposed impregnates revealed that nickel incorporation into W/C catalysts led to a substantial improvement in surface exposure of the tungsten species. For the most active catalyst (from HSiW precursor and promoted with Ni) Ni-SiW, theWexposed on the carbon surface did not change after on-stream operation. On the basis of catalyst structure-activity relationships, it is inferred that this large activity is a direct consequence of the optimum ratio of Ni toW, a large exposure of the active phase of tungsten on the carbon surface, and promotion of WS2 phase by nickel.","author":[{"dropping-particle":"","family":"Crawford","given":"J.","non-dropping-particle":"","parse-names":false,"suffix":""},{"dropping-particle":"","family":"Butler-Henderson","given":"K.","non-dropping-particle":"","parse-names":false,"suffix":""},{"dropping-particle":"","family":"Rudolph","given":"J.","non-dropping-particle":"","parse-names":false,"suffix":""},{"dropping-particle":"","family":"Glowatz","given":"M.","non-dropping-particle":"","parse-names":false,"suffix":""},{"dropping-particle":"","family":"Burton","given":"R.","non-dropping-particle":"","parse-names":false,"suffix":""},{"dropping-particle":"","family":"Paola","given":"M.","non-dropping-particle":"","parse-names":false,"suffix":""},{"dropping-particle":"","family":"Lam","given":"S","non-dropping-particle":"","parse-names":false,"suffix":""}],"container-title":"Journal of Applied Learning &amp; Teaching","id":"ITEM-1","issue":"1","issued":{"date-parts":[["2020"]]},"page":"1-20","title":"COVID-19: 20 Countries' Higher Education Intra-Period Digital Pedagogy Responses Crawford,","type":"article-journal","volume":"3"},"uris":["http://www.mendeley.com/documents/?uuid=49c1aa6f-d91d-496e-a8dd-3944e0902710"]}],"mendeley":{"formattedCitation":"[3]","plainTextFormattedCitation":"[3]","previouslyFormattedCitation":"[3]"},"properties":{"noteIndex":0},"schema":"https://github.com/citation-style-language/schema/raw/master/csl-citation.json"}</w:instrText>
      </w:r>
      <w:r w:rsidR="00923765" w:rsidRPr="0016793F">
        <w:rPr>
          <w:rFonts w:ascii="Times New Roman" w:hAnsi="Times New Roman"/>
          <w:lang w:val="en-US"/>
        </w:rPr>
        <w:fldChar w:fldCharType="separate"/>
      </w:r>
      <w:r w:rsidR="00923765" w:rsidRPr="0016793F">
        <w:rPr>
          <w:rFonts w:ascii="Times New Roman" w:hAnsi="Times New Roman"/>
          <w:noProof/>
          <w:lang w:val="en-US"/>
        </w:rPr>
        <w:t>[3]</w:t>
      </w:r>
      <w:r w:rsidR="00923765" w:rsidRPr="0016793F">
        <w:rPr>
          <w:rFonts w:ascii="Times New Roman" w:hAnsi="Times New Roman"/>
          <w:lang w:val="en-US"/>
        </w:rPr>
        <w:fldChar w:fldCharType="end"/>
      </w:r>
      <w:r w:rsidR="00923765" w:rsidRPr="0016793F">
        <w:rPr>
          <w:rFonts w:ascii="Times New Roman" w:hAnsi="Times New Roman"/>
          <w:lang w:val="en-US"/>
        </w:rPr>
        <w:fldChar w:fldCharType="begin" w:fldLock="1"/>
      </w:r>
      <w:r w:rsidR="00C37F00" w:rsidRPr="0016793F">
        <w:rPr>
          <w:rFonts w:ascii="Times New Roman" w:hAnsi="Times New Roman"/>
          <w:lang w:val="en-US"/>
        </w:rPr>
        <w:instrText>ADDIN CSL_CITATION {"citationItems":[{"id":"ITEM-1","itemData":{"DOI":"10.29333/EJMSTE/7893","ISSN":"13058223","abstract":"With all learning institutions pre-maturely closed on 20 March 2020 and all citizens advised to self-isolate in a bid to control the spread of COVID-19, it was hypothesized that COVID-19 would negatively impact on the performance of students in the 2020 Grade 12 national examinations vis-a-vis mathematics, science and design and technology subjects. An observed steady increase in the number of COVID-19 confirmed cases and the low levels of technology use in secondary schools in Zambia due to limited technology resources signifies a very difficult period in a young country which has just rolled out a nation-wide implementation of STEM education, This study collected data from three teachers at a public secondary school in Chipata District of Eastern Province in the Republic of Zambia. The Head of Department for Mathematics, the Head of Natural Sciences Department and one science teacher were interviewed. Semi-structured interviews via mobile phone were used to collect views of what these specialists thought would be the COVID-19 effects on the general performance of students in their subject areas. Results of this study revealed that there is likely to be a drop in the pass percentage of secondary school students in this year's national examinations if the COVID-19 epidemic is not contained in the shortest possible time considering that the school academic calendar was abruptly disturbed by the early untimely closure of all schools in the country.","author":[{"dropping-particle":"","family":"Sintema","given":"Edgar John","non-dropping-particle":"","parse-names":false,"suffix":""}],"container-title":"Eurasia Journal of Mathematics, Science and Technology Education","id":"ITEM-1","issue":"7","issued":{"date-parts":[["2020"]]},"page":"1-6","title":"Effect of COVID-19 on the performance of grade 12 students: Implications for STEM education","type":"article-journal","volume":"16"},"uris":["http://www.mendeley.com/documents/?uuid=6b8ce4ca-87df-4e96-9069-2dda09f21e87"]}],"mendeley":{"formattedCitation":"[14]","plainTextFormattedCitation":"[14]","previouslyFormattedCitation":"[14]"},"properties":{"noteIndex":0},"schema":"https://github.com/citation-style-language/schema/raw/master/csl-citation.json"}</w:instrText>
      </w:r>
      <w:r w:rsidR="00923765" w:rsidRPr="0016793F">
        <w:rPr>
          <w:rFonts w:ascii="Times New Roman" w:hAnsi="Times New Roman"/>
          <w:lang w:val="en-US"/>
        </w:rPr>
        <w:fldChar w:fldCharType="separate"/>
      </w:r>
      <w:r w:rsidR="00C37F00" w:rsidRPr="0016793F">
        <w:rPr>
          <w:rFonts w:ascii="Times New Roman" w:hAnsi="Times New Roman"/>
          <w:noProof/>
          <w:lang w:val="en-US"/>
        </w:rPr>
        <w:t>[14]</w:t>
      </w:r>
      <w:r w:rsidR="00923765" w:rsidRPr="0016793F">
        <w:rPr>
          <w:rFonts w:ascii="Times New Roman" w:hAnsi="Times New Roman"/>
          <w:lang w:val="en-US"/>
        </w:rPr>
        <w:fldChar w:fldCharType="end"/>
      </w:r>
      <w:r w:rsidR="00923765" w:rsidRPr="0016793F">
        <w:rPr>
          <w:rFonts w:ascii="Times New Roman" w:hAnsi="Times New Roman"/>
          <w:lang w:val="en-US"/>
        </w:rPr>
        <w:t>. Examples of technology that have an impact on education include the internet and Android networks. The internet is used as a learning resource apart from books and educators. The use of Android as a basis for learning media is one of the learning styles in the 21st century</w:t>
      </w:r>
      <w:r w:rsidR="00923765" w:rsidRPr="0016793F">
        <w:rPr>
          <w:rFonts w:ascii="Times New Roman" w:hAnsi="Times New Roman"/>
        </w:rPr>
        <w:fldChar w:fldCharType="begin" w:fldLock="1"/>
      </w:r>
      <w:r w:rsidR="00C37F00" w:rsidRPr="0016793F">
        <w:rPr>
          <w:rFonts w:ascii="Times New Roman" w:hAnsi="Times New Roman"/>
        </w:rPr>
        <w:instrText>ADDIN CSL_CITATION {"citationItems":[{"id":"ITEM-1","itemData":{"abstract":"Great involvement of technology to the people’s daily lives is evident almost everywhere, even in the educational setting. People’s daily existence never ceases to include technology interaction. With the prominent and daily use and integration of technology to a student’s daily routine, utilization of their mobile gadgets for educative purposes can be advantageous both to students and teachers alike. This paper aimed to introduce the use of Android-based e-learning environment to adapt to the learning style of the 21st century learners. As shown in the previous studies, one of the main problems in any e-learning environment is on how to gain and retain the motivation of the learners. In this light, this paper explored the use of ARCS model by John Keller (1988) as a relevant learning pedagogy in the design of the proposed Android-based mobile e-learning. Use of LMS, a local server, and website building applications were used to build the mobile application. Several ways on how to incorporate the four elements of ARCS in the e-learning media were developed based on past researches. KEYWORDS:","author":[{"dropping-particle":"V","family":"Calimag","given":"J A N Nealbert","non-dropping-particle":"","parse-names":false,"suffix":""},{"dropping-particle":"","family":"Miguel","given":"Pamela Anne G","non-dropping-particle":"","parse-names":false,"suffix":""},{"dropping-particle":"","family":"Conde","given":"Romel S","non-dropping-particle":"","parse-names":false,"suffix":""},{"dropping-particle":"","family":"Aquino","given":"Luisa B","non-dropping-particle":"","parse-names":false,"suffix":""}],"container-title":"IMPACT: International Journal of Research in Engineering &amp; Technology","id":"ITEM-1","issue":"2","issued":{"date-parts":[["2014"]]},"page":"119-128","title":"Ubiquitos learning environment using android mobile application","type":"article-journal","volume":"2"},"uris":["http://www.mendeley.com/documents/?uuid=299fcf11-2062-426b-8c43-3953f0bef7f8","http://www.mendeley.com/documents/?uuid=a804f53e-2cc1-41c6-99b2-3b515dff75a4"]}],"mendeley":{"formattedCitation":"[18]","plainTextFormattedCitation":"[18]","previouslyFormattedCitation":"[18]"},"properties":{"noteIndex":0},"schema":"https://github.com/citation-style-language/schema/raw/master/csl-citation.json"}</w:instrText>
      </w:r>
      <w:r w:rsidR="00923765" w:rsidRPr="0016793F">
        <w:rPr>
          <w:rFonts w:ascii="Times New Roman" w:hAnsi="Times New Roman"/>
        </w:rPr>
        <w:fldChar w:fldCharType="separate"/>
      </w:r>
      <w:r w:rsidR="00C37F00" w:rsidRPr="0016793F">
        <w:rPr>
          <w:rFonts w:ascii="Times New Roman" w:hAnsi="Times New Roman"/>
          <w:noProof/>
        </w:rPr>
        <w:t>[18]</w:t>
      </w:r>
      <w:r w:rsidR="00923765" w:rsidRPr="0016793F">
        <w:rPr>
          <w:rFonts w:ascii="Times New Roman" w:hAnsi="Times New Roman"/>
        </w:rPr>
        <w:fldChar w:fldCharType="end"/>
      </w:r>
      <w:r w:rsidR="00923765" w:rsidRPr="0016793F">
        <w:rPr>
          <w:rFonts w:ascii="Times New Roman" w:hAnsi="Times New Roman"/>
        </w:rPr>
        <w:t>.</w:t>
      </w:r>
    </w:p>
    <w:p w14:paraId="00139370" w14:textId="6E8F73BB" w:rsidR="002F5C2B" w:rsidRPr="0016793F" w:rsidRDefault="003531A1" w:rsidP="00923765">
      <w:pPr>
        <w:pStyle w:val="BodytextIndented"/>
        <w:rPr>
          <w:color w:val="auto"/>
          <w:lang w:val="en-GB"/>
        </w:rPr>
      </w:pPr>
      <w:r>
        <w:rPr>
          <w:rFonts w:ascii="Times New Roman" w:hAnsi="Times New Roman"/>
          <w:color w:val="auto"/>
          <w:lang w:eastAsia="id-ID"/>
        </w:rPr>
        <w:t xml:space="preserve">Teachers must help student to reduce </w:t>
      </w:r>
      <w:r w:rsidRPr="003531A1">
        <w:rPr>
          <w:rFonts w:ascii="Times New Roman" w:hAnsi="Times New Roman"/>
          <w:color w:val="auto"/>
          <w:lang w:eastAsia="id-ID"/>
        </w:rPr>
        <w:t>depres</w:t>
      </w:r>
      <w:r>
        <w:rPr>
          <w:rFonts w:ascii="Times New Roman" w:hAnsi="Times New Roman"/>
          <w:color w:val="auto"/>
          <w:lang w:eastAsia="id-ID"/>
        </w:rPr>
        <w:t>s</w:t>
      </w:r>
      <w:r w:rsidRPr="003531A1">
        <w:rPr>
          <w:rFonts w:ascii="Times New Roman" w:hAnsi="Times New Roman"/>
          <w:color w:val="auto"/>
          <w:lang w:eastAsia="id-ID"/>
        </w:rPr>
        <w:t>ion anxiety</w:t>
      </w:r>
      <w:r>
        <w:rPr>
          <w:rFonts w:ascii="Times New Roman" w:hAnsi="Times New Roman"/>
          <w:color w:val="auto"/>
          <w:lang w:eastAsia="id-ID"/>
        </w:rPr>
        <w:t xml:space="preserve">, </w:t>
      </w:r>
      <w:r w:rsidR="004C0DB7">
        <w:rPr>
          <w:rFonts w:ascii="Times New Roman" w:hAnsi="Times New Roman"/>
          <w:color w:val="auto"/>
          <w:lang w:eastAsia="id-ID"/>
        </w:rPr>
        <w:t>boredom, and frustration.</w:t>
      </w:r>
      <w:r>
        <w:rPr>
          <w:rFonts w:ascii="Times New Roman" w:hAnsi="Times New Roman"/>
          <w:color w:val="auto"/>
          <w:lang w:eastAsia="id-ID"/>
        </w:rPr>
        <w:t xml:space="preserve"> </w:t>
      </w:r>
      <w:r w:rsidR="00923765" w:rsidRPr="0016793F">
        <w:rPr>
          <w:rFonts w:ascii="Times New Roman" w:hAnsi="Times New Roman"/>
          <w:color w:val="auto"/>
          <w:lang w:eastAsia="id-ID"/>
        </w:rPr>
        <w:t>Bao mentions the principles of online learning when new normal</w:t>
      </w:r>
      <w:r w:rsidR="00585500" w:rsidRPr="0016793F">
        <w:rPr>
          <w:rFonts w:ascii="Times New Roman" w:hAnsi="Times New Roman"/>
          <w:color w:val="auto"/>
          <w:lang w:eastAsia="id-ID"/>
        </w:rPr>
        <w:fldChar w:fldCharType="begin" w:fldLock="1"/>
      </w:r>
      <w:r w:rsidR="00585500" w:rsidRPr="0016793F">
        <w:rPr>
          <w:rFonts w:ascii="Times New Roman" w:hAnsi="Times New Roman"/>
          <w:color w:val="auto"/>
          <w:lang w:eastAsia="id-ID"/>
        </w:rPr>
        <w:instrText>ADDIN CSL_CITATION {"citationItems":[{"id":"ITEM-1","itemData":{"DOI":"10.1002/hbe2.191","ISSN":"2578-1863","abstract":"Abstract Starting from the spring of 2020, the outbreak of the COVID-19 caused Chinese universities to close the campuses and forced them to initiate online teaching. This paper focuses on a case of Peking University's online education. Six specific instructional strategies are presented to summarize current online teaching experiences for university instructors who might conduct online education in similar circumstances. The study concludes with five high-impact principles for online education: (a) high relevance between online instructional design and student learning, (b) effective delivery on online instructional information, (c) adequate support provided by faculty and teaching assistants to students; (d) high-quality participation to improve the breadth and depth of student's learning, and (e) contingency plan to deal with unexpected incidents of online education platforms.","author":[{"dropping-particle":"","family":"Bao","given":"Wei","non-dropping-particle":"","parse-names":false,"suffix":""}],"container-title":"Human Behavior and Emerging Technologies","id":"ITEM-1","issue":"2","issued":{"date-parts":[["2020"]]},"page":"113-115","title":" COVID ‐19 and online teaching in higher education: A case study of Peking University ","type":"article-journal","volume":"2"},"uris":["http://www.mendeley.com/documents/?uuid=b471c77a-5b0d-44b2-adab-2b094d1624e4"]}],"mendeley":{"formattedCitation":"[2]","plainTextFormattedCitation":"[2]","previouslyFormattedCitation":"[2]"},"properties":{"noteIndex":0},"schema":"https://github.com/citation-style-language/schema/raw/master/csl-citation.json"}</w:instrText>
      </w:r>
      <w:r w:rsidR="00585500" w:rsidRPr="0016793F">
        <w:rPr>
          <w:rFonts w:ascii="Times New Roman" w:hAnsi="Times New Roman"/>
          <w:color w:val="auto"/>
          <w:lang w:eastAsia="id-ID"/>
        </w:rPr>
        <w:fldChar w:fldCharType="separate"/>
      </w:r>
      <w:r w:rsidR="00585500" w:rsidRPr="0016793F">
        <w:rPr>
          <w:rFonts w:ascii="Times New Roman" w:hAnsi="Times New Roman"/>
          <w:noProof/>
          <w:color w:val="auto"/>
          <w:lang w:eastAsia="id-ID"/>
        </w:rPr>
        <w:t>[2]</w:t>
      </w:r>
      <w:r w:rsidR="00585500" w:rsidRPr="0016793F">
        <w:rPr>
          <w:rFonts w:ascii="Times New Roman" w:hAnsi="Times New Roman"/>
          <w:color w:val="auto"/>
          <w:lang w:eastAsia="id-ID"/>
        </w:rPr>
        <w:fldChar w:fldCharType="end"/>
      </w:r>
      <w:r w:rsidR="00923765" w:rsidRPr="0016793F">
        <w:rPr>
          <w:rFonts w:ascii="Times New Roman" w:hAnsi="Times New Roman"/>
          <w:color w:val="auto"/>
          <w:lang w:eastAsia="id-ID"/>
        </w:rPr>
        <w:t>. First, the principle of appropriate relevance. The material coverage and the difficulty level of the material are adjusted to the academic readiness and online learning behavior of students. Second, the principle of effective delivery. Online learning is characterized by a low concentration of learners so that educators need to adjust the method and speed when delivering material. Third, the principle of sufficient support. Students need to be guided in reflection, pre-study tutorials, and written guides for online study preparation. Fourth, the principle of quality participation. Educators need to find ways to measure the degree of participation of students when learning online. Fifth, the principle of preparing a backup plan. Educators need to prepare a backup plan in case the original plan doesn't work out so that online learning can continue.</w:t>
      </w:r>
    </w:p>
    <w:p w14:paraId="04D737B7" w14:textId="09C2BE7F" w:rsidR="00602DDB" w:rsidRPr="0016793F" w:rsidRDefault="00602DDB" w:rsidP="00602DDB">
      <w:pPr>
        <w:pStyle w:val="Section"/>
        <w:rPr>
          <w:color w:val="auto"/>
        </w:rPr>
      </w:pPr>
      <w:commentRangeStart w:id="4"/>
      <w:r w:rsidRPr="0016793F">
        <w:rPr>
          <w:color w:val="auto"/>
        </w:rPr>
        <w:t>Conclusion</w:t>
      </w:r>
      <w:commentRangeEnd w:id="4"/>
      <w:r w:rsidR="0000745C">
        <w:rPr>
          <w:rStyle w:val="CommentReference"/>
          <w:b w:val="0"/>
          <w:iCs w:val="0"/>
          <w:color w:val="auto"/>
        </w:rPr>
        <w:commentReference w:id="4"/>
      </w:r>
    </w:p>
    <w:p w14:paraId="0F12D240" w14:textId="557DC432" w:rsidR="00602DDB" w:rsidRPr="0016793F" w:rsidRDefault="00602DDB" w:rsidP="00602DDB">
      <w:pPr>
        <w:pStyle w:val="Bodytext"/>
        <w:rPr>
          <w:rFonts w:cs="Times"/>
          <w:color w:val="auto"/>
          <w:lang w:val="en-GB"/>
        </w:rPr>
      </w:pPr>
      <w:r w:rsidRPr="0016793F">
        <w:rPr>
          <w:rFonts w:cs="Times"/>
          <w:color w:val="auto"/>
          <w:shd w:val="clear" w:color="auto" w:fill="FFFFFF"/>
        </w:rPr>
        <w:t xml:space="preserve">This research shows that majority of undergraduate students have sufficient facilities for online learning and have positive attitude towards digital technology literacy. Another finding from the study </w:t>
      </w:r>
      <w:r w:rsidRPr="0016793F">
        <w:rPr>
          <w:rFonts w:cs="Times"/>
          <w:color w:val="auto"/>
          <w:shd w:val="clear" w:color="auto" w:fill="FFFFFF"/>
        </w:rPr>
        <w:lastRenderedPageBreak/>
        <w:t xml:space="preserve">is that the majority of </w:t>
      </w:r>
      <w:r w:rsidRPr="0016793F">
        <w:rPr>
          <w:rFonts w:cs="Times"/>
          <w:color w:val="auto"/>
          <w:spacing w:val="4"/>
        </w:rPr>
        <w:t xml:space="preserve">undergraduate </w:t>
      </w:r>
      <w:r w:rsidRPr="0016793F">
        <w:rPr>
          <w:rFonts w:cs="Times"/>
          <w:color w:val="auto"/>
          <w:shd w:val="clear" w:color="auto" w:fill="FFFFFF"/>
        </w:rPr>
        <w:t>students have difficulty accessing the fast internet, they like combination of online media learning and offline media learning but they do not like full online learning (98</w:t>
      </w:r>
      <w:r w:rsidR="002C3AA6" w:rsidRPr="0016793F">
        <w:rPr>
          <w:rFonts w:cs="Times"/>
          <w:color w:val="auto"/>
          <w:shd w:val="clear" w:color="auto" w:fill="FFFFFF"/>
        </w:rPr>
        <w:t>.</w:t>
      </w:r>
      <w:r w:rsidRPr="0016793F">
        <w:rPr>
          <w:rFonts w:cs="Times"/>
          <w:color w:val="auto"/>
          <w:shd w:val="clear" w:color="auto" w:fill="FFFFFF"/>
        </w:rPr>
        <w:t>06 %), and about a half of them feel convenient in finding information and scientific literature by online (52</w:t>
      </w:r>
      <w:r w:rsidR="002C3AA6" w:rsidRPr="0016793F">
        <w:rPr>
          <w:rFonts w:cs="Times"/>
          <w:color w:val="auto"/>
          <w:shd w:val="clear" w:color="auto" w:fill="FFFFFF"/>
        </w:rPr>
        <w:t>.</w:t>
      </w:r>
      <w:r w:rsidRPr="0016793F">
        <w:rPr>
          <w:rFonts w:cs="Times"/>
          <w:color w:val="auto"/>
          <w:shd w:val="clear" w:color="auto" w:fill="FFFFFF"/>
        </w:rPr>
        <w:t>90%). This research indicate that teacher should support student for learning online such as provide proper learning material and media. This research is expected to be suggestions for better online learning in the new normal era.</w:t>
      </w:r>
    </w:p>
    <w:p w14:paraId="2A15615C" w14:textId="2AB24DDF" w:rsidR="009A0487" w:rsidRPr="0016793F" w:rsidRDefault="009A0487">
      <w:pPr>
        <w:pStyle w:val="Sectionnonumber"/>
        <w:rPr>
          <w:color w:val="auto"/>
        </w:rPr>
      </w:pPr>
      <w:commentRangeStart w:id="6"/>
      <w:r w:rsidRPr="0016793F">
        <w:rPr>
          <w:color w:val="auto"/>
        </w:rPr>
        <w:t>References</w:t>
      </w:r>
      <w:commentRangeEnd w:id="6"/>
      <w:r w:rsidR="0000745C">
        <w:rPr>
          <w:rStyle w:val="CommentReference"/>
          <w:b w:val="0"/>
          <w:iCs w:val="0"/>
          <w:color w:val="auto"/>
          <w:lang w:val="en-GB"/>
        </w:rPr>
        <w:commentReference w:id="6"/>
      </w:r>
    </w:p>
    <w:p w14:paraId="15835F16" w14:textId="2BD59E81" w:rsidR="00A16072" w:rsidRPr="00A16072" w:rsidRDefault="00586A48" w:rsidP="00C91D55">
      <w:pPr>
        <w:widowControl w:val="0"/>
        <w:tabs>
          <w:tab w:val="left" w:pos="426"/>
        </w:tabs>
        <w:autoSpaceDE w:val="0"/>
        <w:autoSpaceDN w:val="0"/>
        <w:adjustRightInd w:val="0"/>
        <w:ind w:left="640" w:hanging="640"/>
        <w:rPr>
          <w:noProof/>
          <w:szCs w:val="24"/>
        </w:rPr>
      </w:pPr>
      <w:r w:rsidRPr="0016793F">
        <w:fldChar w:fldCharType="begin" w:fldLock="1"/>
      </w:r>
      <w:r w:rsidRPr="0016793F">
        <w:instrText xml:space="preserve">ADDIN Mendeley Bibliography CSL_BIBLIOGRAPHY </w:instrText>
      </w:r>
      <w:r w:rsidRPr="0016793F">
        <w:fldChar w:fldCharType="separate"/>
      </w:r>
      <w:r w:rsidR="00A16072" w:rsidRPr="00A16072">
        <w:rPr>
          <w:noProof/>
          <w:szCs w:val="24"/>
        </w:rPr>
        <w:t>[1]</w:t>
      </w:r>
      <w:r w:rsidR="00A16072" w:rsidRPr="00A16072">
        <w:rPr>
          <w:noProof/>
          <w:szCs w:val="24"/>
        </w:rPr>
        <w:tab/>
        <w:t xml:space="preserve"> Reimers F M, Schleicher A and Ansah G . 2020 </w:t>
      </w:r>
      <w:r w:rsidR="00A16072" w:rsidRPr="00A16072">
        <w:rPr>
          <w:i/>
          <w:iCs/>
          <w:noProof/>
          <w:szCs w:val="24"/>
        </w:rPr>
        <w:t>Schooling Disrupted, Schooling Rethought: How the Covid-19 Pandemic is Changing Education</w:t>
      </w:r>
    </w:p>
    <w:p w14:paraId="6BE38384" w14:textId="77777777" w:rsidR="00A16072" w:rsidRPr="00A16072" w:rsidRDefault="00A16072" w:rsidP="00C91D55">
      <w:pPr>
        <w:widowControl w:val="0"/>
        <w:tabs>
          <w:tab w:val="left" w:pos="426"/>
        </w:tabs>
        <w:autoSpaceDE w:val="0"/>
        <w:autoSpaceDN w:val="0"/>
        <w:adjustRightInd w:val="0"/>
        <w:ind w:left="640" w:hanging="640"/>
        <w:rPr>
          <w:noProof/>
          <w:szCs w:val="24"/>
        </w:rPr>
      </w:pPr>
      <w:r w:rsidRPr="00A16072">
        <w:rPr>
          <w:noProof/>
          <w:szCs w:val="24"/>
        </w:rPr>
        <w:t>[2]</w:t>
      </w:r>
      <w:r w:rsidRPr="00A16072">
        <w:rPr>
          <w:noProof/>
          <w:szCs w:val="24"/>
        </w:rPr>
        <w:tab/>
        <w:t xml:space="preserve"> Bao W 2020  COVID ‐19 and online teaching in higher education: A case study of Peking University  </w:t>
      </w:r>
      <w:r w:rsidRPr="00A16072">
        <w:rPr>
          <w:i/>
          <w:iCs/>
          <w:noProof/>
          <w:szCs w:val="24"/>
        </w:rPr>
        <w:t>Hum. Behav. Emerg. Technol.</w:t>
      </w:r>
      <w:r w:rsidRPr="00A16072">
        <w:rPr>
          <w:noProof/>
          <w:szCs w:val="24"/>
        </w:rPr>
        <w:t xml:space="preserve"> </w:t>
      </w:r>
      <w:r w:rsidRPr="00A16072">
        <w:rPr>
          <w:b/>
          <w:bCs/>
          <w:noProof/>
          <w:szCs w:val="24"/>
        </w:rPr>
        <w:t>2</w:t>
      </w:r>
      <w:r w:rsidRPr="00A16072">
        <w:rPr>
          <w:noProof/>
          <w:szCs w:val="24"/>
        </w:rPr>
        <w:t xml:space="preserve"> 113–5</w:t>
      </w:r>
    </w:p>
    <w:p w14:paraId="12394575" w14:textId="77777777" w:rsidR="00A16072" w:rsidRPr="00A16072" w:rsidRDefault="00A16072" w:rsidP="00872467">
      <w:pPr>
        <w:widowControl w:val="0"/>
        <w:tabs>
          <w:tab w:val="left" w:pos="426"/>
        </w:tabs>
        <w:autoSpaceDE w:val="0"/>
        <w:autoSpaceDN w:val="0"/>
        <w:adjustRightInd w:val="0"/>
        <w:ind w:left="640" w:hanging="640"/>
        <w:rPr>
          <w:noProof/>
          <w:szCs w:val="24"/>
        </w:rPr>
      </w:pPr>
      <w:r w:rsidRPr="00A16072">
        <w:rPr>
          <w:noProof/>
          <w:szCs w:val="24"/>
        </w:rPr>
        <w:t>[3]</w:t>
      </w:r>
      <w:r w:rsidRPr="00A16072">
        <w:rPr>
          <w:noProof/>
          <w:szCs w:val="24"/>
        </w:rPr>
        <w:tab/>
        <w:t xml:space="preserve"> Crawford J, Butler-Henderson K, Rudolph J, Glowatz M, Burton R, Paola M and Lam S 2020 COVID-19: 20 Countries’ Higher Education Intra-Period Digital Pedagogy Responses Crawford, </w:t>
      </w:r>
      <w:r w:rsidRPr="00A16072">
        <w:rPr>
          <w:i/>
          <w:iCs/>
          <w:noProof/>
          <w:szCs w:val="24"/>
        </w:rPr>
        <w:t>J. Appl. Learn. Teach.</w:t>
      </w:r>
      <w:r w:rsidRPr="00A16072">
        <w:rPr>
          <w:noProof/>
          <w:szCs w:val="24"/>
        </w:rPr>
        <w:t xml:space="preserve"> </w:t>
      </w:r>
      <w:r w:rsidRPr="00A16072">
        <w:rPr>
          <w:b/>
          <w:bCs/>
          <w:noProof/>
          <w:szCs w:val="24"/>
        </w:rPr>
        <w:t>3</w:t>
      </w:r>
      <w:r w:rsidRPr="00A16072">
        <w:rPr>
          <w:noProof/>
          <w:szCs w:val="24"/>
        </w:rPr>
        <w:t xml:space="preserve"> 1–20</w:t>
      </w:r>
    </w:p>
    <w:p w14:paraId="3A2A5F90" w14:textId="77777777" w:rsidR="00A16072" w:rsidRPr="00A16072" w:rsidRDefault="00A16072" w:rsidP="00C91D55">
      <w:pPr>
        <w:widowControl w:val="0"/>
        <w:tabs>
          <w:tab w:val="left" w:pos="426"/>
        </w:tabs>
        <w:autoSpaceDE w:val="0"/>
        <w:autoSpaceDN w:val="0"/>
        <w:adjustRightInd w:val="0"/>
        <w:ind w:left="640" w:hanging="640"/>
        <w:rPr>
          <w:noProof/>
          <w:szCs w:val="24"/>
        </w:rPr>
      </w:pPr>
      <w:r w:rsidRPr="00A16072">
        <w:rPr>
          <w:noProof/>
          <w:szCs w:val="24"/>
        </w:rPr>
        <w:t>[4]</w:t>
      </w:r>
      <w:r w:rsidRPr="00A16072">
        <w:rPr>
          <w:noProof/>
          <w:szCs w:val="24"/>
        </w:rPr>
        <w:tab/>
        <w:t xml:space="preserve"> N O, Salleh M and A. N 2012 E-Learning Methodologies and Tools </w:t>
      </w:r>
      <w:r w:rsidRPr="00A16072">
        <w:rPr>
          <w:i/>
          <w:iCs/>
          <w:noProof/>
          <w:szCs w:val="24"/>
        </w:rPr>
        <w:t>Int. J. Adv. Comput. Sci. Appl.</w:t>
      </w:r>
      <w:r w:rsidRPr="00A16072">
        <w:rPr>
          <w:noProof/>
          <w:szCs w:val="24"/>
        </w:rPr>
        <w:t xml:space="preserve"> </w:t>
      </w:r>
      <w:r w:rsidRPr="00A16072">
        <w:rPr>
          <w:b/>
          <w:bCs/>
          <w:noProof/>
          <w:szCs w:val="24"/>
        </w:rPr>
        <w:t>3</w:t>
      </w:r>
      <w:r w:rsidRPr="00A16072">
        <w:rPr>
          <w:noProof/>
          <w:szCs w:val="24"/>
        </w:rPr>
        <w:t xml:space="preserve"> 48–52</w:t>
      </w:r>
    </w:p>
    <w:p w14:paraId="06A0EAC9" w14:textId="77777777" w:rsidR="00A16072" w:rsidRPr="00A16072" w:rsidRDefault="00A16072" w:rsidP="00C91D55">
      <w:pPr>
        <w:widowControl w:val="0"/>
        <w:tabs>
          <w:tab w:val="left" w:pos="426"/>
        </w:tabs>
        <w:autoSpaceDE w:val="0"/>
        <w:autoSpaceDN w:val="0"/>
        <w:adjustRightInd w:val="0"/>
        <w:ind w:left="640" w:hanging="640"/>
        <w:rPr>
          <w:noProof/>
          <w:szCs w:val="24"/>
        </w:rPr>
      </w:pPr>
      <w:r w:rsidRPr="00A16072">
        <w:rPr>
          <w:noProof/>
          <w:szCs w:val="24"/>
        </w:rPr>
        <w:t>[5]</w:t>
      </w:r>
      <w:r w:rsidRPr="00A16072">
        <w:rPr>
          <w:noProof/>
          <w:szCs w:val="24"/>
        </w:rPr>
        <w:tab/>
        <w:t xml:space="preserve"> Shahabadi M M and Uplane M 2015 Synchronous and asynchronous e-learning styles and academic performance of e-learners </w:t>
      </w:r>
      <w:r w:rsidRPr="00A16072">
        <w:rPr>
          <w:i/>
          <w:iCs/>
          <w:noProof/>
          <w:szCs w:val="24"/>
        </w:rPr>
        <w:t>Procedia - Soc. Behav. Sci.</w:t>
      </w:r>
      <w:r w:rsidRPr="00A16072">
        <w:rPr>
          <w:noProof/>
          <w:szCs w:val="24"/>
        </w:rPr>
        <w:t xml:space="preserve"> </w:t>
      </w:r>
      <w:r w:rsidRPr="00A16072">
        <w:rPr>
          <w:b/>
          <w:bCs/>
          <w:noProof/>
          <w:szCs w:val="24"/>
        </w:rPr>
        <w:t>176</w:t>
      </w:r>
      <w:r w:rsidRPr="00A16072">
        <w:rPr>
          <w:noProof/>
          <w:szCs w:val="24"/>
        </w:rPr>
        <w:t xml:space="preserve"> 129–38</w:t>
      </w:r>
    </w:p>
    <w:p w14:paraId="665BE1D5" w14:textId="77777777" w:rsidR="00A16072" w:rsidRPr="00A16072" w:rsidRDefault="00A16072" w:rsidP="00C91D55">
      <w:pPr>
        <w:widowControl w:val="0"/>
        <w:tabs>
          <w:tab w:val="left" w:pos="426"/>
        </w:tabs>
        <w:autoSpaceDE w:val="0"/>
        <w:autoSpaceDN w:val="0"/>
        <w:adjustRightInd w:val="0"/>
        <w:ind w:left="640" w:hanging="640"/>
        <w:rPr>
          <w:noProof/>
          <w:szCs w:val="24"/>
        </w:rPr>
      </w:pPr>
      <w:r w:rsidRPr="00A16072">
        <w:rPr>
          <w:noProof/>
          <w:szCs w:val="24"/>
        </w:rPr>
        <w:t>[6]</w:t>
      </w:r>
      <w:r w:rsidRPr="00A16072">
        <w:rPr>
          <w:noProof/>
          <w:szCs w:val="24"/>
        </w:rPr>
        <w:tab/>
        <w:t xml:space="preserve"> Kelley T R and Knowles J G 2016 A conceptual framework for integrated STEM education </w:t>
      </w:r>
      <w:r w:rsidRPr="00A16072">
        <w:rPr>
          <w:i/>
          <w:iCs/>
          <w:noProof/>
          <w:szCs w:val="24"/>
        </w:rPr>
        <w:t>Int. J. STEM Educ.</w:t>
      </w:r>
      <w:r w:rsidRPr="00A16072">
        <w:rPr>
          <w:noProof/>
          <w:szCs w:val="24"/>
        </w:rPr>
        <w:t xml:space="preserve"> </w:t>
      </w:r>
      <w:r w:rsidRPr="00A16072">
        <w:rPr>
          <w:b/>
          <w:bCs/>
          <w:noProof/>
          <w:szCs w:val="24"/>
        </w:rPr>
        <w:t>3</w:t>
      </w:r>
      <w:r w:rsidRPr="00A16072">
        <w:rPr>
          <w:noProof/>
          <w:szCs w:val="24"/>
        </w:rPr>
        <w:t xml:space="preserve"> 1–11</w:t>
      </w:r>
    </w:p>
    <w:p w14:paraId="6DF386C9" w14:textId="77777777" w:rsidR="00A16072" w:rsidRPr="00A16072" w:rsidRDefault="00A16072" w:rsidP="00C91D55">
      <w:pPr>
        <w:widowControl w:val="0"/>
        <w:tabs>
          <w:tab w:val="left" w:pos="426"/>
        </w:tabs>
        <w:autoSpaceDE w:val="0"/>
        <w:autoSpaceDN w:val="0"/>
        <w:adjustRightInd w:val="0"/>
        <w:ind w:left="640" w:hanging="640"/>
        <w:rPr>
          <w:noProof/>
          <w:szCs w:val="24"/>
        </w:rPr>
      </w:pPr>
      <w:r w:rsidRPr="00A16072">
        <w:rPr>
          <w:noProof/>
          <w:szCs w:val="24"/>
        </w:rPr>
        <w:t>[7]</w:t>
      </w:r>
      <w:r w:rsidRPr="00A16072">
        <w:rPr>
          <w:noProof/>
          <w:szCs w:val="24"/>
        </w:rPr>
        <w:tab/>
        <w:t xml:space="preserve"> Ritz J M 2011 A Focus on Technological Literacy in Higher Education </w:t>
      </w:r>
      <w:r w:rsidRPr="00A16072">
        <w:rPr>
          <w:i/>
          <w:iCs/>
          <w:noProof/>
          <w:szCs w:val="24"/>
        </w:rPr>
        <w:t>J. Technol. Stud.</w:t>
      </w:r>
      <w:r w:rsidRPr="00A16072">
        <w:rPr>
          <w:noProof/>
          <w:szCs w:val="24"/>
        </w:rPr>
        <w:t xml:space="preserve"> </w:t>
      </w:r>
      <w:r w:rsidRPr="00A16072">
        <w:rPr>
          <w:b/>
          <w:bCs/>
          <w:noProof/>
          <w:szCs w:val="24"/>
        </w:rPr>
        <w:t>37</w:t>
      </w:r>
      <w:r w:rsidRPr="00A16072">
        <w:rPr>
          <w:noProof/>
          <w:szCs w:val="24"/>
        </w:rPr>
        <w:t xml:space="preserve"> 31–40</w:t>
      </w:r>
    </w:p>
    <w:p w14:paraId="3286C821" w14:textId="77777777" w:rsidR="00A16072" w:rsidRPr="00A16072" w:rsidRDefault="00A16072" w:rsidP="00C91D55">
      <w:pPr>
        <w:widowControl w:val="0"/>
        <w:tabs>
          <w:tab w:val="left" w:pos="426"/>
        </w:tabs>
        <w:autoSpaceDE w:val="0"/>
        <w:autoSpaceDN w:val="0"/>
        <w:adjustRightInd w:val="0"/>
        <w:ind w:left="640" w:hanging="640"/>
        <w:rPr>
          <w:noProof/>
          <w:szCs w:val="24"/>
        </w:rPr>
      </w:pPr>
      <w:r w:rsidRPr="00A16072">
        <w:rPr>
          <w:noProof/>
          <w:szCs w:val="24"/>
        </w:rPr>
        <w:t>[8]</w:t>
      </w:r>
      <w:r w:rsidRPr="00A16072">
        <w:rPr>
          <w:noProof/>
          <w:szCs w:val="24"/>
        </w:rPr>
        <w:tab/>
        <w:t xml:space="preserve"> France B 2018 Modeling in Technology Education: A Route to Technological Literacy 611–21</w:t>
      </w:r>
    </w:p>
    <w:p w14:paraId="77B85E3F" w14:textId="77777777" w:rsidR="00A16072" w:rsidRPr="00A16072" w:rsidRDefault="00A16072" w:rsidP="00C91D55">
      <w:pPr>
        <w:widowControl w:val="0"/>
        <w:tabs>
          <w:tab w:val="left" w:pos="426"/>
        </w:tabs>
        <w:autoSpaceDE w:val="0"/>
        <w:autoSpaceDN w:val="0"/>
        <w:adjustRightInd w:val="0"/>
        <w:ind w:left="640" w:hanging="640"/>
        <w:rPr>
          <w:noProof/>
          <w:szCs w:val="24"/>
        </w:rPr>
      </w:pPr>
      <w:r w:rsidRPr="00A16072">
        <w:rPr>
          <w:noProof/>
          <w:szCs w:val="24"/>
        </w:rPr>
        <w:t>[9]</w:t>
      </w:r>
      <w:r w:rsidRPr="00A16072">
        <w:rPr>
          <w:noProof/>
          <w:szCs w:val="24"/>
        </w:rPr>
        <w:tab/>
        <w:t xml:space="preserve"> Skophammer R and Reed P A 2014 Technological Literacy Courses in Pre-Service Teacher Education </w:t>
      </w:r>
      <w:r w:rsidRPr="00A16072">
        <w:rPr>
          <w:i/>
          <w:iCs/>
          <w:noProof/>
          <w:szCs w:val="24"/>
        </w:rPr>
        <w:t>J. Technol. Stud.</w:t>
      </w:r>
      <w:r w:rsidRPr="00A16072">
        <w:rPr>
          <w:noProof/>
          <w:szCs w:val="24"/>
        </w:rPr>
        <w:t xml:space="preserve"> </w:t>
      </w:r>
      <w:r w:rsidRPr="00A16072">
        <w:rPr>
          <w:b/>
          <w:bCs/>
          <w:noProof/>
          <w:szCs w:val="24"/>
        </w:rPr>
        <w:t>40</w:t>
      </w:r>
      <w:r w:rsidRPr="00A16072">
        <w:rPr>
          <w:noProof/>
          <w:szCs w:val="24"/>
        </w:rPr>
        <w:t xml:space="preserve"> 68–80</w:t>
      </w:r>
    </w:p>
    <w:p w14:paraId="770482EE" w14:textId="027E1640" w:rsidR="00A16072" w:rsidRPr="00A16072" w:rsidRDefault="00A16072" w:rsidP="00C91D55">
      <w:pPr>
        <w:widowControl w:val="0"/>
        <w:tabs>
          <w:tab w:val="left" w:pos="426"/>
        </w:tabs>
        <w:autoSpaceDE w:val="0"/>
        <w:autoSpaceDN w:val="0"/>
        <w:adjustRightInd w:val="0"/>
        <w:ind w:left="640" w:hanging="640"/>
        <w:rPr>
          <w:noProof/>
          <w:szCs w:val="24"/>
        </w:rPr>
      </w:pPr>
      <w:r w:rsidRPr="00A16072">
        <w:rPr>
          <w:noProof/>
          <w:szCs w:val="24"/>
        </w:rPr>
        <w:t>[10]</w:t>
      </w:r>
      <w:r w:rsidRPr="00A16072">
        <w:rPr>
          <w:noProof/>
          <w:szCs w:val="24"/>
        </w:rPr>
        <w:tab/>
        <w:t xml:space="preserve"> </w:t>
      </w:r>
      <w:r w:rsidR="0073537C" w:rsidRPr="00A16072">
        <w:rPr>
          <w:noProof/>
          <w:szCs w:val="24"/>
        </w:rPr>
        <w:t xml:space="preserve">Mitcham </w:t>
      </w:r>
      <w:r w:rsidRPr="00A16072">
        <w:rPr>
          <w:noProof/>
          <w:szCs w:val="24"/>
        </w:rPr>
        <w:t xml:space="preserve">C 1994 </w:t>
      </w:r>
      <w:r w:rsidRPr="00A16072">
        <w:rPr>
          <w:i/>
          <w:iCs/>
          <w:noProof/>
          <w:szCs w:val="24"/>
        </w:rPr>
        <w:t>Thinking through Technology: The Path between Engineering and Philosophy</w:t>
      </w:r>
      <w:r w:rsidRPr="00A16072">
        <w:rPr>
          <w:noProof/>
          <w:szCs w:val="24"/>
        </w:rPr>
        <w:t xml:space="preserve"> (Chicago: University of Chicago Press)</w:t>
      </w:r>
    </w:p>
    <w:p w14:paraId="031FE1F8" w14:textId="77777777" w:rsidR="00A16072" w:rsidRPr="00A16072" w:rsidRDefault="00A16072" w:rsidP="00C91D55">
      <w:pPr>
        <w:widowControl w:val="0"/>
        <w:tabs>
          <w:tab w:val="left" w:pos="426"/>
        </w:tabs>
        <w:autoSpaceDE w:val="0"/>
        <w:autoSpaceDN w:val="0"/>
        <w:adjustRightInd w:val="0"/>
        <w:ind w:left="640" w:hanging="640"/>
        <w:rPr>
          <w:noProof/>
          <w:szCs w:val="24"/>
        </w:rPr>
      </w:pPr>
      <w:r w:rsidRPr="00A16072">
        <w:rPr>
          <w:noProof/>
          <w:szCs w:val="24"/>
        </w:rPr>
        <w:t>[11]</w:t>
      </w:r>
      <w:r w:rsidRPr="00A16072">
        <w:rPr>
          <w:noProof/>
          <w:szCs w:val="24"/>
        </w:rPr>
        <w:tab/>
        <w:t xml:space="preserve"> Pearson G and Young A T 2002 </w:t>
      </w:r>
      <w:r w:rsidRPr="00A16072">
        <w:rPr>
          <w:i/>
          <w:iCs/>
          <w:noProof/>
          <w:szCs w:val="24"/>
        </w:rPr>
        <w:t>Technically Speaking: Why All Americans Need to Know More About Technology</w:t>
      </w:r>
      <w:r w:rsidRPr="00A16072">
        <w:rPr>
          <w:noProof/>
          <w:szCs w:val="24"/>
        </w:rPr>
        <w:t xml:space="preserve"> (Washington DC: National Academies Press)</w:t>
      </w:r>
    </w:p>
    <w:p w14:paraId="792CA428" w14:textId="1125A586" w:rsidR="00A16072" w:rsidRPr="00A16072" w:rsidRDefault="00A16072" w:rsidP="00C91D55">
      <w:pPr>
        <w:widowControl w:val="0"/>
        <w:tabs>
          <w:tab w:val="left" w:pos="426"/>
        </w:tabs>
        <w:autoSpaceDE w:val="0"/>
        <w:autoSpaceDN w:val="0"/>
        <w:adjustRightInd w:val="0"/>
        <w:ind w:left="640" w:hanging="640"/>
        <w:rPr>
          <w:noProof/>
          <w:szCs w:val="24"/>
        </w:rPr>
      </w:pPr>
      <w:r w:rsidRPr="00A16072">
        <w:rPr>
          <w:noProof/>
          <w:szCs w:val="24"/>
        </w:rPr>
        <w:t>[12]</w:t>
      </w:r>
      <w:r w:rsidRPr="00A16072">
        <w:rPr>
          <w:noProof/>
          <w:szCs w:val="24"/>
        </w:rPr>
        <w:tab/>
        <w:t xml:space="preserve"> Kapasia N, Paul P, Roy A, Saha J, Zaveri A and Mallick R 2020 Impact of lockdown on learning status of undergraduate and postgraduate students during COVID-19 pandemic in West Bengal, India </w:t>
      </w:r>
      <w:r w:rsidRPr="00A16072">
        <w:rPr>
          <w:i/>
          <w:iCs/>
          <w:noProof/>
          <w:szCs w:val="24"/>
        </w:rPr>
        <w:t>Child. Youth Serv. Rev.</w:t>
      </w:r>
      <w:r w:rsidRPr="00A16072">
        <w:rPr>
          <w:noProof/>
          <w:szCs w:val="24"/>
        </w:rPr>
        <w:t xml:space="preserve"> </w:t>
      </w:r>
      <w:r w:rsidRPr="00A16072">
        <w:rPr>
          <w:b/>
          <w:bCs/>
          <w:noProof/>
          <w:szCs w:val="24"/>
        </w:rPr>
        <w:t>116</w:t>
      </w:r>
      <w:r w:rsidRPr="00A16072">
        <w:rPr>
          <w:noProof/>
          <w:szCs w:val="24"/>
        </w:rPr>
        <w:t xml:space="preserve"> 1–5</w:t>
      </w:r>
    </w:p>
    <w:p w14:paraId="40A29429" w14:textId="77777777" w:rsidR="00A16072" w:rsidRPr="00A16072" w:rsidRDefault="00A16072" w:rsidP="00C91D55">
      <w:pPr>
        <w:widowControl w:val="0"/>
        <w:tabs>
          <w:tab w:val="left" w:pos="426"/>
        </w:tabs>
        <w:autoSpaceDE w:val="0"/>
        <w:autoSpaceDN w:val="0"/>
        <w:adjustRightInd w:val="0"/>
        <w:ind w:left="640" w:hanging="640"/>
        <w:rPr>
          <w:noProof/>
          <w:szCs w:val="24"/>
        </w:rPr>
      </w:pPr>
      <w:r w:rsidRPr="00A16072">
        <w:rPr>
          <w:noProof/>
          <w:szCs w:val="24"/>
        </w:rPr>
        <w:t>[13]</w:t>
      </w:r>
      <w:r w:rsidRPr="00A16072">
        <w:rPr>
          <w:noProof/>
          <w:szCs w:val="24"/>
        </w:rPr>
        <w:tab/>
        <w:t xml:space="preserve"> Khalil R, Mansour A E, Fadda W A, Almisnid K, Aldamegh M, Al-nafeesah A, Alkhalifah A and Al-wutayd O 2020 The sudden transition to synchronized online learning during the COVID-19 pandemic in Saudi Arabia : a qualitative study exploring medical students ’ perspectives </w:t>
      </w:r>
      <w:r w:rsidRPr="00A16072">
        <w:rPr>
          <w:i/>
          <w:iCs/>
          <w:noProof/>
          <w:szCs w:val="24"/>
        </w:rPr>
        <w:t>BMC Med. Educ.</w:t>
      </w:r>
      <w:r w:rsidRPr="00A16072">
        <w:rPr>
          <w:noProof/>
          <w:szCs w:val="24"/>
        </w:rPr>
        <w:t xml:space="preserve"> </w:t>
      </w:r>
      <w:r w:rsidRPr="00A16072">
        <w:rPr>
          <w:b/>
          <w:bCs/>
          <w:noProof/>
          <w:szCs w:val="24"/>
        </w:rPr>
        <w:t>20</w:t>
      </w:r>
      <w:r w:rsidRPr="00A16072">
        <w:rPr>
          <w:noProof/>
          <w:szCs w:val="24"/>
        </w:rPr>
        <w:t xml:space="preserve"> 1–10</w:t>
      </w:r>
    </w:p>
    <w:p w14:paraId="381ABC97" w14:textId="77777777" w:rsidR="00A16072" w:rsidRPr="00A16072" w:rsidRDefault="00A16072" w:rsidP="00C91D55">
      <w:pPr>
        <w:widowControl w:val="0"/>
        <w:tabs>
          <w:tab w:val="left" w:pos="426"/>
        </w:tabs>
        <w:autoSpaceDE w:val="0"/>
        <w:autoSpaceDN w:val="0"/>
        <w:adjustRightInd w:val="0"/>
        <w:ind w:left="640" w:hanging="640"/>
        <w:rPr>
          <w:noProof/>
          <w:szCs w:val="24"/>
        </w:rPr>
      </w:pPr>
      <w:r w:rsidRPr="00A16072">
        <w:rPr>
          <w:noProof/>
          <w:szCs w:val="24"/>
        </w:rPr>
        <w:t>[14]</w:t>
      </w:r>
      <w:r w:rsidRPr="00A16072">
        <w:rPr>
          <w:noProof/>
          <w:szCs w:val="24"/>
        </w:rPr>
        <w:tab/>
        <w:t xml:space="preserve"> Sintema E J 2020 Effect of COVID-19 on the performance of grade 12 students: Implications for STEM education </w:t>
      </w:r>
      <w:r w:rsidRPr="00A16072">
        <w:rPr>
          <w:i/>
          <w:iCs/>
          <w:noProof/>
          <w:szCs w:val="24"/>
        </w:rPr>
        <w:t>Eurasia J. Math. Sci. Technol. Educ.</w:t>
      </w:r>
      <w:r w:rsidRPr="00A16072">
        <w:rPr>
          <w:noProof/>
          <w:szCs w:val="24"/>
        </w:rPr>
        <w:t xml:space="preserve"> </w:t>
      </w:r>
      <w:r w:rsidRPr="00A16072">
        <w:rPr>
          <w:b/>
          <w:bCs/>
          <w:noProof/>
          <w:szCs w:val="24"/>
        </w:rPr>
        <w:t>16</w:t>
      </w:r>
      <w:r w:rsidRPr="00A16072">
        <w:rPr>
          <w:noProof/>
          <w:szCs w:val="24"/>
        </w:rPr>
        <w:t xml:space="preserve"> 1–6</w:t>
      </w:r>
    </w:p>
    <w:p w14:paraId="74C1C292" w14:textId="77777777" w:rsidR="00A16072" w:rsidRPr="00A16072" w:rsidRDefault="00A16072" w:rsidP="00C91D55">
      <w:pPr>
        <w:widowControl w:val="0"/>
        <w:tabs>
          <w:tab w:val="left" w:pos="426"/>
        </w:tabs>
        <w:autoSpaceDE w:val="0"/>
        <w:autoSpaceDN w:val="0"/>
        <w:adjustRightInd w:val="0"/>
        <w:ind w:left="640" w:hanging="640"/>
        <w:rPr>
          <w:noProof/>
          <w:szCs w:val="24"/>
        </w:rPr>
      </w:pPr>
      <w:r w:rsidRPr="00A16072">
        <w:rPr>
          <w:noProof/>
          <w:szCs w:val="24"/>
        </w:rPr>
        <w:t>[15]</w:t>
      </w:r>
      <w:r w:rsidRPr="00A16072">
        <w:rPr>
          <w:noProof/>
          <w:szCs w:val="24"/>
        </w:rPr>
        <w:tab/>
        <w:t xml:space="preserve"> Putra I A and Sujarwanto E 2017 Analisis Keterampilan Proses Sains Peserta Didik Melalui Bahan Ajar Multimedia Interaktif Alat Ukur dan Pengukuran dengan Pendekatan Behavioristik </w:t>
      </w:r>
      <w:r w:rsidRPr="00A16072">
        <w:rPr>
          <w:i/>
          <w:iCs/>
          <w:noProof/>
          <w:szCs w:val="24"/>
        </w:rPr>
        <w:t>Momentum Phys. Educ. J.</w:t>
      </w:r>
      <w:r w:rsidRPr="00A16072">
        <w:rPr>
          <w:noProof/>
          <w:szCs w:val="24"/>
        </w:rPr>
        <w:t xml:space="preserve"> </w:t>
      </w:r>
      <w:r w:rsidRPr="00A16072">
        <w:rPr>
          <w:b/>
          <w:bCs/>
          <w:noProof/>
          <w:szCs w:val="24"/>
        </w:rPr>
        <w:t>1</w:t>
      </w:r>
      <w:r w:rsidRPr="00A16072">
        <w:rPr>
          <w:noProof/>
          <w:szCs w:val="24"/>
        </w:rPr>
        <w:t xml:space="preserve"> 91</w:t>
      </w:r>
    </w:p>
    <w:p w14:paraId="48525373" w14:textId="77777777" w:rsidR="00A16072" w:rsidRPr="00A16072" w:rsidRDefault="00A16072" w:rsidP="00C91D55">
      <w:pPr>
        <w:widowControl w:val="0"/>
        <w:tabs>
          <w:tab w:val="left" w:pos="426"/>
        </w:tabs>
        <w:autoSpaceDE w:val="0"/>
        <w:autoSpaceDN w:val="0"/>
        <w:adjustRightInd w:val="0"/>
        <w:ind w:left="640" w:hanging="640"/>
        <w:rPr>
          <w:noProof/>
          <w:szCs w:val="24"/>
        </w:rPr>
      </w:pPr>
      <w:r w:rsidRPr="00A16072">
        <w:rPr>
          <w:noProof/>
          <w:szCs w:val="24"/>
        </w:rPr>
        <w:t>[16]</w:t>
      </w:r>
      <w:r w:rsidRPr="00A16072">
        <w:rPr>
          <w:noProof/>
          <w:szCs w:val="24"/>
        </w:rPr>
        <w:tab/>
        <w:t xml:space="preserve"> Formanek M, Buxner S, Impey C and Wenger M 2019 Relationship between learners’ motivation and course engagement in an astronomy massive open online course </w:t>
      </w:r>
      <w:r w:rsidRPr="00A16072">
        <w:rPr>
          <w:i/>
          <w:iCs/>
          <w:noProof/>
          <w:szCs w:val="24"/>
        </w:rPr>
        <w:t>Phys. Rev. Phys. Educ. Res.</w:t>
      </w:r>
      <w:r w:rsidRPr="00A16072">
        <w:rPr>
          <w:noProof/>
          <w:szCs w:val="24"/>
        </w:rPr>
        <w:t xml:space="preserve"> </w:t>
      </w:r>
      <w:r w:rsidRPr="00A16072">
        <w:rPr>
          <w:b/>
          <w:bCs/>
          <w:noProof/>
          <w:szCs w:val="24"/>
        </w:rPr>
        <w:t>15</w:t>
      </w:r>
      <w:r w:rsidRPr="00A16072">
        <w:rPr>
          <w:noProof/>
          <w:szCs w:val="24"/>
        </w:rPr>
        <w:t xml:space="preserve"> 20140</w:t>
      </w:r>
    </w:p>
    <w:p w14:paraId="195838B9" w14:textId="77777777" w:rsidR="00A16072" w:rsidRPr="00A16072" w:rsidRDefault="00A16072" w:rsidP="00C91D55">
      <w:pPr>
        <w:widowControl w:val="0"/>
        <w:tabs>
          <w:tab w:val="left" w:pos="426"/>
        </w:tabs>
        <w:autoSpaceDE w:val="0"/>
        <w:autoSpaceDN w:val="0"/>
        <w:adjustRightInd w:val="0"/>
        <w:ind w:left="640" w:hanging="640"/>
        <w:rPr>
          <w:noProof/>
          <w:szCs w:val="24"/>
        </w:rPr>
      </w:pPr>
      <w:r w:rsidRPr="00A16072">
        <w:rPr>
          <w:noProof/>
          <w:szCs w:val="24"/>
        </w:rPr>
        <w:t>[17]</w:t>
      </w:r>
      <w:r w:rsidRPr="00A16072">
        <w:rPr>
          <w:noProof/>
          <w:szCs w:val="24"/>
        </w:rPr>
        <w:tab/>
        <w:t xml:space="preserve"> Wilcox B R and Pollock S J 2019 Investigating students’ behavior and performance in online conceptual assessment </w:t>
      </w:r>
      <w:r w:rsidRPr="00A16072">
        <w:rPr>
          <w:i/>
          <w:iCs/>
          <w:noProof/>
          <w:szCs w:val="24"/>
        </w:rPr>
        <w:t>Phys. Rev. Phys. Educ. Res.</w:t>
      </w:r>
      <w:r w:rsidRPr="00A16072">
        <w:rPr>
          <w:noProof/>
          <w:szCs w:val="24"/>
        </w:rPr>
        <w:t xml:space="preserve"> </w:t>
      </w:r>
      <w:r w:rsidRPr="00A16072">
        <w:rPr>
          <w:b/>
          <w:bCs/>
          <w:noProof/>
          <w:szCs w:val="24"/>
        </w:rPr>
        <w:t>15</w:t>
      </w:r>
      <w:r w:rsidRPr="00A16072">
        <w:rPr>
          <w:noProof/>
          <w:szCs w:val="24"/>
        </w:rPr>
        <w:t xml:space="preserve"> 20145</w:t>
      </w:r>
    </w:p>
    <w:p w14:paraId="6884D1CB" w14:textId="77777777" w:rsidR="00A16072" w:rsidRPr="00A16072" w:rsidRDefault="00A16072" w:rsidP="00C91D55">
      <w:pPr>
        <w:widowControl w:val="0"/>
        <w:tabs>
          <w:tab w:val="left" w:pos="426"/>
        </w:tabs>
        <w:autoSpaceDE w:val="0"/>
        <w:autoSpaceDN w:val="0"/>
        <w:adjustRightInd w:val="0"/>
        <w:ind w:left="640" w:hanging="640"/>
        <w:rPr>
          <w:noProof/>
        </w:rPr>
      </w:pPr>
      <w:r w:rsidRPr="00A16072">
        <w:rPr>
          <w:noProof/>
          <w:szCs w:val="24"/>
        </w:rPr>
        <w:t>[18]</w:t>
      </w:r>
      <w:r w:rsidRPr="00A16072">
        <w:rPr>
          <w:noProof/>
          <w:szCs w:val="24"/>
        </w:rPr>
        <w:tab/>
        <w:t xml:space="preserve"> Calimag J A N N V, Miguel P A G, Conde R S and Aquino L B 2014 Ubiquitos learning environment using android mobile application </w:t>
      </w:r>
      <w:r w:rsidRPr="00A16072">
        <w:rPr>
          <w:i/>
          <w:iCs/>
          <w:noProof/>
          <w:szCs w:val="24"/>
        </w:rPr>
        <w:t>IMPACT Int. J. Res. Eng. Technol.</w:t>
      </w:r>
      <w:r w:rsidRPr="00A16072">
        <w:rPr>
          <w:noProof/>
          <w:szCs w:val="24"/>
        </w:rPr>
        <w:t xml:space="preserve"> </w:t>
      </w:r>
      <w:r w:rsidRPr="00A16072">
        <w:rPr>
          <w:b/>
          <w:bCs/>
          <w:noProof/>
          <w:szCs w:val="24"/>
        </w:rPr>
        <w:t>2</w:t>
      </w:r>
      <w:r w:rsidRPr="00A16072">
        <w:rPr>
          <w:noProof/>
          <w:szCs w:val="24"/>
        </w:rPr>
        <w:t xml:space="preserve"> 119–28</w:t>
      </w:r>
    </w:p>
    <w:p w14:paraId="21151930" w14:textId="53F4B6B8" w:rsidR="006F45A4" w:rsidRPr="0016793F" w:rsidRDefault="00586A48" w:rsidP="00080954">
      <w:pPr>
        <w:pStyle w:val="Bodytext"/>
        <w:rPr>
          <w:color w:val="auto"/>
        </w:rPr>
      </w:pPr>
      <w:r w:rsidRPr="0016793F">
        <w:rPr>
          <w:color w:val="auto"/>
        </w:rPr>
        <w:fldChar w:fldCharType="end"/>
      </w:r>
    </w:p>
    <w:sectPr w:rsidR="006F45A4" w:rsidRPr="0016793F">
      <w:headerReference w:type="default" r:id="rId11"/>
      <w:footnotePr>
        <w:pos w:val="beneathText"/>
      </w:footnotePr>
      <w:endnotePr>
        <w:numFmt w:val="chicago"/>
        <w:numStart w:val="4"/>
      </w:endnotePr>
      <w:pgSz w:w="11907" w:h="16840" w:code="9"/>
      <w:pgMar w:top="2268" w:right="1418" w:bottom="1531"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17T10:04:00Z" w:initials="MNH">
    <w:p w14:paraId="5992BE20" w14:textId="77777777" w:rsidR="0000745C" w:rsidRDefault="0000745C">
      <w:pPr>
        <w:pStyle w:val="CommentText"/>
      </w:pPr>
      <w:r>
        <w:rPr>
          <w:rStyle w:val="CommentReference"/>
        </w:rPr>
        <w:annotationRef/>
      </w:r>
      <w:proofErr w:type="spellStart"/>
      <w:r>
        <w:t>Maksimal</w:t>
      </w:r>
      <w:proofErr w:type="spellEnd"/>
      <w:r>
        <w:t xml:space="preserve"> 200 kata</w:t>
      </w:r>
    </w:p>
    <w:p w14:paraId="6D94C72F" w14:textId="77777777" w:rsidR="0000745C" w:rsidRDefault="0000745C" w:rsidP="0000745C">
      <w:pPr>
        <w:pStyle w:val="ListParagraph"/>
        <w:ind w:left="0"/>
      </w:pPr>
      <w:r>
        <w:t xml:space="preserve">Abstrak harus berisi tujuan, </w:t>
      </w:r>
      <w:proofErr w:type="spellStart"/>
      <w:r>
        <w:t>method</w:t>
      </w:r>
      <w:proofErr w:type="spellEnd"/>
      <w:r>
        <w:t xml:space="preserve">, hasil utama, dan implikasi. </w:t>
      </w:r>
    </w:p>
    <w:p w14:paraId="032976DD" w14:textId="06D94E05" w:rsidR="0000745C" w:rsidRDefault="0000745C">
      <w:pPr>
        <w:pStyle w:val="CommentText"/>
      </w:pPr>
    </w:p>
  </w:comment>
  <w:comment w:id="1" w:author="power rangers" w:date="2020-11-17T10:05:00Z" w:initials="MNH">
    <w:p w14:paraId="5EF21E91" w14:textId="31D7CA8D" w:rsidR="0000745C" w:rsidRDefault="0000745C" w:rsidP="0000745C">
      <w:pPr>
        <w:pStyle w:val="ListParagraph"/>
        <w:numPr>
          <w:ilvl w:val="0"/>
          <w:numId w:val="10"/>
        </w:numPr>
      </w:pPr>
      <w:r>
        <w:rPr>
          <w:rStyle w:val="CommentReference"/>
        </w:rPr>
        <w:annotationRef/>
      </w:r>
      <w:r>
        <w:rPr>
          <w:lang w:val="en-US"/>
        </w:rPr>
        <w:t>H</w:t>
      </w:r>
      <w:r>
        <w:t xml:space="preserve">arus ada </w:t>
      </w:r>
      <w:proofErr w:type="spellStart"/>
      <w:r>
        <w:t>state</w:t>
      </w:r>
      <w:proofErr w:type="spellEnd"/>
      <w:r>
        <w:t xml:space="preserve"> </w:t>
      </w:r>
      <w:proofErr w:type="spellStart"/>
      <w:r>
        <w:t>of</w:t>
      </w:r>
      <w:proofErr w:type="spellEnd"/>
      <w:r>
        <w:t xml:space="preserve"> </w:t>
      </w:r>
      <w:proofErr w:type="spellStart"/>
      <w:r>
        <w:t>the</w:t>
      </w:r>
      <w:proofErr w:type="spellEnd"/>
      <w:r>
        <w:t xml:space="preserve"> </w:t>
      </w:r>
      <w:proofErr w:type="spellStart"/>
      <w:r>
        <w:t>art</w:t>
      </w:r>
      <w:proofErr w:type="spellEnd"/>
      <w:r>
        <w:t>/</w:t>
      </w:r>
      <w:proofErr w:type="spellStart"/>
      <w:r>
        <w:t>originalitas</w:t>
      </w:r>
      <w:proofErr w:type="spellEnd"/>
      <w:r>
        <w:t xml:space="preserve"> (perbedaan dengan </w:t>
      </w:r>
      <w:proofErr w:type="spellStart"/>
      <w:r>
        <w:t>penilitian</w:t>
      </w:r>
      <w:proofErr w:type="spellEnd"/>
      <w:r>
        <w:t xml:space="preserve"> yang lain), minimum ada 5 rujukan/referensi</w:t>
      </w:r>
    </w:p>
    <w:p w14:paraId="098B9292" w14:textId="77777777" w:rsidR="0000745C" w:rsidRDefault="0000745C" w:rsidP="0000745C">
      <w:pPr>
        <w:pStyle w:val="ListParagraph"/>
        <w:numPr>
          <w:ilvl w:val="0"/>
          <w:numId w:val="10"/>
        </w:numPr>
      </w:pPr>
      <w:proofErr w:type="spellStart"/>
      <w:r>
        <w:t>Paragraph</w:t>
      </w:r>
      <w:proofErr w:type="spellEnd"/>
      <w:r>
        <w:t xml:space="preserve"> terakhir harus mencantumkan tujuan penelitian</w:t>
      </w:r>
    </w:p>
    <w:p w14:paraId="4A82A21C" w14:textId="77777777" w:rsidR="0000745C" w:rsidRDefault="0000745C" w:rsidP="0000745C">
      <w:pPr>
        <w:pStyle w:val="ListParagraph"/>
        <w:numPr>
          <w:ilvl w:val="0"/>
          <w:numId w:val="10"/>
        </w:numPr>
      </w:pPr>
      <w:r>
        <w:t xml:space="preserve">Tidak terlalu panjang, maksimum 20% dari keseluruhan (maksimum satu halaman) termasuk </w:t>
      </w:r>
      <w:proofErr w:type="spellStart"/>
      <w:r>
        <w:t>literature</w:t>
      </w:r>
      <w:proofErr w:type="spellEnd"/>
      <w:r>
        <w:t xml:space="preserve"> </w:t>
      </w:r>
      <w:proofErr w:type="spellStart"/>
      <w:r>
        <w:t>review</w:t>
      </w:r>
      <w:proofErr w:type="spellEnd"/>
      <w:r>
        <w:t xml:space="preserve"> apabila ada</w:t>
      </w:r>
    </w:p>
    <w:p w14:paraId="1091F96C" w14:textId="77777777" w:rsidR="0000745C" w:rsidRDefault="0000745C" w:rsidP="0000745C">
      <w:pPr>
        <w:pStyle w:val="ListParagraph"/>
        <w:numPr>
          <w:ilvl w:val="0"/>
          <w:numId w:val="10"/>
        </w:numPr>
      </w:pPr>
      <w:r>
        <w:t xml:space="preserve">Literatur </w:t>
      </w:r>
      <w:proofErr w:type="spellStart"/>
      <w:r>
        <w:t>review</w:t>
      </w:r>
      <w:proofErr w:type="spellEnd"/>
      <w:r>
        <w:t xml:space="preserve"> </w:t>
      </w:r>
      <w:proofErr w:type="spellStart"/>
      <w:r>
        <w:t>menjelasan</w:t>
      </w:r>
      <w:proofErr w:type="spellEnd"/>
      <w:r>
        <w:t xml:space="preserve"> gap riset bukan definisi-definisi yang sudah baku</w:t>
      </w:r>
    </w:p>
    <w:p w14:paraId="4D5E1081" w14:textId="4B1A5144" w:rsidR="0000745C" w:rsidRDefault="0000745C">
      <w:pPr>
        <w:pStyle w:val="CommentText"/>
      </w:pPr>
    </w:p>
  </w:comment>
  <w:comment w:id="2" w:author="power rangers" w:date="2020-11-17T10:05:00Z" w:initials="MNH">
    <w:p w14:paraId="65B43B42" w14:textId="77777777" w:rsidR="0000745C" w:rsidRDefault="0000745C" w:rsidP="0000745C">
      <w:pPr>
        <w:pStyle w:val="ListParagraph"/>
        <w:numPr>
          <w:ilvl w:val="0"/>
          <w:numId w:val="11"/>
        </w:numPr>
      </w:pPr>
      <w:r>
        <w:rPr>
          <w:rStyle w:val="CommentReference"/>
        </w:rPr>
        <w:annotationRef/>
      </w:r>
      <w:r>
        <w:t xml:space="preserve">Design </w:t>
      </w:r>
      <w:proofErr w:type="spellStart"/>
      <w:r>
        <w:t>Peneletian</w:t>
      </w:r>
      <w:proofErr w:type="spellEnd"/>
      <w:r>
        <w:t xml:space="preserve"> harus dipaparkan dengan jelas</w:t>
      </w:r>
    </w:p>
    <w:p w14:paraId="4E524B9C" w14:textId="77777777" w:rsidR="0000745C" w:rsidRDefault="0000745C" w:rsidP="0000745C">
      <w:pPr>
        <w:pStyle w:val="ListParagraph"/>
        <w:numPr>
          <w:ilvl w:val="0"/>
          <w:numId w:val="11"/>
        </w:numPr>
      </w:pPr>
      <w:r>
        <w:t xml:space="preserve">Dalam </w:t>
      </w:r>
      <w:proofErr w:type="spellStart"/>
      <w:r>
        <w:t>method</w:t>
      </w:r>
      <w:proofErr w:type="spellEnd"/>
      <w:r>
        <w:t xml:space="preserve"> harus mencantumkan karakteristik objek dan </w:t>
      </w:r>
      <w:proofErr w:type="spellStart"/>
      <w:r>
        <w:t>subject</w:t>
      </w:r>
      <w:proofErr w:type="spellEnd"/>
      <w:r>
        <w:t xml:space="preserve"> penelitian secara rinci/detail</w:t>
      </w:r>
    </w:p>
    <w:p w14:paraId="462B8A72" w14:textId="77777777" w:rsidR="0000745C" w:rsidRDefault="0000745C" w:rsidP="0000745C">
      <w:pPr>
        <w:pStyle w:val="ListParagraph"/>
        <w:numPr>
          <w:ilvl w:val="0"/>
          <w:numId w:val="11"/>
        </w:numPr>
      </w:pPr>
      <w:proofErr w:type="spellStart"/>
      <w:r>
        <w:t>Method</w:t>
      </w:r>
      <w:proofErr w:type="spellEnd"/>
      <w:r>
        <w:t xml:space="preserve"> tidak terlalu </w:t>
      </w:r>
      <w:proofErr w:type="spellStart"/>
      <w:r>
        <w:t>textbook</w:t>
      </w:r>
      <w:proofErr w:type="spellEnd"/>
    </w:p>
    <w:p w14:paraId="0F6B0B0A" w14:textId="77777777" w:rsidR="0000745C" w:rsidRDefault="0000745C" w:rsidP="0000745C">
      <w:pPr>
        <w:pStyle w:val="ListParagraph"/>
        <w:numPr>
          <w:ilvl w:val="0"/>
          <w:numId w:val="11"/>
        </w:numPr>
      </w:pPr>
      <w:r>
        <w:t xml:space="preserve">Teknik pengambilan </w:t>
      </w:r>
      <w:proofErr w:type="spellStart"/>
      <w:r>
        <w:t>sample</w:t>
      </w:r>
      <w:proofErr w:type="spellEnd"/>
      <w:r>
        <w:t xml:space="preserve"> harus dipaparkan dengan jelas</w:t>
      </w:r>
    </w:p>
    <w:p w14:paraId="3E82568B" w14:textId="18932706" w:rsidR="0000745C" w:rsidRDefault="0000745C">
      <w:pPr>
        <w:pStyle w:val="CommentText"/>
      </w:pPr>
    </w:p>
  </w:comment>
  <w:comment w:id="3" w:author="power rangers" w:date="2020-11-17T10:05:00Z" w:initials="MNH">
    <w:p w14:paraId="025C2421" w14:textId="4BB29EC0" w:rsidR="0000745C" w:rsidRDefault="0000745C">
      <w:pPr>
        <w:pStyle w:val="CommentText"/>
      </w:pPr>
      <w:r>
        <w:rPr>
          <w:rStyle w:val="CommentReference"/>
        </w:rPr>
        <w:annotationRef/>
      </w:r>
      <w:r>
        <w:t xml:space="preserve">Masukkan </w:t>
      </w:r>
      <w:proofErr w:type="spellStart"/>
      <w:r>
        <w:t>konten</w:t>
      </w:r>
      <w:proofErr w:type="spellEnd"/>
      <w:r>
        <w:t xml:space="preserve"> </w:t>
      </w:r>
      <w:proofErr w:type="spellStart"/>
      <w:r>
        <w:t>fisikanya</w:t>
      </w:r>
      <w:proofErr w:type="spellEnd"/>
      <w:r>
        <w:t xml:space="preserve"> </w:t>
      </w:r>
      <w:proofErr w:type="spellStart"/>
      <w:r>
        <w:t>shg</w:t>
      </w:r>
      <w:proofErr w:type="spellEnd"/>
      <w:r>
        <w:t xml:space="preserve"> </w:t>
      </w:r>
      <w:proofErr w:type="spellStart"/>
      <w:r>
        <w:t>tdk</w:t>
      </w:r>
      <w:proofErr w:type="spellEnd"/>
      <w:r>
        <w:t xml:space="preserve"> </w:t>
      </w:r>
      <w:proofErr w:type="spellStart"/>
      <w:r>
        <w:t>terkesan</w:t>
      </w:r>
      <w:proofErr w:type="spellEnd"/>
      <w:r>
        <w:t xml:space="preserve"> </w:t>
      </w:r>
      <w:proofErr w:type="spellStart"/>
      <w:r>
        <w:t>terlalu</w:t>
      </w:r>
      <w:proofErr w:type="spellEnd"/>
      <w:r>
        <w:t xml:space="preserve"> </w:t>
      </w:r>
      <w:proofErr w:type="spellStart"/>
      <w:r>
        <w:t>penelitian</w:t>
      </w:r>
      <w:proofErr w:type="spellEnd"/>
      <w:r>
        <w:t xml:space="preserve"> Pendidikan</w:t>
      </w:r>
    </w:p>
    <w:p w14:paraId="13FCCBEA" w14:textId="77777777" w:rsidR="0000745C" w:rsidRDefault="0000745C">
      <w:pPr>
        <w:pStyle w:val="CommentText"/>
      </w:pPr>
      <w:proofErr w:type="spellStart"/>
      <w:r>
        <w:t>Mungkin</w:t>
      </w:r>
      <w:proofErr w:type="spellEnd"/>
      <w:r>
        <w:t xml:space="preserve"> konten2 </w:t>
      </w:r>
      <w:proofErr w:type="spellStart"/>
      <w:r>
        <w:t>fisika</w:t>
      </w:r>
      <w:proofErr w:type="spellEnd"/>
      <w:r>
        <w:t xml:space="preserve"> </w:t>
      </w:r>
      <w:proofErr w:type="spellStart"/>
      <w:r>
        <w:t>yg</w:t>
      </w:r>
      <w:proofErr w:type="spellEnd"/>
      <w:r>
        <w:t xml:space="preserve"> </w:t>
      </w:r>
      <w:proofErr w:type="spellStart"/>
      <w:r>
        <w:t>dianggap</w:t>
      </w:r>
      <w:proofErr w:type="spellEnd"/>
      <w:r>
        <w:t xml:space="preserve"> </w:t>
      </w:r>
      <w:proofErr w:type="spellStart"/>
      <w:r>
        <w:t>sulit</w:t>
      </w:r>
      <w:proofErr w:type="spellEnd"/>
      <w:r>
        <w:t xml:space="preserve"> </w:t>
      </w:r>
      <w:proofErr w:type="spellStart"/>
      <w:r>
        <w:t>bagi</w:t>
      </w:r>
      <w:proofErr w:type="spellEnd"/>
      <w:r>
        <w:t xml:space="preserve"> </w:t>
      </w:r>
      <w:proofErr w:type="spellStart"/>
      <w:r>
        <w:t>siswa</w:t>
      </w:r>
      <w:proofErr w:type="spellEnd"/>
      <w:r>
        <w:t xml:space="preserve"> </w:t>
      </w:r>
      <w:proofErr w:type="spellStart"/>
      <w:r>
        <w:t>termasuk</w:t>
      </w:r>
      <w:proofErr w:type="spellEnd"/>
      <w:r>
        <w:t xml:space="preserve"> </w:t>
      </w:r>
      <w:proofErr w:type="spellStart"/>
      <w:r>
        <w:t>penyelesaiannya</w:t>
      </w:r>
      <w:proofErr w:type="spellEnd"/>
    </w:p>
    <w:p w14:paraId="5A8A421D" w14:textId="77777777" w:rsidR="0000745C" w:rsidRDefault="0000745C">
      <w:pPr>
        <w:pStyle w:val="CommentText"/>
      </w:pPr>
    </w:p>
    <w:p w14:paraId="68BD0620" w14:textId="77777777" w:rsidR="0000745C" w:rsidRDefault="0000745C" w:rsidP="0000745C">
      <w:pPr>
        <w:pStyle w:val="ListParagraph"/>
        <w:ind w:left="0"/>
      </w:pPr>
      <w:r>
        <w:t>Diskusi harus didukung oleh referensi</w:t>
      </w:r>
    </w:p>
    <w:p w14:paraId="0528B824" w14:textId="642780EF" w:rsidR="0000745C" w:rsidRDefault="0000745C">
      <w:pPr>
        <w:pStyle w:val="CommentText"/>
      </w:pPr>
    </w:p>
  </w:comment>
  <w:comment w:id="4" w:author="power rangers" w:date="2020-11-17T10:07:00Z" w:initials="MNH">
    <w:p w14:paraId="32037FE5" w14:textId="77777777" w:rsidR="0000745C" w:rsidRDefault="0000745C" w:rsidP="0000745C">
      <w:pPr>
        <w:pStyle w:val="ListParagraph"/>
        <w:numPr>
          <w:ilvl w:val="0"/>
          <w:numId w:val="13"/>
        </w:numPr>
      </w:pPr>
      <w:r>
        <w:rPr>
          <w:rStyle w:val="CommentReference"/>
        </w:rPr>
        <w:annotationRef/>
      </w:r>
      <w:r>
        <w:t>Berisi sintesis dari isi penelitian</w:t>
      </w:r>
    </w:p>
    <w:p w14:paraId="1A73B685" w14:textId="4B4E34A1" w:rsidR="0000745C" w:rsidRPr="0000745C" w:rsidRDefault="0000745C">
      <w:pPr>
        <w:pStyle w:val="CommentText"/>
        <w:rPr>
          <w:b/>
          <w:bCs/>
        </w:rPr>
      </w:pPr>
      <w:bookmarkStart w:id="5" w:name="_GoBack"/>
      <w:bookmarkEnd w:id="5"/>
    </w:p>
  </w:comment>
  <w:comment w:id="6" w:author="power rangers" w:date="2020-11-17T10:06:00Z" w:initials="MNH">
    <w:p w14:paraId="641CB16D" w14:textId="51613D26" w:rsidR="0000745C" w:rsidRDefault="0000745C">
      <w:pPr>
        <w:pStyle w:val="CommentText"/>
      </w:pPr>
      <w:r>
        <w:rPr>
          <w:rStyle w:val="CommentReference"/>
        </w:rPr>
        <w:annotationRef/>
      </w:r>
      <w:proofErr w:type="spellStart"/>
      <w:r>
        <w:t>Tambahkan</w:t>
      </w:r>
      <w:proofErr w:type="spellEnd"/>
      <w:r>
        <w:t xml:space="preserve"> </w:t>
      </w:r>
      <w:proofErr w:type="spellStart"/>
      <w:r>
        <w:t>dari</w:t>
      </w:r>
      <w:proofErr w:type="spellEnd"/>
      <w:r>
        <w:t xml:space="preserve"> momentum </w:t>
      </w:r>
      <w:proofErr w:type="spellStart"/>
      <w:r>
        <w:t>ya</w:t>
      </w:r>
      <w:proofErr w:type="spellEnd"/>
      <w:r>
        <w:t xml:space="preserve"> mas </w:t>
      </w:r>
      <w:proofErr w:type="spellStart"/>
      <w:r>
        <w:t>jarwo</w:t>
      </w:r>
      <w:proofErr w:type="spellEnd"/>
      <w:r>
        <w:t>, minimal 2</w:t>
      </w:r>
      <w:r>
        <w:br/>
      </w:r>
      <w:proofErr w:type="spellStart"/>
      <w:r>
        <w:t>hehe</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2976DD" w15:done="0"/>
  <w15:commentEx w15:paraId="4D5E1081" w15:done="0"/>
  <w15:commentEx w15:paraId="3E82568B" w15:done="0"/>
  <w15:commentEx w15:paraId="0528B824" w15:done="0"/>
  <w15:commentEx w15:paraId="1A73B685" w15:done="0"/>
  <w15:commentEx w15:paraId="641CB1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2976DD" w16cid:durableId="235E1E96"/>
  <w16cid:commentId w16cid:paraId="4D5E1081" w16cid:durableId="235E1EDD"/>
  <w16cid:commentId w16cid:paraId="3E82568B" w16cid:durableId="235E1EE8"/>
  <w16cid:commentId w16cid:paraId="0528B824" w16cid:durableId="235E1EFA"/>
  <w16cid:commentId w16cid:paraId="1A73B685" w16cid:durableId="235E1F65"/>
  <w16cid:commentId w16cid:paraId="641CB16D" w16cid:durableId="235E1F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AC054" w14:textId="77777777" w:rsidR="00AE31E3" w:rsidRDefault="00AE31E3">
      <w:r>
        <w:separator/>
      </w:r>
    </w:p>
  </w:endnote>
  <w:endnote w:type="continuationSeparator" w:id="0">
    <w:p w14:paraId="6F2C6656" w14:textId="77777777" w:rsidR="00AE31E3" w:rsidRDefault="00AE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ktrgjAdvTTb5929f4c">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7696C" w14:textId="77777777" w:rsidR="00AE31E3" w:rsidRPr="00043761" w:rsidRDefault="00AE31E3">
      <w:pPr>
        <w:pStyle w:val="Bulleted"/>
        <w:numPr>
          <w:ilvl w:val="0"/>
          <w:numId w:val="0"/>
        </w:numPr>
        <w:rPr>
          <w:rFonts w:ascii="Sabon" w:hAnsi="Sabon"/>
          <w:color w:val="auto"/>
          <w:szCs w:val="20"/>
        </w:rPr>
      </w:pPr>
      <w:r>
        <w:separator/>
      </w:r>
    </w:p>
  </w:footnote>
  <w:footnote w:type="continuationSeparator" w:id="0">
    <w:p w14:paraId="44DEC3F4" w14:textId="77777777" w:rsidR="00AE31E3" w:rsidRDefault="00AE3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0C375" w14:textId="77777777" w:rsidR="009A0487" w:rsidRDefault="009A0487"/>
  <w:p w14:paraId="2AE757EA" w14:textId="77777777" w:rsidR="009A0487" w:rsidRDefault="009A0487"/>
  <w:p w14:paraId="082481F4" w14:textId="77777777" w:rsidR="009A0487" w:rsidRDefault="009A0487"/>
  <w:p w14:paraId="7B9A2E3A" w14:textId="77777777" w:rsidR="009A0487" w:rsidRDefault="009A0487"/>
  <w:p w14:paraId="64EC56F0" w14:textId="77777777" w:rsidR="009A0487" w:rsidRDefault="009A0487"/>
  <w:p w14:paraId="59D0165E"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F0627F6E"/>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i/>
        <w:iCs w:val="0"/>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891A86"/>
    <w:multiLevelType w:val="hybridMultilevel"/>
    <w:tmpl w:val="E708E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01047D"/>
    <w:multiLevelType w:val="hybridMultilevel"/>
    <w:tmpl w:val="AFE44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9365CEC"/>
    <w:multiLevelType w:val="hybridMultilevel"/>
    <w:tmpl w:val="5E683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9" w15:restartNumberingAfterBreak="0">
    <w:nsid w:val="7FD15A3B"/>
    <w:multiLevelType w:val="hybridMultilevel"/>
    <w:tmpl w:val="72CA5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6"/>
  </w:num>
  <w:num w:numId="5">
    <w:abstractNumId w:val="0"/>
  </w:num>
  <w:num w:numId="6">
    <w:abstractNumId w:val="0"/>
  </w:num>
  <w:num w:numId="7">
    <w:abstractNumId w:val="0"/>
  </w:num>
  <w:num w:numId="8">
    <w:abstractNumId w:val="5"/>
  </w:num>
  <w:num w:numId="9">
    <w:abstractNumId w:val="3"/>
  </w:num>
  <w:num w:numId="10">
    <w:abstractNumId w:val="1"/>
  </w:num>
  <w:num w:numId="11">
    <w:abstractNumId w:val="9"/>
  </w:num>
  <w:num w:numId="12">
    <w:abstractNumId w:val="4"/>
  </w:num>
  <w:num w:numId="13">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0745C"/>
    <w:rsid w:val="00021B1E"/>
    <w:rsid w:val="00031645"/>
    <w:rsid w:val="00034D2E"/>
    <w:rsid w:val="0004662C"/>
    <w:rsid w:val="00080954"/>
    <w:rsid w:val="000854DC"/>
    <w:rsid w:val="000A2EBA"/>
    <w:rsid w:val="000A7688"/>
    <w:rsid w:val="000D2D42"/>
    <w:rsid w:val="000E71A5"/>
    <w:rsid w:val="000F2188"/>
    <w:rsid w:val="00127A03"/>
    <w:rsid w:val="00144FCE"/>
    <w:rsid w:val="0016793F"/>
    <w:rsid w:val="001A692F"/>
    <w:rsid w:val="001B066A"/>
    <w:rsid w:val="001C1038"/>
    <w:rsid w:val="001D1B2E"/>
    <w:rsid w:val="001F7E41"/>
    <w:rsid w:val="00217A99"/>
    <w:rsid w:val="002531F6"/>
    <w:rsid w:val="00267095"/>
    <w:rsid w:val="002C3AA6"/>
    <w:rsid w:val="002D32BF"/>
    <w:rsid w:val="002D74E6"/>
    <w:rsid w:val="002F5C2B"/>
    <w:rsid w:val="002F76F6"/>
    <w:rsid w:val="003531A1"/>
    <w:rsid w:val="00375833"/>
    <w:rsid w:val="0039244B"/>
    <w:rsid w:val="003B5D74"/>
    <w:rsid w:val="0041171F"/>
    <w:rsid w:val="00415CF5"/>
    <w:rsid w:val="0043026B"/>
    <w:rsid w:val="00467F2B"/>
    <w:rsid w:val="00475D21"/>
    <w:rsid w:val="004C0DB7"/>
    <w:rsid w:val="004D3D99"/>
    <w:rsid w:val="005158FA"/>
    <w:rsid w:val="00525FA0"/>
    <w:rsid w:val="005323B9"/>
    <w:rsid w:val="00540311"/>
    <w:rsid w:val="00585500"/>
    <w:rsid w:val="00586A48"/>
    <w:rsid w:val="005B59B5"/>
    <w:rsid w:val="005B7F0B"/>
    <w:rsid w:val="005F337E"/>
    <w:rsid w:val="00602DDB"/>
    <w:rsid w:val="00626CDA"/>
    <w:rsid w:val="006456FA"/>
    <w:rsid w:val="00664192"/>
    <w:rsid w:val="006A3E18"/>
    <w:rsid w:val="006B0135"/>
    <w:rsid w:val="006F45A4"/>
    <w:rsid w:val="00733CB3"/>
    <w:rsid w:val="0073537C"/>
    <w:rsid w:val="0078062A"/>
    <w:rsid w:val="00786BDE"/>
    <w:rsid w:val="007C7488"/>
    <w:rsid w:val="007E4D0A"/>
    <w:rsid w:val="007E4F54"/>
    <w:rsid w:val="00872467"/>
    <w:rsid w:val="008B6969"/>
    <w:rsid w:val="00911EFA"/>
    <w:rsid w:val="00914E17"/>
    <w:rsid w:val="00915043"/>
    <w:rsid w:val="00917641"/>
    <w:rsid w:val="00923765"/>
    <w:rsid w:val="009A0487"/>
    <w:rsid w:val="009D3FA9"/>
    <w:rsid w:val="00A01F09"/>
    <w:rsid w:val="00A04E80"/>
    <w:rsid w:val="00A16072"/>
    <w:rsid w:val="00A73A73"/>
    <w:rsid w:val="00AC18D2"/>
    <w:rsid w:val="00AD6A66"/>
    <w:rsid w:val="00AE31E3"/>
    <w:rsid w:val="00B05982"/>
    <w:rsid w:val="00B124DC"/>
    <w:rsid w:val="00B4481B"/>
    <w:rsid w:val="00B82A05"/>
    <w:rsid w:val="00B83F45"/>
    <w:rsid w:val="00B92D4E"/>
    <w:rsid w:val="00BE50E8"/>
    <w:rsid w:val="00C157CC"/>
    <w:rsid w:val="00C37F00"/>
    <w:rsid w:val="00C91D55"/>
    <w:rsid w:val="00D06A0E"/>
    <w:rsid w:val="00D0709A"/>
    <w:rsid w:val="00D47A45"/>
    <w:rsid w:val="00D550DF"/>
    <w:rsid w:val="00D74E79"/>
    <w:rsid w:val="00D82B03"/>
    <w:rsid w:val="00DB281B"/>
    <w:rsid w:val="00DC16F4"/>
    <w:rsid w:val="00E4361A"/>
    <w:rsid w:val="00E859A8"/>
    <w:rsid w:val="00E920F2"/>
    <w:rsid w:val="00EA26DB"/>
    <w:rsid w:val="00ED5479"/>
    <w:rsid w:val="00EF6BE4"/>
    <w:rsid w:val="00F04FA9"/>
    <w:rsid w:val="00F10EFE"/>
    <w:rsid w:val="00F2232B"/>
    <w:rsid w:val="00F66D2E"/>
    <w:rsid w:val="00F824B8"/>
    <w:rsid w:val="00F8720F"/>
    <w:rsid w:val="00FF250E"/>
    <w:rsid w:val="00FF4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ED693"/>
  <w15:docId w15:val="{46A68A97-BFB3-44AF-8A2C-161F1D62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customStyle="1" w:styleId="FootnoteCharacters">
    <w:name w:val="Footnote Characters"/>
    <w:rsid w:val="007E4F54"/>
    <w:rPr>
      <w:vertAlign w:val="superscript"/>
      <w:lang w:val="es-ES_tradnl"/>
    </w:rPr>
  </w:style>
  <w:style w:type="character" w:customStyle="1" w:styleId="fontstyle01">
    <w:name w:val="fontstyle01"/>
    <w:basedOn w:val="DefaultParagraphFont"/>
    <w:rsid w:val="007E4F54"/>
    <w:rPr>
      <w:rFonts w:ascii="LktrgjAdvTTb5929f4c" w:hAnsi="LktrgjAdvTTb5929f4c" w:hint="default"/>
      <w:b w:val="0"/>
      <w:bCs w:val="0"/>
      <w:i w:val="0"/>
      <w:iCs w:val="0"/>
      <w:color w:val="242021"/>
      <w:sz w:val="16"/>
      <w:szCs w:val="16"/>
    </w:rPr>
  </w:style>
  <w:style w:type="paragraph" w:customStyle="1" w:styleId="Default">
    <w:name w:val="Default"/>
    <w:rsid w:val="00BE50E8"/>
    <w:pPr>
      <w:autoSpaceDE w:val="0"/>
      <w:autoSpaceDN w:val="0"/>
      <w:adjustRightInd w:val="0"/>
    </w:pPr>
    <w:rPr>
      <w:rFonts w:ascii="Verdana" w:eastAsiaTheme="minorHAnsi" w:hAnsi="Verdana" w:cs="Verdana"/>
      <w:color w:val="000000"/>
      <w:sz w:val="24"/>
      <w:szCs w:val="24"/>
      <w:lang w:val="en-US" w:eastAsia="en-US"/>
    </w:rPr>
  </w:style>
  <w:style w:type="table" w:styleId="TableGrid">
    <w:name w:val="Table Grid"/>
    <w:basedOn w:val="TableNormal"/>
    <w:uiPriority w:val="39"/>
    <w:rsid w:val="00ED5479"/>
    <w:rPr>
      <w:rFonts w:asciiTheme="minorHAnsi" w:eastAsiaTheme="minorHAnsi" w:hAnsiTheme="minorHAnsi" w:cstheme="minorBid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5479"/>
    <w:pPr>
      <w:spacing w:after="160" w:line="259" w:lineRule="auto"/>
      <w:ind w:left="720"/>
      <w:contextualSpacing/>
    </w:pPr>
    <w:rPr>
      <w:rFonts w:asciiTheme="minorHAnsi" w:eastAsiaTheme="minorHAnsi" w:hAnsiTheme="minorHAnsi" w:cstheme="minorBidi"/>
      <w:szCs w:val="22"/>
      <w:lang w:val="id-ID"/>
    </w:rPr>
  </w:style>
  <w:style w:type="character" w:styleId="CommentReference">
    <w:name w:val="annotation reference"/>
    <w:basedOn w:val="DefaultParagraphFont"/>
    <w:uiPriority w:val="99"/>
    <w:semiHidden/>
    <w:unhideWhenUsed/>
    <w:rsid w:val="0000745C"/>
    <w:rPr>
      <w:sz w:val="16"/>
      <w:szCs w:val="16"/>
    </w:rPr>
  </w:style>
  <w:style w:type="paragraph" w:styleId="CommentText">
    <w:name w:val="annotation text"/>
    <w:basedOn w:val="Normal"/>
    <w:link w:val="CommentTextChar"/>
    <w:uiPriority w:val="99"/>
    <w:semiHidden/>
    <w:unhideWhenUsed/>
    <w:rsid w:val="0000745C"/>
    <w:rPr>
      <w:sz w:val="20"/>
    </w:rPr>
  </w:style>
  <w:style w:type="character" w:customStyle="1" w:styleId="CommentTextChar">
    <w:name w:val="Comment Text Char"/>
    <w:basedOn w:val="DefaultParagraphFont"/>
    <w:link w:val="CommentText"/>
    <w:uiPriority w:val="99"/>
    <w:semiHidden/>
    <w:rsid w:val="0000745C"/>
    <w:rPr>
      <w:rFonts w:ascii="Times" w:hAnsi="Times"/>
      <w:lang w:eastAsia="en-US"/>
    </w:rPr>
  </w:style>
  <w:style w:type="paragraph" w:styleId="CommentSubject">
    <w:name w:val="annotation subject"/>
    <w:basedOn w:val="CommentText"/>
    <w:next w:val="CommentText"/>
    <w:link w:val="CommentSubjectChar"/>
    <w:uiPriority w:val="99"/>
    <w:semiHidden/>
    <w:unhideWhenUsed/>
    <w:rsid w:val="0000745C"/>
    <w:rPr>
      <w:b/>
      <w:bCs/>
    </w:rPr>
  </w:style>
  <w:style w:type="character" w:customStyle="1" w:styleId="CommentSubjectChar">
    <w:name w:val="Comment Subject Char"/>
    <w:basedOn w:val="CommentTextChar"/>
    <w:link w:val="CommentSubject"/>
    <w:uiPriority w:val="99"/>
    <w:semiHidden/>
    <w:rsid w:val="0000745C"/>
    <w:rPr>
      <w:rFonts w:ascii="Times" w:hAnsi="Times"/>
      <w:b/>
      <w:bCs/>
      <w:lang w:eastAsia="en-US"/>
    </w:rPr>
  </w:style>
  <w:style w:type="paragraph" w:styleId="BalloonText">
    <w:name w:val="Balloon Text"/>
    <w:basedOn w:val="Normal"/>
    <w:link w:val="BalloonTextChar"/>
    <w:uiPriority w:val="99"/>
    <w:semiHidden/>
    <w:unhideWhenUsed/>
    <w:rsid w:val="00007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45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EFDE2-DEF6-46FB-825C-92467CC19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TotalTime>
  <Pages>6</Pages>
  <Words>9831</Words>
  <Characters>56041</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65741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power rangers</cp:lastModifiedBy>
  <cp:revision>2</cp:revision>
  <cp:lastPrinted>2020-11-04T13:41:00Z</cp:lastPrinted>
  <dcterms:created xsi:type="dcterms:W3CDTF">2020-11-17T03:08:00Z</dcterms:created>
  <dcterms:modified xsi:type="dcterms:W3CDTF">2020-11-17T03:08:00Z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http://www.zotero.org/styles/journal-of-physics-conference-series</vt:lpwstr>
  </property>
  <property fmtid="{D5CDD505-2E9C-101B-9397-08002B2CF9AE}" pid="13" name="Mendeley Recent Style Name 5_1">
    <vt:lpwstr>Journal of Physics: Conference Series</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980f8919-03f3-39d4-8e60-9403473f5b48</vt:lpwstr>
  </property>
  <property fmtid="{D5CDD505-2E9C-101B-9397-08002B2CF9AE}" pid="24" name="Mendeley Citation Style_1">
    <vt:lpwstr>http://www.zotero.org/styles/journal-of-physics-conference-series</vt:lpwstr>
  </property>
</Properties>
</file>